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exact" w:line="317"/>
        <w:ind w:start="6440" w:hanging="0"/>
        <w:jc w:val="end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>
      <w:pPr>
        <w:pStyle w:val="Normal"/>
        <w:bidi w:val="0"/>
        <w:spacing w:lineRule="exact" w:line="317" w:before="0" w:after="0"/>
        <w:ind w:start="6440" w:hanging="0"/>
        <w:jc w:val="end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>
      <w:pPr>
        <w:pStyle w:val="Normal"/>
        <w:bidi w:val="0"/>
        <w:spacing w:lineRule="exact" w:line="317" w:before="0" w:after="0"/>
        <w:ind w:start="6440" w:hanging="0"/>
        <w:jc w:val="end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Варненского муниципального района Челябинской области</w:t>
      </w:r>
    </w:p>
    <w:p>
      <w:pPr>
        <w:pStyle w:val="ConsPlusNonformat"/>
        <w:widowControl w:val="false"/>
        <w:spacing w:lineRule="exact" w:line="280" w:before="0" w:after="0"/>
        <w:jc w:val="end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cs="Times New Roman" w:ascii="Times New Roman" w:hAnsi="Times New Roman"/>
          <w:sz w:val="24"/>
          <w:szCs w:val="24"/>
          <w:u w:val="single"/>
        </w:rPr>
        <w:t>29.12.2023 года  № 916</w:t>
      </w:r>
    </w:p>
    <w:p>
      <w:pPr>
        <w:pStyle w:val="Normal"/>
        <w:bidi w:val="0"/>
        <w:spacing w:lineRule="exact" w:line="280" w:before="0" w:after="0"/>
        <w:jc w:val="en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61"/>
        <w:shd w:val="clear" w:color="auto" w:fill="auto"/>
        <w:bidi w:val="0"/>
        <w:spacing w:lineRule="exact" w:line="240"/>
        <w:jc w:val="center"/>
        <w:rPr/>
      </w:pPr>
      <w:r>
        <w:rPr>
          <w:rStyle w:val="6"/>
          <w:rFonts w:cs="Times New Roman" w:ascii="Times New Roman" w:hAnsi="Times New Roman"/>
          <w:b/>
          <w:caps/>
          <w:sz w:val="24"/>
          <w:szCs w:val="24"/>
        </w:rPr>
        <w:t>мероприятий муниципальной программы</w:t>
      </w:r>
    </w:p>
    <w:p>
      <w:pPr>
        <w:pStyle w:val="61"/>
        <w:shd w:val="clear" w:color="auto" w:fill="auto"/>
        <w:bidi w:val="0"/>
        <w:spacing w:lineRule="exact" w:line="274"/>
        <w:ind w:start="40" w:hanging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caps/>
          <w:sz w:val="24"/>
          <w:szCs w:val="24"/>
        </w:rPr>
        <w:t>"СНИЖЕНИЕ РИСКОВ И СМЯГЧЕНИЕ ПОСЛЕДСТВИЙ ЧРЕЗВЫЧАЙНЫХ</w:t>
        <w:br/>
        <w:t>СИТУАЦИЙ ПРИРОДНОГО И ТЕХНОГЕННОГО Характера</w:t>
      </w:r>
    </w:p>
    <w:p>
      <w:pPr>
        <w:pStyle w:val="8"/>
        <w:shd w:val="clear" w:color="auto" w:fill="auto"/>
        <w:bidi w:val="0"/>
        <w:spacing w:lineRule="exact" w:line="240"/>
        <w:jc w:val="center"/>
        <w:rPr/>
      </w:pPr>
      <w:r>
        <w:rPr>
          <w:rStyle w:val="2CenturyGothic"/>
          <w:rFonts w:cs="Times New Roman"/>
          <w:b/>
          <w:caps/>
          <w:sz w:val="24"/>
          <w:szCs w:val="24"/>
        </w:rPr>
        <w:t>В ВАРНЕНСКОМ МУНИЦИПАЛЬНОМ РАЙОНЕ ЧЕЛЯБИНСКОЙ ОБЛАСТИ</w:t>
      </w:r>
      <w:r>
        <w:rPr>
          <w:rFonts w:cs="Times New Roman"/>
          <w:caps/>
          <w:sz w:val="24"/>
          <w:szCs w:val="24"/>
        </w:rPr>
        <w:t>»</w:t>
      </w:r>
    </w:p>
    <w:tbl>
      <w:tblPr>
        <w:tblW w:w="14596" w:type="dxa"/>
        <w:jc w:val="start"/>
        <w:tblInd w:w="-431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09"/>
        <w:gridCol w:w="4112"/>
        <w:gridCol w:w="1983"/>
        <w:gridCol w:w="1277"/>
        <w:gridCol w:w="994"/>
        <w:gridCol w:w="140"/>
        <w:gridCol w:w="1156"/>
        <w:gridCol w:w="1137"/>
        <w:gridCol w:w="1127"/>
        <w:gridCol w:w="1959"/>
      </w:tblGrid>
      <w:tr>
        <w:trPr>
          <w:trHeight w:val="339" w:hRule="atLeast"/>
        </w:trPr>
        <w:tc>
          <w:tcPr>
            <w:tcW w:w="70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0"/>
              <w:ind w:start="260" w:hanging="0"/>
              <w:jc w:val="start"/>
              <w:rPr/>
            </w:pPr>
            <w:r>
              <w:rPr>
                <w:rStyle w:val="211pt"/>
                <w:rFonts w:eastAsia="Microsoft Sans Serif" w:ascii="CG Times" w:hAnsi="CG Times"/>
                <w:i w:val="false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bidi w:val="0"/>
              <w:spacing w:lineRule="exact" w:line="278" w:before="0" w:after="0"/>
              <w:jc w:val="center"/>
              <w:rPr/>
            </w:pPr>
            <w:r>
              <w:rPr>
                <w:rStyle w:val="211pt"/>
                <w:rFonts w:eastAsia="Microsoft Sans Serif" w:ascii="CG Times" w:hAnsi="CG Times"/>
                <w:i w:val="false"/>
                <w:sz w:val="24"/>
                <w:szCs w:val="24"/>
              </w:rPr>
              <w:t>п/п</w:t>
            </w:r>
          </w:p>
        </w:tc>
        <w:tc>
          <w:tcPr>
            <w:tcW w:w="411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20" w:before="0" w:after="0"/>
              <w:jc w:val="start"/>
              <w:rPr/>
            </w:pPr>
            <w:r>
              <w:rPr>
                <w:rStyle w:val="211pt"/>
                <w:rFonts w:eastAsia="Microsoft Sans Serif" w:ascii="CG Times" w:hAnsi="CG Times"/>
                <w:i w:val="false"/>
                <w:sz w:val="24"/>
                <w:szCs w:val="24"/>
              </w:rPr>
              <w:t>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0"/>
              <w:ind w:start="180" w:hanging="0"/>
              <w:jc w:val="center"/>
              <w:rPr/>
            </w:pPr>
            <w:r>
              <w:rPr>
                <w:rStyle w:val="211pt"/>
                <w:rFonts w:eastAsia="Microsoft Sans Serif" w:ascii="CG Times" w:hAnsi="CG Times"/>
                <w:i w:val="false"/>
                <w:sz w:val="24"/>
                <w:szCs w:val="24"/>
                <w:shd w:fill="FFFFFF" w:val="clear"/>
              </w:rPr>
              <w:t>Исполнители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0"/>
              <w:jc w:val="center"/>
              <w:rPr/>
            </w:pPr>
            <w:r>
              <w:rPr>
                <w:rStyle w:val="211pt"/>
                <w:rFonts w:eastAsia="Microsoft Sans Serif" w:ascii="CG Times" w:hAnsi="CG Times"/>
                <w:i w:val="false"/>
                <w:sz w:val="24"/>
                <w:szCs w:val="24"/>
              </w:rPr>
              <w:t>Количество (единица измерения)</w:t>
            </w:r>
          </w:p>
        </w:tc>
        <w:tc>
          <w:tcPr>
            <w:tcW w:w="4554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 w:ascii="CG Times" w:hAnsi="CG Times"/>
                <w:i w:val="false"/>
                <w:sz w:val="24"/>
                <w:szCs w:val="24"/>
              </w:rPr>
              <w:t>Объемы финансирования (тыс. руб.)</w:t>
            </w:r>
          </w:p>
        </w:tc>
        <w:tc>
          <w:tcPr>
            <w:tcW w:w="195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20" w:before="0" w:after="60"/>
              <w:ind w:start="340" w:hanging="0"/>
              <w:jc w:val="center"/>
              <w:rPr/>
            </w:pPr>
            <w:r>
              <w:rPr>
                <w:rStyle w:val="211pt"/>
                <w:rFonts w:eastAsia="Microsoft Sans Serif" w:ascii="CG Times" w:hAnsi="CG Times"/>
                <w:i w:val="false"/>
                <w:sz w:val="24"/>
                <w:szCs w:val="24"/>
              </w:rPr>
              <w:t>Источник</w:t>
            </w:r>
          </w:p>
          <w:p>
            <w:pPr>
              <w:pStyle w:val="Normal"/>
              <w:widowControl w:val="false"/>
              <w:bidi w:val="0"/>
              <w:spacing w:lineRule="exact" w:line="220" w:before="60" w:after="200"/>
              <w:ind w:start="240" w:hanging="0"/>
              <w:jc w:val="center"/>
              <w:rPr/>
            </w:pPr>
            <w:r>
              <w:rPr>
                <w:rStyle w:val="211pt"/>
                <w:rFonts w:eastAsia="Microsoft Sans Serif" w:ascii="CG Times" w:hAnsi="CG Times"/>
                <w:i w:val="false"/>
                <w:sz w:val="24"/>
                <w:szCs w:val="24"/>
              </w:rPr>
              <w:t>финансирования</w:t>
            </w:r>
          </w:p>
        </w:tc>
      </w:tr>
      <w:tr>
        <w:trPr>
          <w:trHeight w:val="308" w:hRule="atLeast"/>
        </w:trPr>
        <w:tc>
          <w:tcPr>
            <w:tcW w:w="709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ind w:start="260" w:hanging="0"/>
              <w:jc w:val="start"/>
              <w:rPr>
                <w:rFonts w:ascii="CG Times" w:hAnsi="CG Times" w:eastAsia="Microsoft Sans Serif"/>
                <w:i w:val="false"/>
                <w:i w:val="false"/>
                <w:sz w:val="24"/>
                <w:szCs w:val="24"/>
              </w:rPr>
            </w:pPr>
            <w:r>
              <w:rPr>
                <w:rFonts w:eastAsia="Microsoft Sans Serif" w:ascii="CG Times" w:hAnsi="CG Times"/>
                <w:i w:val="false"/>
                <w:sz w:val="24"/>
                <w:szCs w:val="24"/>
              </w:rPr>
            </w:r>
          </w:p>
        </w:tc>
        <w:tc>
          <w:tcPr>
            <w:tcW w:w="4112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20" w:before="0" w:after="200"/>
              <w:jc w:val="center"/>
              <w:rPr>
                <w:rFonts w:ascii="CG Times" w:hAnsi="CG Times" w:eastAsia="Microsoft Sans Serif"/>
                <w:i w:val="false"/>
                <w:i w:val="false"/>
                <w:sz w:val="24"/>
                <w:szCs w:val="24"/>
              </w:rPr>
            </w:pPr>
            <w:r>
              <w:rPr>
                <w:rFonts w:eastAsia="Microsoft Sans Serif" w:ascii="CG Times" w:hAnsi="CG Times"/>
                <w:i w:val="false"/>
                <w:sz w:val="24"/>
                <w:szCs w:val="24"/>
              </w:rPr>
            </w:r>
          </w:p>
        </w:tc>
        <w:tc>
          <w:tcPr>
            <w:tcW w:w="1983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>
                <w:rFonts w:ascii="CG Times" w:hAnsi="CG Times" w:eastAsia="Microsoft Sans Serif"/>
                <w:i w:val="false"/>
                <w:i w:val="false"/>
                <w:sz w:val="24"/>
                <w:szCs w:val="24"/>
              </w:rPr>
            </w:pPr>
            <w:r>
              <w:rPr>
                <w:rFonts w:eastAsia="Microsoft Sans Serif" w:ascii="CG Times" w:hAnsi="CG Times"/>
                <w:i w:val="false"/>
                <w:sz w:val="24"/>
                <w:szCs w:val="24"/>
              </w:rPr>
            </w:r>
          </w:p>
        </w:tc>
        <w:tc>
          <w:tcPr>
            <w:tcW w:w="1277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>
                <w:rFonts w:ascii="CG Times" w:hAnsi="CG Times" w:eastAsia="Microsoft Sans Serif"/>
                <w:i w:val="false"/>
                <w:i w:val="false"/>
                <w:sz w:val="24"/>
                <w:szCs w:val="24"/>
              </w:rPr>
            </w:pPr>
            <w:r>
              <w:rPr>
                <w:rFonts w:eastAsia="Microsoft Sans Serif" w:ascii="CG Times" w:hAnsi="CG Times"/>
                <w:i w:val="false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 w:ascii="CG Times" w:hAnsi="CG Times"/>
                <w:i w:val="false"/>
                <w:sz w:val="24"/>
                <w:szCs w:val="24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 w:ascii="CG Times" w:hAnsi="CG Times"/>
                <w:i w:val="false"/>
                <w:sz w:val="24"/>
                <w:szCs w:val="24"/>
              </w:rPr>
              <w:t>2023</w:t>
            </w:r>
          </w:p>
        </w:tc>
        <w:tc>
          <w:tcPr>
            <w:tcW w:w="11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 w:ascii="CG Times" w:hAnsi="CG Times"/>
                <w:i w:val="false"/>
                <w:sz w:val="24"/>
                <w:szCs w:val="24"/>
              </w:rPr>
              <w:t>2024</w:t>
            </w:r>
          </w:p>
        </w:tc>
        <w:tc>
          <w:tcPr>
            <w:tcW w:w="11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2005</w:t>
            </w:r>
          </w:p>
        </w:tc>
        <w:tc>
          <w:tcPr>
            <w:tcW w:w="1959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bidi w:val="0"/>
              <w:spacing w:lineRule="exact" w:line="220" w:before="0" w:after="60"/>
              <w:ind w:start="340" w:hanging="0"/>
              <w:jc w:val="start"/>
              <w:rPr>
                <w:rFonts w:ascii="CG Times" w:hAnsi="CG Times" w:eastAsia="Microsoft Sans Serif"/>
                <w:i w:val="false"/>
                <w:i w:val="false"/>
                <w:sz w:val="24"/>
                <w:szCs w:val="24"/>
              </w:rPr>
            </w:pPr>
            <w:r>
              <w:rPr>
                <w:rFonts w:eastAsia="Microsoft Sans Serif" w:ascii="CG Times" w:hAnsi="CG Times"/>
                <w:i w:val="false"/>
                <w:sz w:val="24"/>
                <w:szCs w:val="24"/>
              </w:rPr>
            </w:r>
          </w:p>
        </w:tc>
      </w:tr>
      <w:tr>
        <w:trPr>
          <w:trHeight w:val="559" w:hRule="atLeast"/>
        </w:trPr>
        <w:tc>
          <w:tcPr>
            <w:tcW w:w="14594" w:type="dxa"/>
            <w:gridSpan w:val="10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1080" w:leader="none"/>
              </w:tabs>
              <w:bidi w:val="0"/>
              <w:spacing w:lineRule="exact" w:line="307" w:before="0" w:after="0"/>
              <w:ind w:start="1080" w:end="-1" w:hanging="720"/>
              <w:contextualSpacing/>
              <w:jc w:val="center"/>
              <w:rPr>
                <w:rFonts w:ascii="CG Times" w:hAnsi="CG Times"/>
                <w:b/>
                <w:b/>
                <w:sz w:val="24"/>
                <w:szCs w:val="24"/>
              </w:rPr>
            </w:pPr>
            <w:r>
              <w:rPr>
                <w:rFonts w:ascii="CG Times" w:hAnsi="CG Times"/>
                <w:b/>
                <w:sz w:val="24"/>
                <w:szCs w:val="24"/>
              </w:rPr>
              <w:t>Повысить безопасность и защищенность населения от чрезвычайных ситуаций природного и техногенного характера</w:t>
            </w:r>
          </w:p>
        </w:tc>
      </w:tr>
      <w:tr>
        <w:trPr>
          <w:trHeight w:val="1517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ind w:start="260" w:hanging="0"/>
              <w:jc w:val="start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1.</w:t>
            </w:r>
          </w:p>
        </w:tc>
        <w:tc>
          <w:tcPr>
            <w:tcW w:w="41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20" w:before="0" w:after="200"/>
              <w:jc w:val="start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Подготовка руководителей и специалистов в области ГО и защиты от ЧС, обучение мерам пожарной безопасности, совершенствование материально-технической базы</w:t>
            </w:r>
          </w:p>
        </w:tc>
        <w:tc>
          <w:tcPr>
            <w:tcW w:w="19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Администрация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Варненского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муниципального района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Отдел ГО и ЧС</w:t>
            </w:r>
          </w:p>
        </w:tc>
        <w:tc>
          <w:tcPr>
            <w:tcW w:w="12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Тыс. руб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106,7</w:t>
            </w:r>
          </w:p>
        </w:tc>
        <w:tc>
          <w:tcPr>
            <w:tcW w:w="11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6,7</w:t>
            </w:r>
          </w:p>
        </w:tc>
        <w:tc>
          <w:tcPr>
            <w:tcW w:w="11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50,0</w:t>
            </w:r>
          </w:p>
        </w:tc>
        <w:tc>
          <w:tcPr>
            <w:tcW w:w="11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9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20" w:before="0" w:after="0"/>
              <w:ind w:start="-10" w:hanging="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МБ</w:t>
            </w:r>
          </w:p>
        </w:tc>
      </w:tr>
      <w:tr>
        <w:trPr>
          <w:trHeight w:val="1526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ind w:start="260" w:hanging="0"/>
              <w:jc w:val="start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2.</w:t>
            </w:r>
          </w:p>
        </w:tc>
        <w:tc>
          <w:tcPr>
            <w:tcW w:w="41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20" w:before="0" w:after="200"/>
              <w:jc w:val="start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Содержание штатов ГО и ЧС</w:t>
            </w:r>
          </w:p>
        </w:tc>
        <w:tc>
          <w:tcPr>
            <w:tcW w:w="19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Администрация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Варненского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муниципального района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Отдел ГО и ЧС</w:t>
            </w:r>
          </w:p>
        </w:tc>
        <w:tc>
          <w:tcPr>
            <w:tcW w:w="12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Тыс. руб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20" w:before="0" w:after="60"/>
              <w:ind w:start="340" w:hanging="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-</w:t>
            </w:r>
          </w:p>
        </w:tc>
        <w:tc>
          <w:tcPr>
            <w:tcW w:w="11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20" w:before="0" w:after="60"/>
              <w:ind w:start="340" w:hanging="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20" w:before="0" w:after="60"/>
              <w:ind w:start="340" w:hanging="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20" w:before="0" w:after="60"/>
              <w:ind w:start="340" w:hanging="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-</w:t>
            </w:r>
          </w:p>
        </w:tc>
        <w:tc>
          <w:tcPr>
            <w:tcW w:w="19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20" w:before="0" w:after="60"/>
              <w:ind w:start="340" w:hanging="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-</w:t>
            </w:r>
          </w:p>
        </w:tc>
      </w:tr>
      <w:tr>
        <w:trPr>
          <w:trHeight w:val="987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ind w:start="260" w:hanging="0"/>
              <w:jc w:val="start"/>
              <w:rPr/>
            </w:pPr>
            <w:r>
              <w:rPr>
                <w:rStyle w:val="211pt"/>
                <w:rFonts w:eastAsia="Times New Roman"/>
                <w:b w:val="false"/>
                <w:i w:val="false"/>
                <w:sz w:val="24"/>
                <w:szCs w:val="24"/>
                <w:lang w:val="en-US"/>
              </w:rPr>
              <w:t>3</w:t>
            </w:r>
            <w:r>
              <w:rPr>
                <w:rStyle w:val="211pt"/>
                <w:rFonts w:eastAsia="Times New Roman"/>
                <w:b w:val="false"/>
                <w:i w:val="false"/>
                <w:sz w:val="24"/>
                <w:szCs w:val="24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20" w:before="0" w:after="200"/>
              <w:jc w:val="start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19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Администрация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Варненского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муниципального района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Отдел ГО и ЧС</w:t>
            </w:r>
          </w:p>
        </w:tc>
        <w:tc>
          <w:tcPr>
            <w:tcW w:w="12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Тыс. руб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/>
              <w:jc w:val="center"/>
              <w:rPr>
                <w:rFonts w:eastAsia="Microsoft Sans Serif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Fonts w:eastAsia="Microsoft Sans Serif"/>
                <w:b w:val="false"/>
                <w:i w:val="false"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spacing w:lineRule="exact" w:line="278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9664,0</w:t>
            </w:r>
          </w:p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>
                <w:rFonts w:eastAsia="Microsoft Sans Serif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Fonts w:eastAsia="Microsoft Sans Serif"/>
                <w:b w:val="false"/>
                <w:i w:val="false"/>
                <w:sz w:val="24"/>
                <w:szCs w:val="24"/>
              </w:rPr>
            </w:r>
          </w:p>
        </w:tc>
        <w:tc>
          <w:tcPr>
            <w:tcW w:w="11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3200,0</w:t>
            </w:r>
          </w:p>
        </w:tc>
        <w:tc>
          <w:tcPr>
            <w:tcW w:w="11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3232,0</w:t>
            </w:r>
          </w:p>
        </w:tc>
        <w:tc>
          <w:tcPr>
            <w:tcW w:w="11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3232,0</w:t>
            </w:r>
          </w:p>
        </w:tc>
        <w:tc>
          <w:tcPr>
            <w:tcW w:w="19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20" w:before="0" w:after="6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ОБ,МБ</w:t>
            </w:r>
          </w:p>
        </w:tc>
      </w:tr>
      <w:tr>
        <w:trPr>
          <w:trHeight w:val="888" w:hRule="atLeast"/>
        </w:trPr>
        <w:tc>
          <w:tcPr>
            <w:tcW w:w="14594" w:type="dxa"/>
            <w:gridSpan w:val="10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20" w:before="0" w:after="6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bidi w:val="0"/>
              <w:spacing w:lineRule="exact" w:line="220" w:before="0" w:after="60"/>
              <w:contextualSpacing/>
              <w:jc w:val="star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Обеспечить эффективность реагирования при происшествиях и чрезвычайных ситуациях на территории района</w:t>
            </w:r>
          </w:p>
        </w:tc>
      </w:tr>
      <w:tr>
        <w:trPr>
          <w:trHeight w:val="2177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ind w:start="260" w:hanging="0"/>
              <w:jc w:val="start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4.</w:t>
            </w:r>
          </w:p>
        </w:tc>
        <w:tc>
          <w:tcPr>
            <w:tcW w:w="41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20"/>
              <w:jc w:val="start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Мероприятия по совершенствованию и повышению эффективности физической и технической защиты</w:t>
            </w:r>
          </w:p>
          <w:p>
            <w:pPr>
              <w:pStyle w:val="Normal"/>
              <w:widowControl w:val="false"/>
              <w:bidi w:val="0"/>
              <w:spacing w:lineRule="exact" w:line="220" w:before="0" w:after="200"/>
              <w:jc w:val="start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- устройство и содержание охранной и пожарной сигнализации.</w:t>
            </w:r>
          </w:p>
          <w:p>
            <w:pPr>
              <w:pStyle w:val="Normal"/>
              <w:widowControl w:val="false"/>
              <w:bidi w:val="0"/>
              <w:spacing w:lineRule="exact" w:line="220" w:before="0" w:after="200"/>
              <w:jc w:val="start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kern w:val="0"/>
                <w:sz w:val="24"/>
                <w:szCs w:val="24"/>
                <w:lang w:val="ru-RU" w:eastAsia="en-US" w:bidi="ar-SA"/>
              </w:rPr>
              <w:t>-укомплектование  единой дежурно-диспетчерской службы, средствами связи, управления и оповещения</w:t>
            </w:r>
          </w:p>
        </w:tc>
        <w:tc>
          <w:tcPr>
            <w:tcW w:w="19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Администрация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Варненского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муниципального района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Отдел ГО и ЧС</w:t>
            </w:r>
          </w:p>
        </w:tc>
        <w:tc>
          <w:tcPr>
            <w:tcW w:w="12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Тыс. руб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18441,67</w:t>
            </w:r>
          </w:p>
        </w:tc>
        <w:tc>
          <w:tcPr>
            <w:tcW w:w="11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6568,87</w:t>
            </w:r>
          </w:p>
        </w:tc>
        <w:tc>
          <w:tcPr>
            <w:tcW w:w="11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>
                <w:rFonts w:eastAsia="Microsoft Sans Serif"/>
                <w:b w:val="false"/>
                <w:b w:val="false"/>
                <w:i w:val="false"/>
                <w:i w:val="false"/>
              </w:rPr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6679,8</w:t>
            </w:r>
          </w:p>
        </w:tc>
        <w:tc>
          <w:tcPr>
            <w:tcW w:w="11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5193,0</w:t>
            </w:r>
          </w:p>
        </w:tc>
        <w:tc>
          <w:tcPr>
            <w:tcW w:w="19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20" w:before="0" w:after="6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Местный бюджет</w:t>
            </w:r>
          </w:p>
        </w:tc>
      </w:tr>
      <w:tr>
        <w:trPr>
          <w:trHeight w:val="435" w:hRule="atLeast"/>
        </w:trPr>
        <w:tc>
          <w:tcPr>
            <w:tcW w:w="14594" w:type="dxa"/>
            <w:gridSpan w:val="10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0" w:leader="none"/>
              </w:tabs>
              <w:bidi w:val="0"/>
              <w:spacing w:lineRule="exact" w:line="288" w:before="0" w:after="366"/>
              <w:ind w:start="0" w:end="-1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Поддержание комплексной системы экстренного оповещения населения в постоянной готовности</w:t>
            </w:r>
          </w:p>
        </w:tc>
      </w:tr>
      <w:tr>
        <w:trPr>
          <w:trHeight w:val="1048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ind w:start="260" w:hanging="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5.</w:t>
            </w:r>
          </w:p>
        </w:tc>
        <w:tc>
          <w:tcPr>
            <w:tcW w:w="41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20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Содержание системы КСЭОН</w:t>
            </w:r>
          </w:p>
        </w:tc>
        <w:tc>
          <w:tcPr>
            <w:tcW w:w="19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Администрация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Варненского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муниципального района</w:t>
            </w:r>
          </w:p>
          <w:p>
            <w:pPr>
              <w:pStyle w:val="Normal"/>
              <w:widowControl w:val="false"/>
              <w:bidi w:val="0"/>
              <w:spacing w:lineRule="exact" w:line="280" w:before="0" w:after="0"/>
              <w:jc w:val="both"/>
              <w:rPr/>
            </w:pPr>
            <w:r>
              <w:rPr>
                <w:rStyle w:val="211pt"/>
                <w:rFonts w:eastAsia="Georgia"/>
                <w:b w:val="false"/>
                <w:i w:val="false"/>
                <w:sz w:val="24"/>
                <w:szCs w:val="24"/>
              </w:rPr>
              <w:t>Отдел ГО и ЧС</w:t>
            </w:r>
          </w:p>
        </w:tc>
        <w:tc>
          <w:tcPr>
            <w:tcW w:w="12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100 %</w:t>
            </w:r>
          </w:p>
        </w:tc>
        <w:tc>
          <w:tcPr>
            <w:tcW w:w="9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147,5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47,5</w:t>
            </w:r>
          </w:p>
        </w:tc>
        <w:tc>
          <w:tcPr>
            <w:tcW w:w="11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50,0</w:t>
            </w:r>
          </w:p>
        </w:tc>
        <w:tc>
          <w:tcPr>
            <w:tcW w:w="11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50,0</w:t>
            </w:r>
          </w:p>
        </w:tc>
        <w:tc>
          <w:tcPr>
            <w:tcW w:w="19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20" w:before="0" w:after="60"/>
              <w:ind w:start="-10" w:hanging="0"/>
              <w:jc w:val="center"/>
              <w:rPr/>
            </w:pPr>
            <w:r>
              <w:rPr>
                <w:rStyle w:val="211pt"/>
                <w:rFonts w:eastAsia="Microsoft Sans Serif"/>
                <w:b w:val="false"/>
                <w:i w:val="false"/>
                <w:sz w:val="24"/>
                <w:szCs w:val="24"/>
              </w:rPr>
              <w:t>МБ</w:t>
            </w:r>
          </w:p>
        </w:tc>
      </w:tr>
      <w:tr>
        <w:trPr>
          <w:trHeight w:val="399" w:hRule="atLeast"/>
        </w:trPr>
        <w:tc>
          <w:tcPr>
            <w:tcW w:w="808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Итого по программе</w:t>
            </w:r>
          </w:p>
        </w:tc>
        <w:tc>
          <w:tcPr>
            <w:tcW w:w="9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Times New Roman"/>
                <w:i w:val="false"/>
                <w:sz w:val="24"/>
                <w:szCs w:val="24"/>
              </w:rPr>
              <w:t>28359,87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i w:val="false"/>
                <w:sz w:val="24"/>
                <w:szCs w:val="24"/>
              </w:rPr>
              <w:t>9823,07</w:t>
            </w:r>
          </w:p>
        </w:tc>
        <w:tc>
          <w:tcPr>
            <w:tcW w:w="11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i w:val="false"/>
                <w:sz w:val="24"/>
                <w:szCs w:val="24"/>
              </w:rPr>
              <w:t>10011,8</w:t>
            </w:r>
          </w:p>
        </w:tc>
        <w:tc>
          <w:tcPr>
            <w:tcW w:w="11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78" w:before="0" w:after="200"/>
              <w:jc w:val="center"/>
              <w:rPr/>
            </w:pPr>
            <w:r>
              <w:rPr>
                <w:rStyle w:val="211pt"/>
                <w:rFonts w:eastAsia="Microsoft Sans Serif"/>
                <w:i w:val="false"/>
                <w:sz w:val="24"/>
                <w:szCs w:val="24"/>
              </w:rPr>
              <w:t>8525,0</w:t>
            </w:r>
          </w:p>
        </w:tc>
        <w:tc>
          <w:tcPr>
            <w:tcW w:w="19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bidi w:val="0"/>
              <w:spacing w:lineRule="exact" w:line="220" w:before="0" w:after="60"/>
              <w:jc w:val="center"/>
              <w:rPr>
                <w:rFonts w:eastAsia="Microsoft Sans Serif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Fonts w:eastAsia="Microsoft Sans Serif"/>
                <w:b w:val="false"/>
                <w:i w:val="false"/>
                <w:sz w:val="24"/>
                <w:szCs w:val="24"/>
              </w:rPr>
            </w:r>
          </w:p>
        </w:tc>
      </w:tr>
    </w:tbl>
    <w:p>
      <w:pPr>
        <w:pStyle w:val="Normal"/>
        <w:bidi w:val="0"/>
        <w:spacing w:before="0" w:after="0"/>
        <w:jc w:val="center"/>
        <w:rPr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Georgia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Courier New">
    <w:charset w:val="cc" w:characterSet="windows-1251"/>
    <w:family w:val="roman"/>
    <w:pitch w:val="variable"/>
  </w:font>
  <w:font w:name="CG Times">
    <w:charset w:val="cc" w:characterSet="windows-125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start"/>
      <w:pPr>
        <w:tabs>
          <w:tab w:val="num" w:pos="0"/>
        </w:tabs>
        <w:ind w:start="1080" w:hanging="72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character" w:styleId="6">
    <w:name w:val="Основной текст (6) + Малые прописные"/>
    <w:qFormat/>
    <w:rPr>
      <w:rFonts w:ascii="Georgia" w:hAnsi="Georgia" w:eastAsia="Georgia" w:cs="Georgia"/>
      <w:smallCaps/>
      <w:color w:val="000000"/>
      <w:spacing w:val="0"/>
      <w:w w:val="100"/>
      <w:sz w:val="24"/>
      <w:szCs w:val="24"/>
      <w:shd w:fill="FFFFFF" w:val="clear"/>
      <w:lang w:val="ru-RU" w:eastAsia="ru-RU" w:bidi="ru-RU"/>
    </w:rPr>
  </w:style>
  <w:style w:type="character" w:styleId="2CenturyGothic">
    <w:name w:val="Основной текст (2) + Century Gothic"/>
    <w:qFormat/>
    <w:rPr>
      <w:rFonts w:ascii="Georgia" w:hAnsi="Georgia" w:eastAsia="Georgia" w:cs="Georgia"/>
      <w:b/>
      <w:bCs/>
      <w:color w:val="000000"/>
      <w:spacing w:val="0"/>
      <w:w w:val="100"/>
      <w:sz w:val="24"/>
      <w:szCs w:val="24"/>
      <w:shd w:fill="FFFFFF" w:val="clear"/>
      <w:lang w:val="ru-RU" w:eastAsia="ru-RU" w:bidi="ru-RU"/>
    </w:rPr>
  </w:style>
  <w:style w:type="character" w:styleId="211pt">
    <w:name w:val="Основной текст (2) + 11 pt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effect w:val="none"/>
      <w:lang w:val="ru-RU" w:eastAsia="ru-RU" w:bidi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star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61">
    <w:name w:val="Основной текст (6)"/>
    <w:basedOn w:val="Normal"/>
    <w:qFormat/>
    <w:pPr>
      <w:widowControl w:val="false"/>
      <w:shd w:val="clear" w:color="auto" w:fill="FFFFFF"/>
      <w:spacing w:lineRule="atLeast" w:line="0" w:before="0" w:after="0"/>
    </w:pPr>
    <w:rPr>
      <w:rFonts w:ascii="Georgia" w:hAnsi="Georgia" w:eastAsia="Georgia" w:cs="Georgia"/>
    </w:rPr>
  </w:style>
  <w:style w:type="paragraph" w:styleId="8">
    <w:name w:val="Основной текст (8)"/>
    <w:basedOn w:val="Normal"/>
    <w:qFormat/>
    <w:pPr>
      <w:widowControl w:val="false"/>
      <w:shd w:val="clear" w:color="auto" w:fill="FFFFFF"/>
      <w:spacing w:lineRule="atLeast" w:line="0" w:before="0" w:after="0"/>
    </w:pPr>
    <w:rPr>
      <w:rFonts w:ascii="Times New Roman" w:hAnsi="Times New Roman" w:eastAsia="Times New Roman" w:cs="" w:cstheme="minorBidi"/>
      <w:b/>
      <w:bCs/>
      <w:sz w:val="11"/>
      <w:szCs w:val="11"/>
    </w:rPr>
  </w:style>
  <w:style w:type="paragraph" w:styleId="ListParagraph">
    <w:name w:val="List Paragraph"/>
    <w:basedOn w:val="Normal"/>
    <w:qFormat/>
    <w:pPr>
      <w:spacing w:before="0" w:after="200"/>
      <w:ind w:star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LibreOffice/7.2.5.2$Windows_X86_64 LibreOffice_project/499f9727c189e6ef3471021d6132d4c694f357e5</Application>
  <AppVersion>15.0000</AppVersion>
  <Pages>2</Pages>
  <Words>234</Words>
  <Characters>1601</Characters>
  <CharactersWithSpaces>1748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2024-03-28T16:36:58Z</dcterms:modified>
  <cp:revision>1</cp:revision>
  <dc:subject/>
  <dc:title/>
</cp:coreProperties>
</file>