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1B" w:rsidRDefault="0064541B" w:rsidP="0064541B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41B" w:rsidRDefault="0064541B" w:rsidP="0064541B">
      <w:pPr>
        <w:rPr>
          <w:szCs w:val="26"/>
        </w:rPr>
      </w:pPr>
    </w:p>
    <w:p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:rsidR="0064541B" w:rsidRPr="0064541B" w:rsidRDefault="0064541B" w:rsidP="0064541B">
      <w:pPr>
        <w:pStyle w:val="a7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Pr="0064541B">
        <w:rPr>
          <w:b/>
          <w:sz w:val="26"/>
        </w:rPr>
        <w:t xml:space="preserve"> Толстинского сельского поселения</w:t>
      </w:r>
    </w:p>
    <w:p w:rsidR="0064541B" w:rsidRPr="0064541B" w:rsidRDefault="0064541B" w:rsidP="0064541B">
      <w:pPr>
        <w:pStyle w:val="a7"/>
        <w:jc w:val="center"/>
        <w:rPr>
          <w:b/>
          <w:sz w:val="26"/>
        </w:rPr>
      </w:pPr>
      <w:r w:rsidRPr="0064541B">
        <w:rPr>
          <w:b/>
          <w:sz w:val="26"/>
        </w:rPr>
        <w:t>Варненского муниципального района</w:t>
      </w:r>
    </w:p>
    <w:p w:rsidR="0064541B" w:rsidRPr="0064541B" w:rsidRDefault="0064541B" w:rsidP="0064541B">
      <w:pPr>
        <w:pStyle w:val="a7"/>
        <w:jc w:val="center"/>
        <w:rPr>
          <w:b/>
          <w:sz w:val="26"/>
        </w:rPr>
      </w:pPr>
      <w:r w:rsidRPr="0064541B">
        <w:rPr>
          <w:b/>
          <w:sz w:val="26"/>
        </w:rPr>
        <w:t>Челябинской области</w:t>
      </w:r>
    </w:p>
    <w:p w:rsidR="0064541B" w:rsidRPr="0064541B" w:rsidRDefault="0064541B" w:rsidP="0064541B">
      <w:pPr>
        <w:pStyle w:val="a7"/>
        <w:rPr>
          <w:sz w:val="26"/>
        </w:rPr>
      </w:pPr>
    </w:p>
    <w:p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64541B" w:rsidRPr="0064541B" w:rsidRDefault="00C56BE7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4541B" w:rsidRPr="002373EA" w:rsidRDefault="0064541B" w:rsidP="0064541B">
      <w:pPr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порядка планирования </w:t>
      </w:r>
      <w:proofErr w:type="gramStart"/>
      <w:r>
        <w:rPr>
          <w:color w:val="000000"/>
        </w:rPr>
        <w:t>бюджетных</w:t>
      </w:r>
      <w:proofErr w:type="gramEnd"/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2020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2021 и 2022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proofErr w:type="spellStart"/>
      <w:r w:rsidR="00C56BE7">
        <w:rPr>
          <w:color w:val="000000"/>
        </w:rPr>
        <w:t>Толстинском</w:t>
      </w:r>
      <w:proofErr w:type="spellEnd"/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2020 год и плановый период 2021 и 2022 годов (далее именуется – Методика)</w:t>
      </w:r>
      <w:r>
        <w:rPr>
          <w:color w:val="000000"/>
        </w:rPr>
        <w:t>.</w:t>
      </w:r>
    </w:p>
    <w:p w:rsidR="00C56BE7" w:rsidRDefault="00C56BE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Начальнику финансового отдела Е. В. Астафьевой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 xml:space="preserve">- обеспечить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2020 год и плановый период 2021 и 2022 годов материалов в соответствии с утвержденной Методикой.</w:t>
      </w:r>
    </w:p>
    <w:p w:rsidR="00204BA9" w:rsidRPr="00204BA9" w:rsidRDefault="00204BA9" w:rsidP="005348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C56B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4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61E69" w:rsidRPr="00E61E6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61E69" w:rsidRPr="00E61E6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61E69" w:rsidRPr="00E61E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C56BE7">
        <w:t>4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:rsidR="005348EA" w:rsidRPr="005348EA" w:rsidRDefault="005348EA" w:rsidP="0053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4541B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8EA" w:rsidRDefault="005348EA" w:rsidP="005348EA">
      <w:pPr>
        <w:pStyle w:val="p4"/>
        <w:shd w:val="clear" w:color="auto" w:fill="FFFFFF"/>
        <w:spacing w:before="0" w:beforeAutospacing="0" w:after="0" w:afterAutospacing="0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proofErr w:type="spellStart"/>
      <w:r w:rsidR="00E61E69">
        <w:t>П</w:t>
      </w:r>
      <w:r w:rsidR="0064541B">
        <w:t>.</w:t>
      </w:r>
      <w:r w:rsidR="00E61E69">
        <w:t>И</w:t>
      </w:r>
      <w:r>
        <w:t>.</w:t>
      </w:r>
      <w:r w:rsidR="00E61E69">
        <w:t>Канайкин</w:t>
      </w:r>
      <w:proofErr w:type="spellEnd"/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Толстинского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16 октября </w:t>
      </w:r>
      <w:r w:rsidRPr="007063A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7063A1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39</w:t>
      </w:r>
      <w:r w:rsidRPr="007063A1">
        <w:rPr>
          <w:b/>
          <w:sz w:val="24"/>
          <w:szCs w:val="24"/>
        </w:rPr>
        <w:t xml:space="preserve">   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2020 год и на плановый период 2021 и 2022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Положения  «О бюджетном процессе в </w:t>
      </w:r>
      <w:proofErr w:type="spellStart"/>
      <w:r>
        <w:rPr>
          <w:sz w:val="24"/>
          <w:szCs w:val="24"/>
        </w:rPr>
        <w:t>Толстинском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proofErr w:type="gramStart"/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Толстинского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</w:t>
      </w:r>
      <w:proofErr w:type="gramEnd"/>
      <w:r w:rsidRPr="007C2F5E">
        <w:rPr>
          <w:sz w:val="24"/>
          <w:szCs w:val="24"/>
        </w:rPr>
        <w:t>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Закона «</w:t>
      </w:r>
      <w:proofErr w:type="gramStart"/>
      <w:r w:rsidRPr="007C2F5E">
        <w:rPr>
          <w:sz w:val="24"/>
          <w:szCs w:val="24"/>
        </w:rPr>
        <w:t>О</w:t>
      </w:r>
      <w:proofErr w:type="gramEnd"/>
      <w:r w:rsidRPr="007C2F5E">
        <w:rPr>
          <w:sz w:val="24"/>
          <w:szCs w:val="24"/>
        </w:rPr>
        <w:t xml:space="preserve"> областном бюджете на 201</w:t>
      </w:r>
      <w:r>
        <w:rPr>
          <w:sz w:val="24"/>
          <w:szCs w:val="24"/>
        </w:rPr>
        <w:t>9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Закона «О районном бюджета на 2019 год и плановый период 2020 и 2021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proofErr w:type="gramStart"/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E91E9D" w:rsidRPr="009C65BE">
        <w:rPr>
          <w:sz w:val="24"/>
          <w:szCs w:val="24"/>
        </w:rPr>
        <w:t>распоряжением Администрации от 26</w:t>
      </w:r>
      <w:r w:rsidRPr="009C65BE">
        <w:rPr>
          <w:sz w:val="24"/>
          <w:szCs w:val="24"/>
        </w:rPr>
        <w:t>.06.201</w:t>
      </w:r>
      <w:r w:rsidR="00E91E9D" w:rsidRPr="009C65BE">
        <w:rPr>
          <w:sz w:val="24"/>
          <w:szCs w:val="24"/>
        </w:rPr>
        <w:t>9 г. № 08.1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2020 год и на плановый период 2021 и 2022 годов, и создании Межведомственной комиссии по бюджетным проектировкам на очередной финансовый год и плановый период».</w:t>
      </w:r>
      <w:proofErr w:type="gramEnd"/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r w:rsidR="00E91E9D" w:rsidRPr="009C65BE">
        <w:rPr>
          <w:sz w:val="24"/>
          <w:szCs w:val="24"/>
        </w:rPr>
        <w:t xml:space="preserve">Толстинского сельского </w:t>
      </w:r>
      <w:proofErr w:type="spellStart"/>
      <w:r w:rsidR="00E91E9D" w:rsidRPr="009C65BE">
        <w:rPr>
          <w:sz w:val="24"/>
          <w:szCs w:val="24"/>
        </w:rPr>
        <w:t>посления</w:t>
      </w:r>
      <w:proofErr w:type="spellEnd"/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</w:t>
      </w:r>
      <w:proofErr w:type="gramStart"/>
      <w:r w:rsidRPr="009C65BE">
        <w:rPr>
          <w:sz w:val="24"/>
          <w:szCs w:val="24"/>
        </w:rPr>
        <w:t>соответствуют</w:t>
      </w:r>
      <w:proofErr w:type="gramEnd"/>
      <w:r w:rsidRPr="009C65BE">
        <w:rPr>
          <w:sz w:val="24"/>
          <w:szCs w:val="24"/>
        </w:rPr>
        <w:t xml:space="preserve">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20</w:t>
      </w:r>
      <w:r w:rsidRPr="005C2D4A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5C2D4A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proofErr w:type="gramStart"/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расходов </w:t>
      </w:r>
      <w:r w:rsidRPr="009C65BE">
        <w:rPr>
          <w:sz w:val="24"/>
          <w:szCs w:val="24"/>
        </w:rPr>
        <w:t xml:space="preserve">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proofErr w:type="spellStart"/>
      <w:r w:rsidR="00E91E9D" w:rsidRPr="009C65BE">
        <w:rPr>
          <w:sz w:val="24"/>
          <w:szCs w:val="24"/>
        </w:rPr>
        <w:t>Толстинском</w:t>
      </w:r>
      <w:proofErr w:type="spellEnd"/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  <w:proofErr w:type="gramEnd"/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proofErr w:type="gramStart"/>
      <w:r w:rsidRPr="00C006EC">
        <w:rPr>
          <w:sz w:val="24"/>
          <w:szCs w:val="24"/>
        </w:rPr>
        <w:t>жилищно</w:t>
      </w:r>
      <w:proofErr w:type="spellEnd"/>
      <w:r w:rsidRPr="00C006EC">
        <w:rPr>
          <w:sz w:val="24"/>
          <w:szCs w:val="24"/>
        </w:rPr>
        <w:t>- коммунальных</w:t>
      </w:r>
      <w:proofErr w:type="gramEnd"/>
      <w:r w:rsidRPr="00C006EC">
        <w:rPr>
          <w:sz w:val="24"/>
          <w:szCs w:val="24"/>
        </w:rPr>
        <w:t xml:space="preserve">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 xml:space="preserve">, а также обеспечения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>, Толстинского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A23B2B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A23B2B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Толстинского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proofErr w:type="gramStart"/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1E05B8">
        <w:rPr>
          <w:sz w:val="24"/>
          <w:szCs w:val="24"/>
        </w:rPr>
        <w:t>Толстинского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1E05B8">
        <w:rPr>
          <w:sz w:val="24"/>
          <w:szCs w:val="24"/>
        </w:rPr>
        <w:t>Толстинского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>Администрации Толстинского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20</w:t>
      </w:r>
      <w:r w:rsidRPr="00230381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20</w:t>
      </w:r>
      <w:proofErr w:type="gramEnd"/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proofErr w:type="gramStart"/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1E05B8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1E05B8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>Администрации Толстинского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2020</w:t>
      </w:r>
      <w:r w:rsidRPr="007C2F5E">
        <w:rPr>
          <w:sz w:val="24"/>
          <w:szCs w:val="24"/>
        </w:rPr>
        <w:t xml:space="preserve"> году.</w:t>
      </w:r>
      <w:proofErr w:type="gramEnd"/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2020-2022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1E05B8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«О  бюджете на 201</w:t>
      </w:r>
      <w:r>
        <w:rPr>
          <w:sz w:val="24"/>
          <w:szCs w:val="24"/>
        </w:rPr>
        <w:t>9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22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</w:t>
      </w:r>
      <w:proofErr w:type="gramStart"/>
      <w:r w:rsidRPr="007C2F5E">
        <w:rPr>
          <w:sz w:val="24"/>
          <w:szCs w:val="24"/>
        </w:rPr>
        <w:t>размера оплаты труда</w:t>
      </w:r>
      <w:proofErr w:type="gramEnd"/>
      <w:r w:rsidRPr="007C2F5E">
        <w:rPr>
          <w:sz w:val="24"/>
          <w:szCs w:val="24"/>
        </w:rPr>
        <w:t xml:space="preserve">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Pr="00A865FA">
        <w:rPr>
          <w:sz w:val="24"/>
          <w:szCs w:val="24"/>
        </w:rPr>
        <w:t>2019 года до 11 280 рублей;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соответствии  с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 xml:space="preserve">законодательством, регулирующим минимальный </w:t>
      </w:r>
      <w:proofErr w:type="gramStart"/>
      <w:r w:rsidRPr="00224756">
        <w:rPr>
          <w:sz w:val="24"/>
          <w:szCs w:val="24"/>
        </w:rPr>
        <w:t>размер оплаты труда</w:t>
      </w:r>
      <w:proofErr w:type="gramEnd"/>
      <w:r w:rsidRPr="00224756">
        <w:rPr>
          <w:sz w:val="24"/>
          <w:szCs w:val="24"/>
        </w:rPr>
        <w:t xml:space="preserve">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5D1A61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 xml:space="preserve">нансирования и объемы отдельных направлений </w:t>
      </w:r>
      <w:proofErr w:type="gramStart"/>
      <w:r w:rsidRPr="009C65BE">
        <w:rPr>
          <w:sz w:val="24"/>
          <w:szCs w:val="24"/>
        </w:rPr>
        <w:t>расходов</w:t>
      </w:r>
      <w:proofErr w:type="gramEnd"/>
      <w:r w:rsidRPr="009C65BE">
        <w:rPr>
          <w:sz w:val="24"/>
          <w:szCs w:val="24"/>
        </w:rPr>
        <w:t xml:space="preserve">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2) достижения максимального результата и эффективного использования бюджетных сре</w:t>
      </w:r>
      <w:proofErr w:type="gramStart"/>
      <w:r w:rsidRPr="003E4319">
        <w:rPr>
          <w:sz w:val="24"/>
          <w:szCs w:val="24"/>
        </w:rPr>
        <w:t>дств в р</w:t>
      </w:r>
      <w:proofErr w:type="gramEnd"/>
      <w:r w:rsidRPr="003E4319">
        <w:rPr>
          <w:sz w:val="24"/>
          <w:szCs w:val="24"/>
        </w:rPr>
        <w:t xml:space="preserve">амках реализации стратегии социально-экономического развития </w:t>
      </w:r>
      <w:r w:rsidR="005D1A61">
        <w:rPr>
          <w:sz w:val="24"/>
          <w:szCs w:val="24"/>
        </w:rPr>
        <w:t>Толстинского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5D1A61">
        <w:rPr>
          <w:sz w:val="24"/>
          <w:szCs w:val="24"/>
        </w:rPr>
        <w:t>Толстинского 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proofErr w:type="gramStart"/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>
        <w:rPr>
          <w:sz w:val="24"/>
          <w:szCs w:val="24"/>
        </w:rPr>
        <w:t>20</w:t>
      </w:r>
      <w:r w:rsidRPr="003E4319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3E4319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от 2</w:t>
      </w:r>
      <w:r w:rsidR="00E91E9D" w:rsidRPr="009C65BE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.06.2019 г. № </w:t>
      </w:r>
      <w:r w:rsidR="00E91E9D" w:rsidRPr="009C65BE">
        <w:rPr>
          <w:sz w:val="24"/>
          <w:szCs w:val="24"/>
        </w:rPr>
        <w:t xml:space="preserve">08.1 </w:t>
      </w:r>
      <w:r w:rsidRPr="009C65BE">
        <w:rPr>
          <w:sz w:val="24"/>
          <w:szCs w:val="24"/>
        </w:rPr>
        <w:t>(далее именуется - График составления бюджета).</w:t>
      </w:r>
      <w:proofErr w:type="gramEnd"/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</w:t>
      </w:r>
      <w:proofErr w:type="spellStart"/>
      <w:r w:rsidRPr="00C006EC">
        <w:rPr>
          <w:sz w:val="24"/>
          <w:szCs w:val="24"/>
        </w:rPr>
        <w:t>непрограммным</w:t>
      </w:r>
      <w:proofErr w:type="spellEnd"/>
      <w:r w:rsidRPr="00C006EC">
        <w:rPr>
          <w:sz w:val="24"/>
          <w:szCs w:val="24"/>
        </w:rPr>
        <w:t xml:space="preserve">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proofErr w:type="gramStart"/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  <w:proofErr w:type="gramEnd"/>
    </w:p>
    <w:p w:rsidR="00E61E69" w:rsidRPr="00C006EC" w:rsidRDefault="00E61E69" w:rsidP="00E61E69">
      <w:pPr>
        <w:pStyle w:val="a8"/>
        <w:tabs>
          <w:tab w:val="left" w:pos="2962"/>
          <w:tab w:val="left" w:pos="5544"/>
          <w:tab w:val="left" w:pos="8458"/>
        </w:tabs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согласование Обоснований по муниципальным программам с соисполнителями (участниками)</w:t>
      </w:r>
      <w:r w:rsidRPr="00C006EC">
        <w:rPr>
          <w:sz w:val="24"/>
          <w:szCs w:val="24"/>
        </w:rPr>
        <w:tab/>
        <w:t>муниципальных</w:t>
      </w:r>
      <w:r w:rsidRPr="00C006EC">
        <w:rPr>
          <w:sz w:val="24"/>
          <w:szCs w:val="24"/>
        </w:rPr>
        <w:tab/>
        <w:t>программ и с комитетом экономики администрации Варненского муниципального района (далее именуется – комитет экономики);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34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Комитет экономики предварительно рассматривает и согласовывает Обоснования по муниципальным программам с учетом целей и задач, определенных стратегией социально-экономического развития </w:t>
      </w:r>
      <w:r w:rsidR="005D1A61">
        <w:rPr>
          <w:sz w:val="24"/>
          <w:szCs w:val="24"/>
        </w:rPr>
        <w:t>Толстинского сельского поселения</w:t>
      </w:r>
      <w:r w:rsidRPr="00C006EC">
        <w:rPr>
          <w:sz w:val="24"/>
          <w:szCs w:val="24"/>
        </w:rPr>
        <w:t>, оценки эффективности реализации муниципальных программ, а также согласованности планируемых к достижению индикативных показателей муниципальных программ с проектировками предельных объемов их финансирования.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Обоснования по муниципальным программам, не согласованные Комитетом экономики, Бюджетной комиссией не рассматриваются.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7548EC">
        <w:rPr>
          <w:sz w:val="24"/>
          <w:szCs w:val="24"/>
        </w:rPr>
        <w:t>Толстинского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proofErr w:type="gramStart"/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</w:t>
      </w:r>
      <w:r w:rsidRPr="00C006EC">
        <w:rPr>
          <w:sz w:val="24"/>
          <w:szCs w:val="24"/>
        </w:rPr>
        <w:lastRenderedPageBreak/>
        <w:t xml:space="preserve">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7548EC">
        <w:rPr>
          <w:sz w:val="24"/>
          <w:szCs w:val="24"/>
        </w:rPr>
        <w:t>Толстинского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  <w:proofErr w:type="gramEnd"/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>проектировок бюджетных ассигнований местного бюджета,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</w:t>
      </w:r>
      <w:proofErr w:type="gramStart"/>
      <w:r w:rsidRPr="009C65BE">
        <w:rPr>
          <w:sz w:val="24"/>
          <w:szCs w:val="24"/>
        </w:rPr>
        <w:t>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2020 год и на плановый период 2021-2022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proofErr w:type="gramStart"/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</w:t>
      </w:r>
      <w:proofErr w:type="spellStart"/>
      <w:r w:rsidRPr="009C65BE">
        <w:rPr>
          <w:sz w:val="24"/>
          <w:szCs w:val="24"/>
        </w:rPr>
        <w:t>АЦК-Финансы</w:t>
      </w:r>
      <w:proofErr w:type="spellEnd"/>
      <w:r w:rsidRPr="009C65BE">
        <w:rPr>
          <w:sz w:val="24"/>
          <w:szCs w:val="24"/>
        </w:rPr>
        <w:t>»</w:t>
      </w:r>
      <w:proofErr w:type="gramEnd"/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>IV. Составление пояснительной записки в части, касающейся бюджетных ассигнований главного распорядителя (ответственного исполнителя соответствующих муниципальных  программ) на 20</w:t>
      </w:r>
      <w:r>
        <w:rPr>
          <w:b/>
          <w:sz w:val="24"/>
          <w:szCs w:val="24"/>
        </w:rPr>
        <w:t>20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21</w:t>
      </w:r>
      <w:r w:rsidRPr="00831833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2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 xml:space="preserve">составляется главными распорядителями с разграничением расходов на реализацию муниципальных программ и </w:t>
      </w:r>
      <w:proofErr w:type="spellStart"/>
      <w:r w:rsidRPr="007C2F5E">
        <w:rPr>
          <w:sz w:val="24"/>
          <w:szCs w:val="24"/>
        </w:rPr>
        <w:t>непрограммных</w:t>
      </w:r>
      <w:proofErr w:type="spellEnd"/>
      <w:r w:rsidRPr="007C2F5E">
        <w:rPr>
          <w:sz w:val="24"/>
          <w:szCs w:val="24"/>
        </w:rPr>
        <w:t xml:space="preserve">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составе пояснительной записки необходимо отразить по каждой муниципальной  программе и </w:t>
      </w:r>
      <w:proofErr w:type="spellStart"/>
      <w:r w:rsidRPr="007C2F5E">
        <w:rPr>
          <w:sz w:val="24"/>
          <w:szCs w:val="24"/>
        </w:rPr>
        <w:t>непрограммному</w:t>
      </w:r>
      <w:proofErr w:type="spellEnd"/>
      <w:r w:rsidRPr="007C2F5E">
        <w:rPr>
          <w:sz w:val="24"/>
          <w:szCs w:val="24"/>
        </w:rPr>
        <w:t xml:space="preserve">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в части </w:t>
      </w:r>
      <w:proofErr w:type="spellStart"/>
      <w:r w:rsidRPr="007C2F5E">
        <w:rPr>
          <w:sz w:val="24"/>
          <w:szCs w:val="24"/>
        </w:rPr>
        <w:t>непрограммных</w:t>
      </w:r>
      <w:proofErr w:type="spellEnd"/>
      <w:r w:rsidRPr="007C2F5E">
        <w:rPr>
          <w:sz w:val="24"/>
          <w:szCs w:val="24"/>
        </w:rPr>
        <w:t xml:space="preserve">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Согласование повторно представленного Обоснования по муниципальным программам с Комитетом экономики не требуется.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Пояснительная записка представляется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</w:t>
      </w:r>
      <w:proofErr w:type="gramStart"/>
      <w:r w:rsidRPr="007C2F5E">
        <w:rPr>
          <w:sz w:val="24"/>
          <w:szCs w:val="24"/>
        </w:rPr>
        <w:t>тысячах рублей</w:t>
      </w:r>
      <w:proofErr w:type="gramEnd"/>
      <w:r w:rsidRPr="007C2F5E">
        <w:rPr>
          <w:sz w:val="24"/>
          <w:szCs w:val="24"/>
        </w:rPr>
        <w:t xml:space="preserve">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Распределение бюджетных ассигнований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r w:rsidRPr="00A17DEC">
        <w:rPr>
          <w:sz w:val="24"/>
          <w:szCs w:val="24"/>
        </w:rPr>
        <w:t>Порядком  формирования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6 июня 2019 года № 85н (далее – Порядок № 85н)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862D41">
        <w:rPr>
          <w:sz w:val="24"/>
          <w:szCs w:val="24"/>
        </w:rPr>
        <w:t>изменений  в  порядок  применения  классификации  операций  сектора государственного  управления,  утвержденных  приказом  Минфина  России от 13 мая 2019 года № 69н (далее – Порядок № 69н);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>подготовленных Министерством финансов  Российской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2020 год и на плановый период 2021 и 2022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r w:rsidRPr="00A17DEC">
        <w:rPr>
          <w:sz w:val="24"/>
          <w:szCs w:val="24"/>
        </w:rPr>
        <w:t>Аналитической  таблицы  направлений  расходов,  применяемых  в  2019-2020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proofErr w:type="gramStart"/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20</w:t>
      </w:r>
      <w:r w:rsidRPr="0082080F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82080F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20</w:t>
      </w:r>
      <w:r w:rsidRPr="0082080F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82080F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  <w:proofErr w:type="gramEnd"/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2020 год  и  на  плановый  период  2021  и  2022  годов  и  особенностей  применения разделов</w:t>
      </w:r>
      <w:proofErr w:type="gramEnd"/>
      <w:r w:rsidRPr="007063A1">
        <w:rPr>
          <w:sz w:val="24"/>
          <w:szCs w:val="24"/>
          <w:lang w:eastAsia="ru-RU"/>
        </w:rPr>
        <w:t xml:space="preserve">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lastRenderedPageBreak/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исполнении районного бюджета на 2019 год и на плановый период 2020 и 20201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направлений расходов, применяемых в 201</w:t>
      </w:r>
      <w:r>
        <w:rPr>
          <w:sz w:val="24"/>
          <w:szCs w:val="24"/>
          <w:lang w:eastAsia="ru-RU"/>
        </w:rPr>
        <w:t>9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20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 xml:space="preserve">согласованных </w:t>
      </w:r>
      <w:r>
        <w:rPr>
          <w:sz w:val="24"/>
          <w:szCs w:val="24"/>
          <w:lang w:eastAsia="ru-RU"/>
        </w:rPr>
        <w:t>Комитетом экономики</w:t>
      </w:r>
      <w:r w:rsidRPr="00B838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района</w:t>
      </w:r>
      <w:r w:rsidRPr="00B8389E">
        <w:rPr>
          <w:sz w:val="24"/>
          <w:szCs w:val="24"/>
          <w:lang w:eastAsia="ru-RU"/>
        </w:rPr>
        <w:t xml:space="preserve"> предложений по уточнению перечня </w:t>
      </w:r>
      <w:r>
        <w:rPr>
          <w:sz w:val="24"/>
          <w:szCs w:val="24"/>
          <w:lang w:eastAsia="ru-RU"/>
        </w:rPr>
        <w:t>муниципальных</w:t>
      </w:r>
      <w:r w:rsidRPr="00B8389E">
        <w:rPr>
          <w:sz w:val="24"/>
          <w:szCs w:val="24"/>
          <w:lang w:eastAsia="ru-RU"/>
        </w:rPr>
        <w:t xml:space="preserve"> программ и их структуры;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proofErr w:type="gramStart"/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2020 год и на плановый период 2021 и 2022  годов и особенностей применения видов расходов,  отраженных в разделе 7.3.1</w:t>
      </w:r>
      <w:proofErr w:type="gramEnd"/>
      <w:r w:rsidRPr="007063A1">
        <w:rPr>
          <w:sz w:val="24"/>
          <w:szCs w:val="24"/>
          <w:lang w:eastAsia="ru-RU"/>
        </w:rPr>
        <w:t xml:space="preserve">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Распределение бюджетных ассигнований бюджета </w:t>
      </w:r>
      <w:r w:rsidR="003C19A5">
        <w:rPr>
          <w:sz w:val="24"/>
          <w:szCs w:val="24"/>
        </w:rPr>
        <w:t xml:space="preserve"> поселения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</w:t>
      </w:r>
      <w:proofErr w:type="gramStart"/>
      <w:r w:rsidRPr="007C2F5E">
        <w:rPr>
          <w:sz w:val="24"/>
          <w:szCs w:val="24"/>
        </w:rPr>
        <w:t>видов расходов классификации расходов бюджетов</w:t>
      </w:r>
      <w:proofErr w:type="gramEnd"/>
      <w:r w:rsidRPr="007C2F5E">
        <w:rPr>
          <w:sz w:val="24"/>
          <w:szCs w:val="24"/>
        </w:rPr>
        <w:t>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</w:t>
      </w:r>
      <w:proofErr w:type="gramStart"/>
      <w:r w:rsidRPr="00B8389E">
        <w:rPr>
          <w:b/>
          <w:sz w:val="24"/>
          <w:szCs w:val="24"/>
        </w:rPr>
        <w:t>утратившими</w:t>
      </w:r>
      <w:proofErr w:type="gramEnd"/>
      <w:r w:rsidRPr="00B8389E">
        <w:rPr>
          <w:b/>
          <w:sz w:val="24"/>
          <w:szCs w:val="24"/>
        </w:rPr>
        <w:t xml:space="preserve"> силу) нормативных правовых актов </w:t>
      </w:r>
      <w:r w:rsidR="003C19A5">
        <w:rPr>
          <w:b/>
          <w:sz w:val="24"/>
          <w:szCs w:val="24"/>
        </w:rPr>
        <w:t>Толстинского сельского 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20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21</w:t>
      </w:r>
      <w:r w:rsidRPr="00B8389E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2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«О  бюджете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«О  бюджете на </w:t>
      </w:r>
      <w:r>
        <w:rPr>
          <w:sz w:val="24"/>
          <w:szCs w:val="24"/>
        </w:rPr>
        <w:t>2020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3DA3"/>
    <w:rsid w:val="00060FD1"/>
    <w:rsid w:val="00071112"/>
    <w:rsid w:val="0007118F"/>
    <w:rsid w:val="00073DDF"/>
    <w:rsid w:val="000E7AA6"/>
    <w:rsid w:val="00111786"/>
    <w:rsid w:val="00156ED2"/>
    <w:rsid w:val="00162FEF"/>
    <w:rsid w:val="0016386D"/>
    <w:rsid w:val="001D35F9"/>
    <w:rsid w:val="001E05B8"/>
    <w:rsid w:val="00204BA9"/>
    <w:rsid w:val="0026154D"/>
    <w:rsid w:val="002C7BFD"/>
    <w:rsid w:val="002D22CF"/>
    <w:rsid w:val="002D3DA3"/>
    <w:rsid w:val="002E475F"/>
    <w:rsid w:val="002F7093"/>
    <w:rsid w:val="003052F0"/>
    <w:rsid w:val="00312E11"/>
    <w:rsid w:val="003452E8"/>
    <w:rsid w:val="003A35F1"/>
    <w:rsid w:val="003C073F"/>
    <w:rsid w:val="003C19A5"/>
    <w:rsid w:val="003D2F5C"/>
    <w:rsid w:val="00434559"/>
    <w:rsid w:val="00440345"/>
    <w:rsid w:val="00484DD4"/>
    <w:rsid w:val="00496707"/>
    <w:rsid w:val="004D09B0"/>
    <w:rsid w:val="00502D05"/>
    <w:rsid w:val="00521CBD"/>
    <w:rsid w:val="005348EA"/>
    <w:rsid w:val="00595FBD"/>
    <w:rsid w:val="005D007C"/>
    <w:rsid w:val="005D1A61"/>
    <w:rsid w:val="005E0704"/>
    <w:rsid w:val="005F00B4"/>
    <w:rsid w:val="005F5765"/>
    <w:rsid w:val="005F615A"/>
    <w:rsid w:val="00613CF1"/>
    <w:rsid w:val="0064541B"/>
    <w:rsid w:val="006C11FC"/>
    <w:rsid w:val="006D666F"/>
    <w:rsid w:val="006E75CA"/>
    <w:rsid w:val="007548EC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A0625"/>
    <w:rsid w:val="00AB15EF"/>
    <w:rsid w:val="00AC0203"/>
    <w:rsid w:val="00B311D7"/>
    <w:rsid w:val="00B313E8"/>
    <w:rsid w:val="00BC0160"/>
    <w:rsid w:val="00BE449E"/>
    <w:rsid w:val="00BE5F11"/>
    <w:rsid w:val="00BF3656"/>
    <w:rsid w:val="00C10366"/>
    <w:rsid w:val="00C3212C"/>
    <w:rsid w:val="00C567B2"/>
    <w:rsid w:val="00C56BE7"/>
    <w:rsid w:val="00C60BE8"/>
    <w:rsid w:val="00C723C1"/>
    <w:rsid w:val="00C80936"/>
    <w:rsid w:val="00C86292"/>
    <w:rsid w:val="00CD0EFF"/>
    <w:rsid w:val="00D000DB"/>
    <w:rsid w:val="00D02D77"/>
    <w:rsid w:val="00D07585"/>
    <w:rsid w:val="00D109F5"/>
    <w:rsid w:val="00D26907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A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UserPC2</cp:lastModifiedBy>
  <cp:revision>88</cp:revision>
  <cp:lastPrinted>2019-10-22T06:32:00Z</cp:lastPrinted>
  <dcterms:created xsi:type="dcterms:W3CDTF">2018-05-22T06:40:00Z</dcterms:created>
  <dcterms:modified xsi:type="dcterms:W3CDTF">2019-10-22T06:34:00Z</dcterms:modified>
</cp:coreProperties>
</file>