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22 ноября 2023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№ 101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2024 год»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01.01.2024г. по 31.12.2024г. Алексеевскому, Аятскому, Бородиновскому, Варненскому, Казановскому, Катенинскому, Краснооктябрьскому, Кулевчинскому, Лейпцигскому, Николаевскому, Новоуральскому, Покровскому, Толстинскому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Передать с 22.11.2023 г по 31.12.2023 г. Варненскому сельскому поселению полномочия по решению вопросов местного значения в соответствии с п.5 ч.1 ст.14 в части организации конкурсных процедур и заключения муниципального контракта на ремонт дорог в с. Варна, за счет межбюджетного трансферта, предусмотренного в бюджете Варненского муниципального района в сумме  27 млн. 632,74 тыс. рублей.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передаче части полномочий с администрациями сельских поселений Варненского муниципального района, указанных в части 1 и 3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22 ноября 2023 года № </w:t>
      </w:r>
      <w:r>
        <w:rPr>
          <w:rFonts w:cs="Times New Roman" w:ascii="Times New Roman" w:hAnsi="Times New Roman"/>
        </w:rPr>
        <w:t>101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50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2551"/>
        <w:gridCol w:w="1134"/>
        <w:gridCol w:w="1134"/>
        <w:gridCol w:w="853"/>
        <w:gridCol w:w="849"/>
        <w:gridCol w:w="1133"/>
        <w:gridCol w:w="1134"/>
        <w:gridCol w:w="1138"/>
        <w:gridCol w:w="6"/>
      </w:tblGrid>
      <w:tr>
        <w:trPr>
          <w:trHeight w:val="6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п.26 ч.1 ст. 15</w:t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22 ноября 2023 года № </w:t>
      </w:r>
      <w:r>
        <w:rPr>
          <w:rFonts w:cs="Times New Roman" w:ascii="Times New Roman" w:hAnsi="Times New Roman"/>
        </w:rPr>
        <w:t>101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tbl>
      <w:tblPr>
        <w:tblW w:w="10774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2412"/>
        <w:gridCol w:w="1135"/>
        <w:gridCol w:w="1133"/>
        <w:gridCol w:w="995"/>
        <w:gridCol w:w="1132"/>
        <w:gridCol w:w="1136"/>
        <w:gridCol w:w="1132"/>
        <w:gridCol w:w="1133"/>
      </w:tblGrid>
      <w:tr>
        <w:trPr>
          <w:trHeight w:val="709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п.26 ч.1 ст. 15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1054,31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1787,18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26,61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44,05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1163,60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27,13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1300,16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34922,91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149,63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2693,75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482,16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8,47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1690,75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60,26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2275,77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242,50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2012,19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1645,75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900,02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646,88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2982,92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43,10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37,67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1086,45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1035,02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33,19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16,96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2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4146,74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53039,03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574,45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446,62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2693,75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709" w:right="707" w:header="0" w:top="28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02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2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3469-9EC6-4F0B-A002-35B65CE9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Application>LibreOffice/6.4.0.3$Windows_X86_64 LibreOffice_project/b0a288ab3d2d4774cb44b62f04d5d28733ac6df8</Application>
  <Pages>3</Pages>
  <Words>665</Words>
  <Characters>4114</Characters>
  <CharactersWithSpaces>4655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2023-11-24T11:28:58Z</cp:lastPrinted>
  <dcterms:modified xsi:type="dcterms:W3CDTF">2023-11-24T11:41:56Z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