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2539365</wp:posOffset>
            </wp:positionH>
            <wp:positionV relativeFrom="paragraph">
              <wp:posOffset>-177165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2"/>
        <w:rPr/>
      </w:pPr>
      <w:r>
        <w:rPr/>
        <w:t>СОБРАНИЕ  ДЕПУТАТОВ</w:t>
      </w:r>
    </w:p>
    <w:p>
      <w:pPr>
        <w:pStyle w:val="Style22"/>
        <w:rPr/>
      </w:pPr>
      <w:r>
        <w:rPr/>
        <w:t>ВАРНЕНСКОГО МУНИЦИПАЛЬНОГО РАЙОНА</w:t>
      </w:r>
    </w:p>
    <w:p>
      <w:pPr>
        <w:pStyle w:val="Style22"/>
        <w:rPr/>
      </w:pPr>
      <w:r>
        <w:rPr/>
        <w:t>ЧЕЛЯБИНСКОЙ ОБЛАСТИ</w:t>
      </w:r>
    </w:p>
    <w:p>
      <w:pPr>
        <w:pStyle w:val="Style22"/>
        <w:rPr/>
      </w:pPr>
      <w:r>
        <w:rPr/>
      </w:r>
    </w:p>
    <w:p>
      <w:pPr>
        <w:pStyle w:val="Style22"/>
        <w:rPr/>
      </w:pPr>
      <w:r>
        <w:rPr/>
        <w:t>РЕШЕНИЕ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от  26 февраля 2025 года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с. Варна                                                      № 24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 утверждении Положения об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оплате труда работников, занятых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обслуживанием органов местного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самоуправления Варненского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муниципального района  в новой редакции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"/>
        <w:spacing w:lineRule="auto" w:line="240" w:beforeAutospacing="0" w:before="0" w:afterAutospacing="0" w:after="39"/>
        <w:ind w:firstLine="567"/>
        <w:jc w:val="both"/>
        <w:textAlignment w:val="baseline"/>
        <w:rPr>
          <w:rFonts w:eastAsia="Calibri"/>
          <w:b w:val="false"/>
          <w:b w:val="false"/>
          <w:bCs w:val="false"/>
          <w:kern w:val="0"/>
          <w:sz w:val="28"/>
          <w:szCs w:val="28"/>
          <w:lang w:eastAsia="en-US"/>
        </w:rPr>
      </w:pPr>
      <w:r>
        <w:rPr>
          <w:rFonts w:eastAsia="Calibri"/>
          <w:b w:val="false"/>
          <w:bCs w:val="false"/>
          <w:kern w:val="0"/>
          <w:sz w:val="24"/>
          <w:szCs w:val="24"/>
          <w:lang w:eastAsia="en-US"/>
        </w:rPr>
        <w:t xml:space="preserve">В соответствии с Трудовым </w:t>
      </w:r>
      <w:hyperlink r:id="rId3">
        <w:r>
          <w:rPr>
            <w:rFonts w:eastAsia="Calibri"/>
            <w:b w:val="false"/>
            <w:bCs w:val="false"/>
            <w:kern w:val="0"/>
            <w:sz w:val="24"/>
            <w:szCs w:val="24"/>
            <w:lang w:eastAsia="en-US"/>
          </w:rPr>
          <w:t>кодексом</w:t>
        </w:r>
      </w:hyperlink>
      <w:r>
        <w:rPr>
          <w:rFonts w:eastAsia="Calibri"/>
          <w:b w:val="false"/>
          <w:bCs w:val="false"/>
          <w:kern w:val="0"/>
          <w:sz w:val="24"/>
          <w:szCs w:val="24"/>
          <w:lang w:eastAsia="en-US"/>
        </w:rPr>
        <w:t xml:space="preserve"> Российской Федерации, Федеральным </w:t>
      </w:r>
      <w:hyperlink r:id="rId4">
        <w:r>
          <w:rPr>
            <w:rFonts w:eastAsia="Calibri"/>
            <w:b w:val="false"/>
            <w:bCs w:val="false"/>
            <w:kern w:val="0"/>
            <w:sz w:val="24"/>
            <w:szCs w:val="24"/>
            <w:lang w:eastAsia="en-US"/>
          </w:rPr>
          <w:t>законом</w:t>
        </w:r>
      </w:hyperlink>
      <w:r>
        <w:rPr>
          <w:rFonts w:eastAsia="Calibri"/>
          <w:b w:val="false"/>
          <w:bCs w:val="false"/>
          <w:kern w:val="0"/>
          <w:sz w:val="24"/>
          <w:szCs w:val="24"/>
          <w:lang w:eastAsia="en-US"/>
        </w:rPr>
        <w:t xml:space="preserve"> от 6 октября 2003 года № 131</w:t>
        <w:noBreakHyphen/>
        <w:t xml:space="preserve">ФЗ «Об общих принципах организации местного самоуправления в Российской Федерации», Постановлением Правительства Челябинской области от 11.09.2008 г, № 275-П (с учетом изменений)  «О введении новых систем оплаты труда работников областных государственных учреждений и органов государственной власти Челябинской области, оплата труда которых в настоящее время осуществляется на основе Единой тарифной сетки по оплате труда работников областных государственных учреждений», 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2025 год, утв. решением Российской трехсторонней комиссии по регулированию социально-трудовых отношений от 23.12.2024, протокол N 10), </w:t>
      </w:r>
      <w:hyperlink r:id="rId5">
        <w:r>
          <w:rPr>
            <w:rFonts w:eastAsia="Calibri"/>
            <w:b w:val="false"/>
            <w:bCs w:val="false"/>
            <w:color w:val="auto"/>
            <w:kern w:val="0"/>
            <w:sz w:val="24"/>
            <w:szCs w:val="24"/>
            <w:u w:val="none"/>
            <w:lang w:eastAsia="en-US"/>
          </w:rPr>
          <w:t>Уставом</w:t>
        </w:r>
      </w:hyperlink>
      <w:r>
        <w:rPr>
          <w:rFonts w:eastAsia="Calibri"/>
          <w:b w:val="false"/>
          <w:bCs w:val="false"/>
          <w:kern w:val="0"/>
          <w:sz w:val="24"/>
          <w:szCs w:val="24"/>
          <w:lang w:eastAsia="en-US"/>
        </w:rPr>
        <w:t xml:space="preserve"> Варненского муниципального района </w:t>
      </w:r>
      <w:r>
        <w:rPr>
          <w:b w:val="false"/>
          <w:bCs w:val="false"/>
          <w:sz w:val="24"/>
          <w:szCs w:val="24"/>
        </w:rPr>
        <w:t>Собрание депутатов Варненского муниципального района</w:t>
      </w:r>
    </w:p>
    <w:p>
      <w:pPr>
        <w:pStyle w:val="1"/>
        <w:spacing w:lineRule="atLeast" w:line="347" w:beforeAutospacing="0" w:before="0" w:afterAutospacing="0" w:after="210"/>
        <w:ind w:firstLine="567"/>
        <w:jc w:val="center"/>
        <w:textAlignment w:val="baseline"/>
        <w:rPr>
          <w:rFonts w:eastAsia="Calibri"/>
          <w:b w:val="false"/>
          <w:b w:val="false"/>
          <w:bCs w:val="false"/>
          <w:kern w:val="0"/>
          <w:sz w:val="28"/>
          <w:szCs w:val="28"/>
          <w:lang w:eastAsia="en-US"/>
        </w:rPr>
      </w:pPr>
      <w:r>
        <w:rPr>
          <w:b/>
          <w:sz w:val="24"/>
          <w:szCs w:val="24"/>
        </w:rPr>
        <w:t>РЕШАЕТ:</w:t>
      </w:r>
    </w:p>
    <w:p>
      <w:pPr>
        <w:pStyle w:val="NoSpacing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1. Утвердить Положение об оплате труда работников, занятых обслуживанием органов местного самоуправления Варненского муниципального района в новой редакции (Приложение).</w:t>
      </w:r>
    </w:p>
    <w:p>
      <w:pPr>
        <w:pStyle w:val="NoSpacing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2.Финансирование расходов на реализацию настоящего Решения осуществлять в пределах средств, предусмотренных в бюджете Варненского муниципального района на соответствующий финансовый год.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  <w:t xml:space="preserve">3. Считать  Положение об оплате труда работников, занятых обслуживанием органов местного самоуправления Варненского муниципального района, утвержденное Решением Собрания депутатов Варненского муниципального района от 02.10.2024 г № 91 (с изменениями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от</w:t>
      </w:r>
      <w:r>
        <w:rPr>
          <w:rFonts w:ascii="Times New Roman" w:hAnsi="Times New Roman"/>
          <w:sz w:val="24"/>
          <w:szCs w:val="24"/>
        </w:rPr>
        <w:t xml:space="preserve"> 21.01.2025 г. № 8)  утратившим силу.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  <w:t>4. Настоящее Решение  вступает в силу  с 01 февраля  2025 года.</w:t>
        <w:tab/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  <w:t>5.Настоящее Решение направить Главе Варненского муниципального района для подписания и обнародования.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Глава Варненского                                                         Председатель Собрания депутатов муниципального района                                          Варненского муниципального района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_____________ К.Ю. Моисеев                                  ________________ А.А. Кормилицын</w:t>
      </w:r>
      <w:bookmarkStart w:id="0" w:name="Par40"/>
      <w:bookmarkEnd w:id="0"/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Приложение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к Решению Собрания депутатов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Варненского муниципального района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от 26.02.2025 года №  24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12"/>
        <w:shd w:fill="FFFFFF"/>
        <w:spacing w:lineRule="exact" w:line="643"/>
        <w:ind w:left="3620" w:right="2840" w:firstLine="420"/>
        <w:jc w:val="left"/>
        <w:rPr>
          <w:rFonts w:ascii="Times New Roman" w:hAnsi="Times New Roman"/>
          <w:sz w:val="20"/>
          <w:szCs w:val="20"/>
        </w:rPr>
      </w:pPr>
      <w:r>
        <w:rPr>
          <w:b/>
          <w:sz w:val="24"/>
          <w:szCs w:val="24"/>
        </w:rPr>
        <w:t>П О Л О Ж Е Н И Е</w:t>
      </w:r>
    </w:p>
    <w:p>
      <w:pPr>
        <w:pStyle w:val="12"/>
        <w:shd w:fill="FFFFFF"/>
        <w:tabs>
          <w:tab w:val="clear" w:pos="709"/>
          <w:tab w:val="left" w:pos="0" w:leader="none"/>
        </w:tabs>
        <w:spacing w:lineRule="auto" w:line="240"/>
        <w:jc w:val="center"/>
        <w:rPr>
          <w:rFonts w:ascii="Times New Roman" w:hAnsi="Times New Roman"/>
          <w:sz w:val="20"/>
          <w:szCs w:val="20"/>
        </w:rPr>
      </w:pPr>
      <w:r>
        <w:rPr>
          <w:b/>
          <w:sz w:val="24"/>
          <w:szCs w:val="24"/>
        </w:rPr>
        <w:t>об оплате труда работников, занятых обслуживанием</w:t>
      </w:r>
    </w:p>
    <w:p>
      <w:pPr>
        <w:pStyle w:val="12"/>
        <w:shd w:fill="FFFFFF"/>
        <w:tabs>
          <w:tab w:val="clear" w:pos="709"/>
          <w:tab w:val="left" w:pos="0" w:leader="none"/>
        </w:tabs>
        <w:spacing w:lineRule="auto" w:line="240"/>
        <w:jc w:val="center"/>
        <w:rPr>
          <w:rFonts w:ascii="Times New Roman" w:hAnsi="Times New Roman"/>
          <w:sz w:val="20"/>
          <w:szCs w:val="20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органов местного самоуправления</w:t>
      </w:r>
    </w:p>
    <w:p>
      <w:pPr>
        <w:pStyle w:val="12"/>
        <w:shd w:fill="FFFFFF"/>
        <w:tabs>
          <w:tab w:val="clear" w:pos="709"/>
          <w:tab w:val="left" w:pos="0" w:leader="none"/>
        </w:tabs>
        <w:spacing w:lineRule="auto" w:line="240"/>
        <w:jc w:val="center"/>
        <w:rPr>
          <w:rFonts w:ascii="Times New Roman" w:hAnsi="Times New Roman"/>
          <w:sz w:val="20"/>
          <w:szCs w:val="20"/>
        </w:rPr>
      </w:pPr>
      <w:r>
        <w:rPr>
          <w:b/>
          <w:sz w:val="24"/>
          <w:szCs w:val="24"/>
        </w:rPr>
        <w:t>Варненского муниципального района</w:t>
      </w:r>
    </w:p>
    <w:p>
      <w:pPr>
        <w:pStyle w:val="12"/>
        <w:shd w:fill="FFFFFF"/>
        <w:spacing w:lineRule="exact" w:line="643"/>
        <w:ind w:left="3620" w:right="2840" w:firstLine="420"/>
        <w:jc w:val="left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I. Общие положения</w:t>
      </w:r>
    </w:p>
    <w:p>
      <w:pPr>
        <w:pStyle w:val="12"/>
        <w:numPr>
          <w:ilvl w:val="0"/>
          <w:numId w:val="1"/>
        </w:numPr>
        <w:shd w:fill="FFFFFF"/>
        <w:spacing w:lineRule="exact" w:line="312"/>
        <w:ind w:left="120" w:right="20" w:firstLine="731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Настоящее Положение об оплате труда работников,</w:t>
      </w:r>
      <w:r>
        <w:rPr/>
        <w:t xml:space="preserve"> </w:t>
      </w:r>
      <w:r>
        <w:rPr>
          <w:sz w:val="24"/>
          <w:szCs w:val="24"/>
        </w:rPr>
        <w:t xml:space="preserve">занятых обслуживанием органов местного самоуправления Варненского муниципального района, (далее именуется Положение) разработано в соответствии с Трудовым кодексом Российской Федерации, Федеральным </w:t>
      </w:r>
      <w:hyperlink r:id="rId6">
        <w:r>
          <w:rPr>
            <w:sz w:val="24"/>
            <w:szCs w:val="24"/>
          </w:rPr>
          <w:t>законом</w:t>
        </w:r>
      </w:hyperlink>
      <w:r>
        <w:rPr>
          <w:sz w:val="24"/>
          <w:szCs w:val="24"/>
        </w:rPr>
        <w:t xml:space="preserve"> от 6 октября 2003 года № 131</w:t>
        <w:noBreakHyphen/>
        <w:t xml:space="preserve">ФЗ «Об общих принципах организации местного самоуправления в Российской Федерации», постановлением Правительства Челябинской области от 11.09.2008 г. № 275-П </w:t>
      </w:r>
      <w:r>
        <w:rPr>
          <w:color w:val="FF0000"/>
          <w:sz w:val="24"/>
          <w:szCs w:val="24"/>
        </w:rPr>
        <w:t>(с учетом изменений)</w:t>
      </w:r>
      <w:r>
        <w:rPr>
          <w:sz w:val="24"/>
          <w:szCs w:val="24"/>
        </w:rPr>
        <w:t xml:space="preserve"> «О введении новых систем оплаты труда работников областных государственных учреждений и органов государственной власти Челябинской области, оплата труда которых  в настоящее время осуществляется на основе Единой тарифной сетки по оплате труда работников областных государственных учреждений»,</w:t>
      </w:r>
      <w:r>
        <w:rPr>
          <w:rFonts w:eastAsia="Calibri" w:cs="Calibri" w:ascii="Calibri" w:hAnsi="Calibri"/>
          <w:sz w:val="22"/>
          <w:szCs w:val="22"/>
        </w:rPr>
        <w:t xml:space="preserve"> </w:t>
      </w:r>
      <w:hyperlink r:id="rId7">
        <w:r>
          <w:rPr>
            <w:sz w:val="24"/>
            <w:szCs w:val="24"/>
            <w:u w:val="none"/>
          </w:rPr>
          <w:t>Уставом</w:t>
        </w:r>
      </w:hyperlink>
      <w:r>
        <w:rPr>
          <w:sz w:val="24"/>
          <w:szCs w:val="24"/>
        </w:rPr>
        <w:t xml:space="preserve"> Варненского муниципального района.</w:t>
      </w:r>
    </w:p>
    <w:p>
      <w:pPr>
        <w:pStyle w:val="12"/>
        <w:shd w:fill="FFFFFF"/>
        <w:spacing w:lineRule="exact" w:line="317"/>
        <w:ind w:left="0" w:right="60" w:firstLine="1134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Положение распространяется на работников, занятых обслуживанием органов местного самоуправления Варненского муниципального района, осуществляющих профессиональную деятельность по профессиям рабочих (далее именуются - работники).</w:t>
      </w:r>
    </w:p>
    <w:p>
      <w:pPr>
        <w:pStyle w:val="12"/>
        <w:numPr>
          <w:ilvl w:val="0"/>
          <w:numId w:val="2"/>
        </w:numPr>
        <w:shd w:fill="FFFFFF"/>
        <w:tabs>
          <w:tab w:val="clear" w:pos="709"/>
          <w:tab w:val="left" w:pos="1029" w:leader="none"/>
        </w:tabs>
        <w:spacing w:lineRule="exact" w:line="317"/>
        <w:ind w:left="0" w:right="60" w:firstLine="851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Система оплаты труда работников включает в себя размеры окладов по профессиональным квалифицированным группам, повышающие коэффициенты к окладам, выплаты компенсационного и стимулирующего характера в пределах утверждённого фонда оплаты труда.</w:t>
      </w:r>
    </w:p>
    <w:p>
      <w:pPr>
        <w:pStyle w:val="12"/>
        <w:numPr>
          <w:ilvl w:val="0"/>
          <w:numId w:val="2"/>
        </w:numPr>
        <w:shd w:fill="FFFFFF"/>
        <w:tabs>
          <w:tab w:val="clear" w:pos="709"/>
          <w:tab w:val="left" w:pos="1125" w:leader="none"/>
        </w:tabs>
        <w:spacing w:lineRule="exact" w:line="317"/>
        <w:ind w:left="40" w:right="60" w:firstLine="68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Условия оплаты труда работников являются обязательными для включения в трудовой договор.</w:t>
      </w:r>
    </w:p>
    <w:p>
      <w:pPr>
        <w:pStyle w:val="12"/>
        <w:numPr>
          <w:ilvl w:val="0"/>
          <w:numId w:val="2"/>
        </w:numPr>
        <w:shd w:fill="FFFFFF"/>
        <w:tabs>
          <w:tab w:val="clear" w:pos="709"/>
          <w:tab w:val="left" w:pos="1072" w:leader="none"/>
        </w:tabs>
        <w:spacing w:lineRule="exact" w:line="317"/>
        <w:ind w:left="40" w:right="60" w:firstLine="68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Оплата труда работников, занятых по совместительству, а также на условиях неполного рабочего времени, производится пропорционально отработанному времени. Определение размеров заработной платы по основной профессии, а также по профессии, занимаемой по совместительству, производится раздельно по каждой из профессий.</w:t>
      </w:r>
    </w:p>
    <w:p>
      <w:pPr>
        <w:pStyle w:val="12"/>
        <w:numPr>
          <w:ilvl w:val="0"/>
          <w:numId w:val="2"/>
        </w:numPr>
        <w:shd w:fill="FFFFFF"/>
        <w:tabs>
          <w:tab w:val="clear" w:pos="709"/>
          <w:tab w:val="left" w:pos="998" w:leader="none"/>
        </w:tabs>
        <w:spacing w:lineRule="exact" w:line="317"/>
        <w:ind w:left="40" w:right="0" w:firstLine="68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Оплата труда работников устанавливается с учетом:</w:t>
      </w:r>
    </w:p>
    <w:p>
      <w:pPr>
        <w:pStyle w:val="12"/>
        <w:numPr>
          <w:ilvl w:val="1"/>
          <w:numId w:val="2"/>
        </w:numPr>
        <w:shd w:fill="FFFFFF"/>
        <w:tabs>
          <w:tab w:val="clear" w:pos="709"/>
          <w:tab w:val="left" w:pos="1062" w:leader="none"/>
          <w:tab w:val="left" w:pos="9093" w:leader="none"/>
        </w:tabs>
        <w:spacing w:lineRule="exact" w:line="317"/>
        <w:ind w:left="40" w:right="60" w:firstLine="68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единого тарифно-квалификационного справочника работ и профессий рабочих;</w:t>
      </w:r>
    </w:p>
    <w:p>
      <w:pPr>
        <w:pStyle w:val="12"/>
        <w:numPr>
          <w:ilvl w:val="1"/>
          <w:numId w:val="2"/>
        </w:numPr>
        <w:shd w:fill="FFFFFF"/>
        <w:tabs>
          <w:tab w:val="clear" w:pos="709"/>
          <w:tab w:val="left" w:pos="1027" w:leader="none"/>
        </w:tabs>
        <w:spacing w:lineRule="exact" w:line="317"/>
        <w:ind w:left="40" w:right="0" w:firstLine="68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государственных гарантий по оплате труда;</w:t>
      </w:r>
    </w:p>
    <w:p>
      <w:pPr>
        <w:pStyle w:val="12"/>
        <w:numPr>
          <w:ilvl w:val="1"/>
          <w:numId w:val="2"/>
        </w:numPr>
        <w:shd w:fill="FFFFFF"/>
        <w:tabs>
          <w:tab w:val="clear" w:pos="709"/>
          <w:tab w:val="left" w:pos="1022" w:leader="none"/>
        </w:tabs>
        <w:spacing w:lineRule="exact" w:line="317"/>
        <w:ind w:left="40" w:right="0" w:firstLine="68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перечня видов выплат компенсационного характера;</w:t>
      </w:r>
    </w:p>
    <w:p>
      <w:pPr>
        <w:pStyle w:val="12"/>
        <w:numPr>
          <w:ilvl w:val="1"/>
          <w:numId w:val="2"/>
        </w:numPr>
        <w:shd w:fill="FFFFFF"/>
        <w:tabs>
          <w:tab w:val="clear" w:pos="709"/>
          <w:tab w:val="left" w:pos="1032" w:leader="none"/>
        </w:tabs>
        <w:spacing w:lineRule="exact" w:line="317"/>
        <w:ind w:left="40" w:right="0" w:firstLine="68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перечня видов выплат стимулирующего характера;</w:t>
      </w:r>
    </w:p>
    <w:p>
      <w:pPr>
        <w:pStyle w:val="12"/>
        <w:numPr>
          <w:ilvl w:val="1"/>
          <w:numId w:val="2"/>
        </w:numPr>
        <w:shd w:fill="FFFFFF"/>
        <w:tabs>
          <w:tab w:val="clear" w:pos="709"/>
          <w:tab w:val="left" w:pos="1022" w:leader="none"/>
        </w:tabs>
        <w:spacing w:lineRule="exact" w:line="317"/>
        <w:ind w:left="40" w:right="0" w:firstLine="68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настоящего Положения;</w:t>
      </w:r>
    </w:p>
    <w:p>
      <w:pPr>
        <w:pStyle w:val="12"/>
        <w:numPr>
          <w:ilvl w:val="1"/>
          <w:numId w:val="2"/>
        </w:numPr>
        <w:shd w:fill="FFFFFF"/>
        <w:tabs>
          <w:tab w:val="clear" w:pos="709"/>
          <w:tab w:val="left" w:pos="1048" w:leader="none"/>
        </w:tabs>
        <w:spacing w:lineRule="exact" w:line="317"/>
        <w:ind w:left="40" w:right="60" w:firstLine="68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мнения выборного профсоюзного или иного представительного органа работников.</w:t>
      </w:r>
    </w:p>
    <w:p>
      <w:pPr>
        <w:pStyle w:val="12"/>
        <w:shd w:fill="FFFFFF"/>
        <w:spacing w:lineRule="exact" w:line="270" w:before="0" w:after="247"/>
        <w:ind w:left="2640" w:right="0" w:hanging="0"/>
        <w:jc w:val="left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</w:r>
    </w:p>
    <w:p>
      <w:pPr>
        <w:pStyle w:val="12"/>
        <w:shd w:fill="FFFFFF"/>
        <w:spacing w:lineRule="exact" w:line="270" w:before="0" w:after="247"/>
        <w:ind w:left="2640" w:right="0" w:hanging="0"/>
        <w:jc w:val="left"/>
        <w:rPr>
          <w:rFonts w:ascii="Times New Roman" w:hAnsi="Times New Roman"/>
          <w:sz w:val="20"/>
          <w:szCs w:val="20"/>
        </w:rPr>
      </w:pPr>
      <w:r>
        <w:rPr>
          <w:b/>
          <w:sz w:val="24"/>
          <w:szCs w:val="24"/>
        </w:rPr>
        <w:t>II. Порядок и условия оплаты труда</w:t>
      </w:r>
    </w:p>
    <w:p>
      <w:pPr>
        <w:pStyle w:val="12"/>
        <w:numPr>
          <w:ilvl w:val="0"/>
          <w:numId w:val="2"/>
        </w:numPr>
        <w:shd w:fill="FFFFFF"/>
        <w:tabs>
          <w:tab w:val="clear" w:pos="709"/>
          <w:tab w:val="left" w:pos="993" w:leader="none"/>
        </w:tabs>
        <w:spacing w:lineRule="exact" w:line="326"/>
        <w:ind w:left="720" w:right="-2" w:hanging="0"/>
        <w:jc w:val="left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Оплата труда работников включает:</w:t>
      </w:r>
    </w:p>
    <w:p>
      <w:pPr>
        <w:pStyle w:val="12"/>
        <w:shd w:fill="FFFFFF"/>
        <w:tabs>
          <w:tab w:val="clear" w:pos="709"/>
          <w:tab w:val="left" w:pos="1008" w:leader="none"/>
        </w:tabs>
        <w:spacing w:lineRule="exact" w:line="326"/>
        <w:ind w:left="720" w:right="-2" w:hanging="0"/>
        <w:jc w:val="left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должностные оклады согласно приложения 1 к настоящему положению; </w:t>
      </w:r>
    </w:p>
    <w:p>
      <w:pPr>
        <w:pStyle w:val="12"/>
        <w:shd w:fill="FFFFFF"/>
        <w:tabs>
          <w:tab w:val="clear" w:pos="709"/>
          <w:tab w:val="left" w:pos="1008" w:leader="none"/>
        </w:tabs>
        <w:spacing w:lineRule="exact" w:line="326"/>
        <w:ind w:left="720" w:right="-2" w:hanging="0"/>
        <w:jc w:val="left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выплаты компенсационного характера;</w:t>
      </w:r>
    </w:p>
    <w:p>
      <w:pPr>
        <w:pStyle w:val="12"/>
        <w:shd w:fill="FFFFFF"/>
        <w:tabs>
          <w:tab w:val="clear" w:pos="709"/>
          <w:tab w:val="left" w:pos="1008" w:leader="none"/>
        </w:tabs>
        <w:spacing w:lineRule="exact" w:line="326"/>
        <w:ind w:left="720" w:right="4260" w:hanging="0"/>
        <w:jc w:val="left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выплаты стимулирующего характера.</w:t>
      </w:r>
    </w:p>
    <w:p>
      <w:pPr>
        <w:pStyle w:val="12"/>
        <w:shd w:fill="FFFFFF"/>
        <w:spacing w:lineRule="exact" w:line="326"/>
        <w:ind w:left="40" w:right="60" w:firstLine="680"/>
        <w:rPr>
          <w:rFonts w:ascii="Times New Roman" w:hAnsi="Times New Roman"/>
          <w:sz w:val="20"/>
          <w:szCs w:val="20"/>
        </w:rPr>
      </w:pPr>
      <w:r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Профессионально-квалификационные группы и размеры окладов рабочих определяются в зависимости от квалификационного уровня, в соответствии с Единым тарифно-квалификационным справочником работ и профессий рабочих и согласно приложению к настоящему Положению (Приложение№1).</w:t>
      </w:r>
    </w:p>
    <w:p>
      <w:pPr>
        <w:pStyle w:val="12"/>
        <w:shd w:fill="FFFFFF"/>
        <w:spacing w:lineRule="exact" w:line="317"/>
        <w:ind w:left="60" w:right="60" w:firstLine="700"/>
        <w:rPr>
          <w:rFonts w:ascii="Times New Roman" w:hAnsi="Times New Roman"/>
          <w:sz w:val="20"/>
          <w:szCs w:val="20"/>
        </w:rPr>
      </w:pPr>
      <w:r>
        <w:rPr>
          <w:b/>
          <w:sz w:val="24"/>
          <w:szCs w:val="24"/>
        </w:rPr>
        <w:t>8.</w:t>
      </w:r>
      <w:r>
        <w:rPr>
          <w:sz w:val="24"/>
          <w:szCs w:val="24"/>
        </w:rPr>
        <w:t xml:space="preserve"> Работникам устанавливаются повышающие коэффициенты к окладам:</w:t>
      </w:r>
    </w:p>
    <w:p>
      <w:pPr>
        <w:pStyle w:val="12"/>
        <w:shd w:fill="FFFFFF"/>
        <w:spacing w:lineRule="exact" w:line="317"/>
        <w:ind w:left="60" w:right="0" w:firstLine="70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персональный повышающий коэффициент к окладу;</w:t>
      </w:r>
    </w:p>
    <w:p>
      <w:pPr>
        <w:pStyle w:val="12"/>
        <w:shd w:fill="FFFFFF"/>
        <w:spacing w:lineRule="exact" w:line="317"/>
        <w:ind w:left="60" w:right="60" w:firstLine="70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повышающие коэффициенты к окладу за выполнение важных и ответственных работ.</w:t>
      </w:r>
    </w:p>
    <w:p>
      <w:pPr>
        <w:pStyle w:val="12"/>
        <w:shd w:fill="FFFFFF"/>
        <w:spacing w:lineRule="exact" w:line="317"/>
        <w:ind w:left="60" w:right="60" w:hanging="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         </w:t>
      </w:r>
      <w:r>
        <w:rPr>
          <w:b/>
          <w:sz w:val="24"/>
          <w:szCs w:val="24"/>
        </w:rPr>
        <w:t>9.</w:t>
      </w:r>
      <w:r>
        <w:rPr>
          <w:sz w:val="24"/>
          <w:szCs w:val="24"/>
        </w:rPr>
        <w:t xml:space="preserve"> Решение об установлении персонального повышающего коэффициента к окладу и его размерах принимается руководителем органа местного самоуправления  Варненского муниципального района персонально в отношении конкретного работника.</w:t>
      </w:r>
    </w:p>
    <w:p>
      <w:pPr>
        <w:pStyle w:val="12"/>
        <w:shd w:fill="FFFFFF"/>
        <w:spacing w:lineRule="exact" w:line="317"/>
        <w:ind w:left="60" w:right="60" w:firstLine="70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Размер выплат по повышающим коэффициентам к окладу определяется путём умножения размера оклада рабочего на повышающий коэффициент.</w:t>
      </w:r>
    </w:p>
    <w:p>
      <w:pPr>
        <w:pStyle w:val="12"/>
        <w:shd w:fill="FFFFFF"/>
        <w:spacing w:lineRule="exact" w:line="317" w:before="0" w:after="278"/>
        <w:ind w:left="60" w:right="60" w:firstLine="70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Применение персонального повышающего коэффициента к должностному окладу (окладу) не образует новый оклад и не учитывается при начислении стимулирующих и компенсационных выплат, установленных в процентных отношениях или абсолютных размерах к окладу.</w:t>
      </w:r>
    </w:p>
    <w:p>
      <w:pPr>
        <w:pStyle w:val="12"/>
        <w:shd w:fill="FFFFFF"/>
        <w:spacing w:lineRule="exact" w:line="270" w:before="0" w:after="300"/>
        <w:ind w:left="1480" w:right="0" w:hanging="0"/>
        <w:jc w:val="left"/>
        <w:rPr>
          <w:rFonts w:ascii="Times New Roman" w:hAnsi="Times New Roman"/>
          <w:sz w:val="20"/>
          <w:szCs w:val="20"/>
        </w:rPr>
      </w:pPr>
      <w:r>
        <w:rPr>
          <w:b/>
          <w:sz w:val="24"/>
          <w:szCs w:val="24"/>
        </w:rPr>
        <w:t>III. Порядок и условия выплат компенсационного характера</w:t>
      </w:r>
    </w:p>
    <w:p>
      <w:pPr>
        <w:pStyle w:val="12"/>
        <w:shd w:fill="FFFFFF"/>
        <w:spacing w:lineRule="exact" w:line="317"/>
        <w:ind w:left="60" w:right="0" w:firstLine="700"/>
        <w:rPr>
          <w:rFonts w:ascii="Times New Roman" w:hAnsi="Times New Roman"/>
          <w:sz w:val="20"/>
          <w:szCs w:val="20"/>
        </w:rPr>
      </w:pPr>
      <w:r>
        <w:rPr>
          <w:b/>
          <w:sz w:val="24"/>
          <w:szCs w:val="24"/>
        </w:rPr>
        <w:t>10.</w:t>
      </w:r>
      <w:r>
        <w:rPr>
          <w:sz w:val="24"/>
          <w:szCs w:val="24"/>
        </w:rPr>
        <w:t xml:space="preserve"> К выплатам компенсационного характера относятся выплаты:</w:t>
      </w:r>
    </w:p>
    <w:p>
      <w:pPr>
        <w:pStyle w:val="12"/>
        <w:numPr>
          <w:ilvl w:val="0"/>
          <w:numId w:val="3"/>
        </w:numPr>
        <w:shd w:fill="FFFFFF"/>
        <w:tabs>
          <w:tab w:val="clear" w:pos="709"/>
          <w:tab w:val="left" w:pos="1183" w:leader="none"/>
        </w:tabs>
        <w:spacing w:lineRule="exact" w:line="317"/>
        <w:ind w:left="60" w:right="60" w:firstLine="70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за работу в местностях с особыми климатическими условиями (районный коэффициент);</w:t>
      </w:r>
    </w:p>
    <w:p>
      <w:pPr>
        <w:pStyle w:val="12"/>
        <w:numPr>
          <w:ilvl w:val="0"/>
          <w:numId w:val="3"/>
        </w:numPr>
        <w:shd w:fill="FFFFFF"/>
        <w:tabs>
          <w:tab w:val="clear" w:pos="709"/>
          <w:tab w:val="left" w:pos="1087" w:leader="none"/>
        </w:tabs>
        <w:spacing w:lineRule="exact" w:line="317"/>
        <w:ind w:left="60" w:right="60" w:firstLine="70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выплаты за работу в условиях, отклоняющихся от нормальных, в том числе:</w:t>
      </w:r>
    </w:p>
    <w:p>
      <w:pPr>
        <w:pStyle w:val="12"/>
        <w:shd w:fill="FFFFFF"/>
        <w:spacing w:lineRule="exact" w:line="317"/>
        <w:ind w:left="60" w:right="0" w:firstLine="70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за выполнение работ различной квалификации;</w:t>
      </w:r>
    </w:p>
    <w:p>
      <w:pPr>
        <w:pStyle w:val="12"/>
        <w:shd w:fill="FFFFFF"/>
        <w:spacing w:lineRule="exact" w:line="317"/>
        <w:ind w:left="60" w:right="0" w:firstLine="70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за совмещение профессий;</w:t>
      </w:r>
    </w:p>
    <w:p>
      <w:pPr>
        <w:pStyle w:val="12"/>
        <w:shd w:fill="FFFFFF"/>
        <w:spacing w:lineRule="exact" w:line="317"/>
        <w:ind w:left="60" w:right="0" w:firstLine="70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за расширение зон обслуживания;</w:t>
      </w:r>
    </w:p>
    <w:p>
      <w:pPr>
        <w:pStyle w:val="12"/>
        <w:shd w:fill="FFFFFF"/>
        <w:spacing w:lineRule="exact" w:line="317"/>
        <w:ind w:left="60" w:right="60" w:firstLine="70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за исполнение обязанностей временно отсутствующего работника без освобождения от работы, определённой трудовым договором;</w:t>
      </w:r>
    </w:p>
    <w:p>
      <w:pPr>
        <w:pStyle w:val="12"/>
        <w:shd w:fill="FFFFFF"/>
        <w:spacing w:lineRule="exact" w:line="317"/>
        <w:ind w:left="60" w:right="0" w:firstLine="70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выходные и нерабочие праздничные дни;</w:t>
      </w:r>
    </w:p>
    <w:p>
      <w:pPr>
        <w:pStyle w:val="12"/>
        <w:shd w:fill="FFFFFF"/>
        <w:spacing w:lineRule="exact" w:line="317"/>
        <w:ind w:left="60" w:right="0" w:firstLine="70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за сверхурочную работу;</w:t>
      </w:r>
    </w:p>
    <w:p>
      <w:pPr>
        <w:pStyle w:val="12"/>
        <w:shd w:fill="FFFFFF"/>
        <w:spacing w:lineRule="exact" w:line="317"/>
        <w:ind w:left="60" w:right="0" w:firstLine="70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за работу в ночное время;</w:t>
      </w:r>
    </w:p>
    <w:p>
      <w:pPr>
        <w:pStyle w:val="12"/>
        <w:shd w:fill="FFFFFF"/>
        <w:spacing w:lineRule="exact" w:line="322"/>
        <w:ind w:left="60" w:right="0" w:firstLine="70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при выполнении работ в условиях, отличающихся от нормальных;</w:t>
      </w:r>
    </w:p>
    <w:p>
      <w:pPr>
        <w:pStyle w:val="12"/>
        <w:numPr>
          <w:ilvl w:val="0"/>
          <w:numId w:val="3"/>
        </w:numPr>
        <w:shd w:fill="FFFFFF"/>
        <w:spacing w:lineRule="exact" w:line="322"/>
        <w:ind w:left="60" w:right="0" w:firstLine="70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выплаты работникам, занятым на тяжелых работах, работах с вредными и (или) опасными и иными особыми условиями труда. </w:t>
      </w:r>
    </w:p>
    <w:p>
      <w:pPr>
        <w:pStyle w:val="12"/>
        <w:shd w:fill="FFFFFF"/>
        <w:spacing w:lineRule="exact" w:line="322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>11.</w:t>
      </w:r>
      <w:r>
        <w:rPr>
          <w:sz w:val="24"/>
          <w:szCs w:val="24"/>
        </w:rPr>
        <w:t xml:space="preserve"> Выплаты компенсационного характера устанавливаются к окладам (должностным окладам) работников по соответствующим профессиональным квалификационным группам в процентах к окладам (должностным окладам) или в абсолютных размерах, если иное не установлено законодательством Российской Федерации.</w:t>
      </w:r>
    </w:p>
    <w:p>
      <w:pPr>
        <w:pStyle w:val="12"/>
        <w:shd w:fill="FFFFFF"/>
        <w:spacing w:lineRule="auto" w:line="240"/>
        <w:ind w:left="0" w:right="40" w:firstLine="851"/>
        <w:rPr>
          <w:rFonts w:ascii="Times New Roman" w:hAnsi="Times New Roman"/>
          <w:sz w:val="20"/>
          <w:szCs w:val="20"/>
        </w:rPr>
      </w:pPr>
      <w:r>
        <w:rPr>
          <w:b/>
          <w:sz w:val="24"/>
          <w:szCs w:val="24"/>
        </w:rPr>
        <w:t>12.</w:t>
      </w:r>
      <w:r>
        <w:rPr>
          <w:sz w:val="24"/>
          <w:szCs w:val="24"/>
        </w:rPr>
        <w:t xml:space="preserve"> К заработной плате работников устанавливается районный коэффициент в размере и порядке, который установлен федеральными законами и иными нормативными правовыми актами Российской Федерации для граждан, работающих и проживающих в указанных районах и местностях.</w:t>
      </w:r>
    </w:p>
    <w:p>
      <w:pPr>
        <w:pStyle w:val="12"/>
        <w:shd w:fill="FFFFFF"/>
        <w:tabs>
          <w:tab w:val="clear" w:pos="709"/>
          <w:tab w:val="left" w:pos="1240" w:leader="none"/>
        </w:tabs>
        <w:spacing w:lineRule="auto" w:line="240"/>
        <w:ind w:left="0" w:right="40" w:firstLine="851"/>
        <w:rPr>
          <w:rFonts w:ascii="Times New Roman" w:hAnsi="Times New Roman"/>
          <w:sz w:val="20"/>
          <w:szCs w:val="20"/>
        </w:rPr>
      </w:pPr>
      <w:r>
        <w:rPr>
          <w:b/>
          <w:sz w:val="24"/>
          <w:szCs w:val="24"/>
        </w:rPr>
        <w:t>13.</w:t>
      </w:r>
      <w:r>
        <w:rPr>
          <w:sz w:val="24"/>
          <w:szCs w:val="24"/>
        </w:rPr>
        <w:t xml:space="preserve"> При выполнении работ различной квалификации труд работника оплачивается по работе более  высокой  квалификации.</w:t>
      </w:r>
    </w:p>
    <w:p>
      <w:pPr>
        <w:pStyle w:val="12"/>
        <w:shd w:fill="FFFFFF"/>
        <w:tabs>
          <w:tab w:val="clear" w:pos="709"/>
          <w:tab w:val="left" w:pos="1341" w:leader="none"/>
        </w:tabs>
        <w:spacing w:lineRule="auto" w:line="240"/>
        <w:ind w:left="0" w:right="40" w:firstLine="851"/>
        <w:rPr>
          <w:rFonts w:ascii="Times New Roman" w:hAnsi="Times New Roman"/>
          <w:sz w:val="20"/>
          <w:szCs w:val="20"/>
        </w:rPr>
      </w:pPr>
      <w:r>
        <w:rPr>
          <w:b/>
          <w:sz w:val="24"/>
          <w:szCs w:val="24"/>
        </w:rPr>
        <w:t>14</w:t>
      </w:r>
      <w:r>
        <w:rPr>
          <w:sz w:val="24"/>
          <w:szCs w:val="24"/>
        </w:rPr>
        <w:t xml:space="preserve">. Работникам, занятым обслуживанием органов местного самоуправления Варненского муниципального района, по решению руководителя, может устанавливаться доплата за совмещение должностей - выполнение работником наряду со своей основной работой, обусловленной трудовым договором, дополнительной работы по другой должности в течение рабочего дня, выполнение наряду со своей основной работы обязанностей временно отсутствующего работника. Размер надбавки за совмещение должностей (дополнительный объем работы) устанавливается в размерах до 70 процентов от заработной платы  замещаемого работника, установленной штатным расписанием. </w:t>
      </w:r>
    </w:p>
    <w:p>
      <w:pPr>
        <w:pStyle w:val="12"/>
        <w:shd w:fill="FFFFFF"/>
        <w:tabs>
          <w:tab w:val="clear" w:pos="709"/>
          <w:tab w:val="left" w:pos="1341" w:leader="none"/>
        </w:tabs>
        <w:spacing w:lineRule="auto" w:line="240"/>
        <w:ind w:left="0" w:right="40" w:firstLine="851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Указанные доплаты производятся за счёт общей экономии фонда оплаты труда. Конкретные размеры доплат зависят от фактической нагрузки, качества работы и наличия средств на оплату труда.</w:t>
      </w:r>
    </w:p>
    <w:p>
      <w:pPr>
        <w:pStyle w:val="12"/>
        <w:shd w:fill="FFFFFF"/>
        <w:tabs>
          <w:tab w:val="clear" w:pos="709"/>
          <w:tab w:val="left" w:pos="0" w:leader="none"/>
        </w:tabs>
        <w:spacing w:lineRule="exact" w:line="317"/>
        <w:ind w:left="0" w:right="40" w:firstLine="851"/>
        <w:rPr>
          <w:rFonts w:ascii="Times New Roman" w:hAnsi="Times New Roman"/>
          <w:sz w:val="20"/>
          <w:szCs w:val="20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 Выплата за работу в выходные и нерабочие праздничные дни производится работникам, привлекавшимся к работе в выходные и нерабочие праздничные дни.</w:t>
      </w:r>
    </w:p>
    <w:p>
      <w:pPr>
        <w:pStyle w:val="12"/>
        <w:shd w:fill="FFFFFF"/>
        <w:spacing w:lineRule="exact" w:line="317"/>
        <w:ind w:left="40" w:right="0" w:firstLine="72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Размер выплат составляет:</w:t>
      </w:r>
    </w:p>
    <w:p>
      <w:pPr>
        <w:pStyle w:val="12"/>
        <w:shd w:fill="FFFFFF"/>
        <w:spacing w:lineRule="exact" w:line="317"/>
        <w:ind w:left="40" w:right="40" w:firstLine="72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не менее одинарной дневной части оклада сверх оклада при работе полный день, если работа в выходной или нерабочий праздничный день производилась в пределах месячной нормы рабочего времени, и в размере не менее двойной дневной части оклада сверх оклада, если работа производилась сверх месячной нормы рабочего времени;</w:t>
      </w:r>
    </w:p>
    <w:p>
      <w:pPr>
        <w:pStyle w:val="12"/>
        <w:shd w:fill="FFFFFF"/>
        <w:spacing w:lineRule="exact" w:line="317"/>
        <w:ind w:left="40" w:right="40" w:firstLine="72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не менее одинарной части оклада сверх оклада за каждый час работы, если работа в выходной или нерабочий праздничный день производилась в пределах месячной нормы рабочего времени, и в размере не менее двойной части оклада сверх оклада за каждый час работы, если работа производилась сверх месячной нормы рабочего времени.</w:t>
      </w:r>
    </w:p>
    <w:p>
      <w:pPr>
        <w:pStyle w:val="12"/>
        <w:shd w:fill="FFFFFF"/>
        <w:spacing w:lineRule="exact" w:line="317"/>
        <w:ind w:left="40" w:right="40" w:firstLine="72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По желанию работника, работавшего в выходной или нерабочий праздничный день, ему может быть предоставлен другой день отдыха.</w:t>
      </w:r>
    </w:p>
    <w:p>
      <w:pPr>
        <w:pStyle w:val="12"/>
        <w:numPr>
          <w:ilvl w:val="0"/>
          <w:numId w:val="5"/>
        </w:numPr>
        <w:shd w:fill="FFFFFF"/>
        <w:tabs>
          <w:tab w:val="clear" w:pos="709"/>
          <w:tab w:val="left" w:pos="1226" w:leader="none"/>
        </w:tabs>
        <w:spacing w:lineRule="exact" w:line="317"/>
        <w:ind w:left="0" w:right="40" w:firstLine="851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Выплаты за сверхурочную работу составляют за первые два часа работы не менее полуторного размера оклада, за последующие часы - двойного размера оклада в соответствии со статьей 152 Трудового кодекса Российской Федерации.</w:t>
      </w:r>
    </w:p>
    <w:p>
      <w:pPr>
        <w:pStyle w:val="12"/>
        <w:numPr>
          <w:ilvl w:val="0"/>
          <w:numId w:val="5"/>
        </w:numPr>
        <w:shd w:fill="FFFFFF"/>
        <w:tabs>
          <w:tab w:val="clear" w:pos="709"/>
          <w:tab w:val="left" w:pos="1302" w:leader="none"/>
        </w:tabs>
        <w:spacing w:lineRule="exact" w:line="317"/>
        <w:ind w:left="0" w:right="40" w:firstLine="851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Выплаты за работу в ночное время производятся работникам за каждый час работы в ночное время. Ночным считается время с 22 часов до 6 часов.</w:t>
      </w:r>
    </w:p>
    <w:p>
      <w:pPr>
        <w:pStyle w:val="12"/>
        <w:shd w:fill="FFFFFF"/>
        <w:spacing w:lineRule="exact" w:line="317"/>
        <w:ind w:left="40" w:right="40" w:firstLine="72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Размер выплаты составляет не менее 20 процентов части оклада за час работы работника в ночное время.</w:t>
      </w:r>
    </w:p>
    <w:p>
      <w:pPr>
        <w:pStyle w:val="12"/>
        <w:shd w:fill="FFFFFF"/>
        <w:spacing w:lineRule="exact" w:line="317"/>
        <w:ind w:left="40" w:right="40" w:firstLine="72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Расчет части оклада за час работы определяется путем деления оклада работника на среднемесячное количество рабочих часов в соответствующем календарном году.</w:t>
      </w:r>
    </w:p>
    <w:p>
      <w:pPr>
        <w:pStyle w:val="12"/>
        <w:numPr>
          <w:ilvl w:val="0"/>
          <w:numId w:val="5"/>
        </w:numPr>
        <w:shd w:fill="FFFFFF"/>
        <w:tabs>
          <w:tab w:val="clear" w:pos="709"/>
          <w:tab w:val="left" w:pos="1264" w:leader="none"/>
        </w:tabs>
        <w:spacing w:lineRule="exact" w:line="317"/>
        <w:ind w:left="0" w:right="40" w:firstLine="851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Выплаты при выполнении работ в условиях, отличающихся от нормальных, устанавливаются водителям автомобилей всех типов, имеющим 1-ый класс - в размере 25 процентов, 2-ой класс - 10 процентов оклада за фактически проработанное время в качестве водителя.</w:t>
      </w:r>
    </w:p>
    <w:p>
      <w:pPr>
        <w:pStyle w:val="12"/>
        <w:shd w:fill="FFFFFF"/>
        <w:tabs>
          <w:tab w:val="clear" w:pos="709"/>
          <w:tab w:val="left" w:pos="1317" w:leader="none"/>
        </w:tabs>
        <w:spacing w:lineRule="exact" w:line="317"/>
        <w:ind w:left="0" w:right="40" w:hanging="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            </w:t>
      </w:r>
      <w:r>
        <w:rPr>
          <w:b/>
          <w:sz w:val="24"/>
          <w:szCs w:val="24"/>
        </w:rPr>
        <w:t>19.</w:t>
      </w:r>
      <w:r>
        <w:rPr>
          <w:sz w:val="24"/>
          <w:szCs w:val="24"/>
        </w:rPr>
        <w:t xml:space="preserve"> Повышение оплаты труда работникам, занятым на тяжелых работах, работах с вредными и (или) опасными и иными особыми условиями труда  устанавливается с учетом результатов специальной оценки условий труда: </w:t>
      </w:r>
    </w:p>
    <w:p>
      <w:pPr>
        <w:pStyle w:val="12"/>
        <w:shd w:fill="FFFFFF"/>
        <w:tabs>
          <w:tab w:val="clear" w:pos="709"/>
          <w:tab w:val="left" w:pos="1317" w:leader="none"/>
        </w:tabs>
        <w:spacing w:lineRule="exact" w:line="317"/>
        <w:ind w:left="426" w:right="40" w:hanging="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-подкласс 3.1 в размере 4 процентов,</w:t>
      </w:r>
    </w:p>
    <w:p>
      <w:pPr>
        <w:pStyle w:val="12"/>
        <w:shd w:fill="FFFFFF"/>
        <w:tabs>
          <w:tab w:val="clear" w:pos="709"/>
          <w:tab w:val="left" w:pos="1317" w:leader="none"/>
        </w:tabs>
        <w:spacing w:lineRule="exact" w:line="317"/>
        <w:ind w:left="426" w:right="40" w:hanging="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- подкласс 3.2 в размере 8 процентов,</w:t>
      </w:r>
    </w:p>
    <w:p>
      <w:pPr>
        <w:pStyle w:val="12"/>
        <w:shd w:fill="FFFFFF"/>
        <w:tabs>
          <w:tab w:val="clear" w:pos="709"/>
          <w:tab w:val="left" w:pos="1317" w:leader="none"/>
        </w:tabs>
        <w:spacing w:lineRule="exact" w:line="317"/>
        <w:ind w:left="426" w:right="40" w:hanging="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-подкласс 3.3 и 3.4 в размере 12 процентов оклада (должностного оклада), установленного для различных видов работ с нормальными условиями труда.     </w:t>
      </w:r>
    </w:p>
    <w:p>
      <w:pPr>
        <w:pStyle w:val="12"/>
        <w:shd w:fill="FFFFFF"/>
        <w:tabs>
          <w:tab w:val="clear" w:pos="709"/>
          <w:tab w:val="left" w:pos="1317" w:leader="none"/>
        </w:tabs>
        <w:spacing w:lineRule="exact" w:line="317"/>
        <w:ind w:left="0" w:right="40" w:hanging="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Руководитель учреждения  принимают меры по проведению специальной оценки условий труда в соответствии с ФЗ от 28 декабря 2013 г. N 426-ФЗ "О специальной оценке условий труда" (с изменениями и  дополнениями с целью разработки и реализации программы действия по обеспечению безопасных условий и охраны труда.</w:t>
      </w:r>
    </w:p>
    <w:p>
      <w:pPr>
        <w:pStyle w:val="12"/>
        <w:shd w:fill="FFFFFF"/>
        <w:tabs>
          <w:tab w:val="clear" w:pos="709"/>
          <w:tab w:val="left" w:pos="1317" w:leader="none"/>
        </w:tabs>
        <w:spacing w:lineRule="exact" w:line="317"/>
        <w:ind w:left="0" w:right="40" w:hanging="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Если по итогам специальной оценки условий труда рабочее место признается безопасным, то выплаты работникам, занятым на тяжелых работах, работах с вредными и (или) опасными и иными особыми условиями труда отменяются.</w:t>
      </w:r>
    </w:p>
    <w:p>
      <w:pPr>
        <w:pStyle w:val="12"/>
        <w:shd w:fill="FFFFFF"/>
        <w:tabs>
          <w:tab w:val="clear" w:pos="709"/>
          <w:tab w:val="left" w:pos="1317" w:leader="none"/>
        </w:tabs>
        <w:spacing w:lineRule="exact" w:line="317"/>
        <w:ind w:left="0" w:right="40" w:firstLine="851"/>
        <w:rPr>
          <w:rFonts w:ascii="Times New Roman" w:hAnsi="Times New Roman"/>
          <w:sz w:val="20"/>
          <w:szCs w:val="20"/>
        </w:rPr>
      </w:pPr>
      <w:r>
        <w:rPr>
          <w:b/>
          <w:sz w:val="24"/>
          <w:szCs w:val="24"/>
        </w:rPr>
        <w:t xml:space="preserve">20. </w:t>
      </w:r>
      <w:r>
        <w:rPr>
          <w:sz w:val="24"/>
          <w:szCs w:val="24"/>
        </w:rPr>
        <w:t>Выплаты компенсационного характера, размеры и условия их осуществления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 Российской Федерации и Челябинской области, содержащими нормы трудового права, и конкретизируются в трудовых договорах работников.</w:t>
      </w:r>
    </w:p>
    <w:p>
      <w:pPr>
        <w:pStyle w:val="12"/>
        <w:shd w:fill="FFFFFF"/>
        <w:tabs>
          <w:tab w:val="clear" w:pos="709"/>
          <w:tab w:val="left" w:pos="1317" w:leader="none"/>
        </w:tabs>
        <w:spacing w:lineRule="exact" w:line="317"/>
        <w:ind w:left="0" w:right="40" w:hanging="0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</w:r>
    </w:p>
    <w:p>
      <w:pPr>
        <w:pStyle w:val="12"/>
        <w:shd w:fill="FFFFFF"/>
        <w:spacing w:lineRule="exact" w:line="270" w:before="0" w:after="250"/>
        <w:ind w:left="1540" w:right="0" w:hanging="0"/>
        <w:jc w:val="left"/>
        <w:rPr>
          <w:rFonts w:ascii="Times New Roman" w:hAnsi="Times New Roman"/>
          <w:sz w:val="20"/>
          <w:szCs w:val="20"/>
        </w:rPr>
      </w:pPr>
      <w:r>
        <w:rPr>
          <w:b/>
          <w:sz w:val="24"/>
          <w:szCs w:val="24"/>
        </w:rPr>
        <w:t>IV. Порядок и условия выплат стимулирующего характера</w:t>
      </w:r>
    </w:p>
    <w:p>
      <w:pPr>
        <w:pStyle w:val="12"/>
        <w:numPr>
          <w:ilvl w:val="0"/>
          <w:numId w:val="6"/>
        </w:numPr>
        <w:shd w:fill="FFFFFF"/>
        <w:tabs>
          <w:tab w:val="clear" w:pos="709"/>
          <w:tab w:val="left" w:pos="1398" w:leader="none"/>
        </w:tabs>
        <w:spacing w:lineRule="exact" w:line="317"/>
        <w:ind w:left="0" w:right="20" w:firstLine="851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В целях поощрения работников за выполненную работу устанавливаются следующие выплаты стимулирующего характера:</w:t>
      </w:r>
    </w:p>
    <w:p>
      <w:pPr>
        <w:pStyle w:val="12"/>
        <w:numPr>
          <w:ilvl w:val="1"/>
          <w:numId w:val="4"/>
        </w:numPr>
        <w:shd w:fill="FFFFFF"/>
        <w:tabs>
          <w:tab w:val="clear" w:pos="709"/>
          <w:tab w:val="left" w:pos="1043" w:leader="none"/>
        </w:tabs>
        <w:spacing w:lineRule="exact" w:line="317"/>
        <w:ind w:left="40" w:right="0" w:firstLine="72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выплаты за интенсивность и высокие результаты;</w:t>
      </w:r>
    </w:p>
    <w:p>
      <w:pPr>
        <w:pStyle w:val="12"/>
        <w:numPr>
          <w:ilvl w:val="1"/>
          <w:numId w:val="4"/>
        </w:numPr>
        <w:shd w:fill="FFFFFF"/>
        <w:tabs>
          <w:tab w:val="clear" w:pos="709"/>
          <w:tab w:val="left" w:pos="1072" w:leader="none"/>
        </w:tabs>
        <w:spacing w:lineRule="exact" w:line="317"/>
        <w:ind w:left="40" w:right="0" w:firstLine="72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выплаты за качество выполняемых работ;</w:t>
      </w:r>
    </w:p>
    <w:p>
      <w:pPr>
        <w:pStyle w:val="12"/>
        <w:numPr>
          <w:ilvl w:val="1"/>
          <w:numId w:val="4"/>
        </w:numPr>
        <w:shd w:fill="FFFFFF"/>
        <w:tabs>
          <w:tab w:val="clear" w:pos="709"/>
          <w:tab w:val="left" w:pos="1067" w:leader="none"/>
        </w:tabs>
        <w:spacing w:lineRule="exact" w:line="317"/>
        <w:ind w:left="40" w:right="0" w:firstLine="72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выплаты за выслугу лет;</w:t>
      </w:r>
    </w:p>
    <w:p>
      <w:pPr>
        <w:pStyle w:val="12"/>
        <w:numPr>
          <w:ilvl w:val="1"/>
          <w:numId w:val="4"/>
        </w:numPr>
        <w:shd w:fill="FFFFFF"/>
        <w:tabs>
          <w:tab w:val="clear" w:pos="709"/>
          <w:tab w:val="left" w:pos="1067" w:leader="none"/>
        </w:tabs>
        <w:spacing w:lineRule="exact" w:line="317"/>
        <w:ind w:left="40" w:right="0" w:firstLine="72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ежемесячное денежное поощрение (размер денежного поощрения устанавливается в кратном размере к должностному окладу в соответствии с Приложением №1 к настоящему положению)</w:t>
      </w:r>
    </w:p>
    <w:p>
      <w:pPr>
        <w:pStyle w:val="12"/>
        <w:numPr>
          <w:ilvl w:val="1"/>
          <w:numId w:val="4"/>
        </w:numPr>
        <w:shd w:fill="FFFFFF"/>
        <w:tabs>
          <w:tab w:val="clear" w:pos="709"/>
          <w:tab w:val="left" w:pos="1043" w:leader="none"/>
        </w:tabs>
        <w:spacing w:lineRule="exact" w:line="317"/>
        <w:ind w:left="40" w:right="0" w:firstLine="72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премиальные выплаты по итогам работы;</w:t>
      </w:r>
    </w:p>
    <w:p>
      <w:pPr>
        <w:pStyle w:val="12"/>
        <w:numPr>
          <w:ilvl w:val="1"/>
          <w:numId w:val="4"/>
        </w:numPr>
        <w:shd w:fill="FFFFFF"/>
        <w:tabs>
          <w:tab w:val="clear" w:pos="709"/>
          <w:tab w:val="left" w:pos="1043" w:leader="none"/>
        </w:tabs>
        <w:spacing w:lineRule="exact" w:line="317"/>
        <w:ind w:left="40" w:right="0" w:firstLine="72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единовременной выплаты при предоставлении ежегодного оплачиваемого отпуска – в размере 2 должностных окладов;</w:t>
      </w:r>
    </w:p>
    <w:p>
      <w:pPr>
        <w:pStyle w:val="12"/>
        <w:shd w:fill="FFFFFF"/>
        <w:tabs>
          <w:tab w:val="clear" w:pos="709"/>
          <w:tab w:val="left" w:pos="1072" w:leader="none"/>
        </w:tabs>
        <w:spacing w:lineRule="exact" w:line="317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>7)материальная помощь.</w:t>
      </w:r>
    </w:p>
    <w:p>
      <w:pPr>
        <w:pStyle w:val="12"/>
        <w:shd w:fill="FFFFFF"/>
        <w:tabs>
          <w:tab w:val="clear" w:pos="709"/>
          <w:tab w:val="left" w:pos="1206" w:leader="none"/>
        </w:tabs>
        <w:spacing w:lineRule="exact" w:line="317"/>
        <w:ind w:left="0" w:right="20" w:hanging="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22.</w:t>
      </w:r>
      <w:r>
        <w:rPr>
          <w:sz w:val="24"/>
          <w:szCs w:val="24"/>
        </w:rPr>
        <w:t xml:space="preserve"> Выплаты за интенсивность и высокие результаты осуществляются работникам, выполняющим важные и ответственные работы в размере - до </w:t>
      </w:r>
      <w:r>
        <w:rPr>
          <w:color w:val="000000"/>
          <w:sz w:val="24"/>
          <w:szCs w:val="24"/>
        </w:rPr>
        <w:t>100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процентов оклада; </w:t>
      </w:r>
    </w:p>
    <w:p>
      <w:pPr>
        <w:pStyle w:val="12"/>
        <w:shd w:fill="FFFFFF"/>
        <w:tabs>
          <w:tab w:val="clear" w:pos="709"/>
          <w:tab w:val="left" w:pos="1206" w:leader="none"/>
        </w:tabs>
        <w:spacing w:lineRule="exact" w:line="317"/>
        <w:ind w:left="0" w:right="20" w:hanging="0"/>
        <w:rPr>
          <w:rFonts w:ascii="Times New Roman" w:hAnsi="Times New Roman"/>
          <w:sz w:val="20"/>
          <w:szCs w:val="20"/>
        </w:rPr>
      </w:pPr>
      <w:r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23. </w:t>
      </w:r>
      <w:r>
        <w:rPr>
          <w:sz w:val="24"/>
          <w:szCs w:val="24"/>
        </w:rPr>
        <w:t xml:space="preserve">Выплата за качество выполняемой работы устанавливается в размере до </w:t>
      </w:r>
      <w:r>
        <w:rPr>
          <w:color w:val="000000"/>
          <w:sz w:val="24"/>
          <w:szCs w:val="24"/>
        </w:rPr>
        <w:t>150</w:t>
      </w:r>
      <w:r>
        <w:rPr>
          <w:sz w:val="24"/>
          <w:szCs w:val="24"/>
        </w:rPr>
        <w:t xml:space="preserve"> процентов оклада, в целях усиления материальной заинтересованности работников в повышении качества выполняемых задач, возложенных на органы местного самоуправления Варненского муниципального района (конкретного работника), своевременном и добросовестном исполнении своих трудовых функций, повышения уровня ответственности за порученный участок работы.</w:t>
      </w:r>
    </w:p>
    <w:p>
      <w:pPr>
        <w:pStyle w:val="12"/>
        <w:shd w:fill="FFFFFF"/>
        <w:tabs>
          <w:tab w:val="clear" w:pos="709"/>
          <w:tab w:val="left" w:pos="1211" w:leader="none"/>
        </w:tabs>
        <w:spacing w:lineRule="exact" w:line="317"/>
        <w:ind w:left="0" w:right="20" w:hanging="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         </w:t>
      </w:r>
      <w:r>
        <w:rPr>
          <w:b/>
          <w:sz w:val="24"/>
          <w:szCs w:val="24"/>
        </w:rPr>
        <w:t>24</w:t>
      </w:r>
      <w:r>
        <w:rPr>
          <w:sz w:val="24"/>
          <w:szCs w:val="24"/>
        </w:rPr>
        <w:t>. Выплата за выслугу лет устанавливается в процентах от оклада, в зависимости от общего трудового стажа работы в следующих размерах:</w:t>
      </w:r>
    </w:p>
    <w:p>
      <w:pPr>
        <w:pStyle w:val="12"/>
        <w:shd w:fill="FFFFFF"/>
        <w:tabs>
          <w:tab w:val="clear" w:pos="709"/>
          <w:tab w:val="left" w:pos="7878" w:leader="none"/>
        </w:tabs>
        <w:spacing w:lineRule="exact" w:line="317"/>
        <w:ind w:left="40" w:right="0" w:firstLine="72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от 3 лет до 8 </w:t>
      </w:r>
      <w:r>
        <w:rPr>
          <w:rStyle w:val="1pt"/>
          <w:sz w:val="24"/>
          <w:shd w:fill="auto" w:val="clear"/>
        </w:rPr>
        <w:t>лет-10</w:t>
      </w:r>
      <w:r>
        <w:rPr>
          <w:sz w:val="24"/>
          <w:szCs w:val="24"/>
        </w:rPr>
        <w:t xml:space="preserve"> процентов;</w:t>
        <w:tab/>
      </w:r>
    </w:p>
    <w:p>
      <w:pPr>
        <w:pStyle w:val="12"/>
        <w:shd w:fill="FFFFFF"/>
        <w:spacing w:lineRule="exact" w:line="317"/>
        <w:ind w:left="740" w:right="4540" w:hanging="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от 8 лет до 13 лет - 15 процентов;</w:t>
      </w:r>
    </w:p>
    <w:p>
      <w:pPr>
        <w:pStyle w:val="12"/>
        <w:shd w:fill="FFFFFF"/>
        <w:spacing w:lineRule="exact" w:line="317"/>
        <w:ind w:left="740" w:right="4540" w:hanging="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от 13 лет до 18 лет - 20 процентов; </w:t>
      </w:r>
    </w:p>
    <w:p>
      <w:pPr>
        <w:pStyle w:val="12"/>
        <w:shd w:fill="FFFFFF"/>
        <w:spacing w:lineRule="exact" w:line="317"/>
        <w:ind w:left="740" w:right="4540" w:hanging="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от 18 лет до 23 лет - 25 процентов;</w:t>
      </w:r>
    </w:p>
    <w:p>
      <w:pPr>
        <w:pStyle w:val="12"/>
        <w:shd w:fill="FFFFFF"/>
        <w:spacing w:lineRule="exact" w:line="317"/>
        <w:ind w:left="740" w:right="4540" w:hanging="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от 23 лет и свыше - 30 процентов.</w:t>
      </w:r>
    </w:p>
    <w:p>
      <w:pPr>
        <w:pStyle w:val="12"/>
        <w:numPr>
          <w:ilvl w:val="0"/>
          <w:numId w:val="4"/>
        </w:numPr>
        <w:shd w:fill="FFFFFF"/>
        <w:spacing w:lineRule="exact" w:line="317"/>
        <w:ind w:left="40" w:right="0" w:firstLine="72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Премия по итогам работы выплачивается:</w:t>
      </w:r>
    </w:p>
    <w:p>
      <w:pPr>
        <w:pStyle w:val="12"/>
        <w:numPr>
          <w:ilvl w:val="1"/>
          <w:numId w:val="4"/>
        </w:numPr>
        <w:shd w:fill="FFFFFF"/>
        <w:tabs>
          <w:tab w:val="clear" w:pos="709"/>
          <w:tab w:val="left" w:pos="1043" w:leader="none"/>
        </w:tabs>
        <w:spacing w:lineRule="exact" w:line="317"/>
        <w:ind w:left="40" w:right="0" w:firstLine="72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ежемесячная, за квартал, за полугодие, за 9 месяцев и по итогам года;</w:t>
      </w:r>
    </w:p>
    <w:p>
      <w:pPr>
        <w:pStyle w:val="12"/>
        <w:numPr>
          <w:ilvl w:val="1"/>
          <w:numId w:val="4"/>
        </w:numPr>
        <w:shd w:fill="FFFFFF"/>
        <w:tabs>
          <w:tab w:val="clear" w:pos="709"/>
          <w:tab w:val="left" w:pos="1067" w:leader="none"/>
        </w:tabs>
        <w:spacing w:lineRule="exact" w:line="317"/>
        <w:ind w:left="40" w:right="0" w:firstLine="72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за выполнение особо важных и срочных работ;</w:t>
      </w:r>
    </w:p>
    <w:p>
      <w:pPr>
        <w:pStyle w:val="12"/>
        <w:shd w:fill="FFFFFF"/>
        <w:spacing w:lineRule="exact" w:line="317"/>
        <w:ind w:left="40" w:right="20" w:firstLine="72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Ежемесячная, за квартал, за полугодие, за 9 месяцев и по итогам года выплачивается с целью поощрения работника за общие результаты труда и по итогам работы за соответствующий период. </w:t>
      </w:r>
    </w:p>
    <w:p>
      <w:pPr>
        <w:pStyle w:val="12"/>
        <w:shd w:fill="FFFFFF"/>
        <w:spacing w:lineRule="exact" w:line="317"/>
        <w:ind w:left="40" w:right="20" w:firstLine="72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При премировании учитывается успешное и добросовестное исполнение работниками своих трудовых функций, а также обеспечение безаварийной работы инженерных и хозяйственно- эксплуатационных систем зданий и сооружений.</w:t>
      </w:r>
    </w:p>
    <w:p>
      <w:pPr>
        <w:pStyle w:val="12"/>
        <w:shd w:fill="FFFFFF"/>
        <w:spacing w:lineRule="exact" w:line="317"/>
        <w:ind w:left="0" w:right="40" w:firstLine="709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Премия по итогам работы и премия за выполнение особо важных и срочных работ выплачивается в пределах фонда оплаты труда на данную категорию работников и максимальным размером конкретному работнику не ограничивается.</w:t>
      </w:r>
    </w:p>
    <w:p>
      <w:pPr>
        <w:pStyle w:val="12"/>
        <w:numPr>
          <w:ilvl w:val="0"/>
          <w:numId w:val="4"/>
        </w:numPr>
        <w:shd w:fill="FFFFFF"/>
        <w:spacing w:lineRule="exact" w:line="317"/>
        <w:ind w:left="0" w:right="40" w:firstLine="709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Выплаты стимулирующего характера производятся по решению руководителя органа местного самоуправления Варненского муниципального района в пределах бюджетных ассигнований на оплату труда работников.</w:t>
      </w:r>
    </w:p>
    <w:p>
      <w:pPr>
        <w:pStyle w:val="12"/>
        <w:shd w:fill="FFFFFF"/>
        <w:spacing w:lineRule="exact" w:line="317"/>
        <w:ind w:left="0" w:right="40" w:firstLine="709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Премирование работников и материальная помощь осуществляется на основе Положения о премировании и материальной помощи, утверждаемого представительным органом местного самоуправления Варненского муниципального района.</w:t>
      </w:r>
    </w:p>
    <w:p>
      <w:pPr>
        <w:pStyle w:val="Normal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  <w:b/>
        </w:rPr>
        <w:t>27</w:t>
      </w:r>
      <w:r>
        <w:rPr>
          <w:rFonts w:cs="Times New Roman" w:ascii="Times New Roman" w:hAnsi="Times New Roman"/>
        </w:rPr>
        <w:t>. Единовременная выплата выплачивается 1 раз в год при предоставлении ежегодного оплачиваемого отпуска – в размере 2 должностных окладов. В случае, если работник не использовал в течение года свое право на ежегодный оплачиваемый отпуск, - в четвертом квартале текущего года.</w:t>
      </w:r>
      <w:r>
        <w:rPr/>
        <w:t xml:space="preserve"> </w:t>
      </w:r>
    </w:p>
    <w:p>
      <w:pPr>
        <w:pStyle w:val="Normal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</w:rPr>
        <w:t>Право на получение единовременной выплаты к отпуску за первый год работы у работника  возникает по истечении шести месяцев непрерывной работы в учреждении.</w:t>
      </w:r>
    </w:p>
    <w:p>
      <w:pPr>
        <w:pStyle w:val="Normal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</w:rPr>
        <w:t>Единовременная выплата производится на основании распоряжения представителя нанимателя (работодателя) при предоставлении работнику  ежегодного оплачиваемого отпуска – по его письменному заявлению.</w:t>
      </w:r>
    </w:p>
    <w:p>
      <w:pPr>
        <w:pStyle w:val="Normal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</w:rPr>
        <w:t>В случае увольнения работника  до окончания финансового года, выплаченная в полном объеме, выплата к отпуску не подлежит удержанию.</w:t>
      </w:r>
    </w:p>
    <w:p>
      <w:pPr>
        <w:pStyle w:val="12"/>
        <w:shd w:fill="FFFFFF"/>
        <w:tabs>
          <w:tab w:val="clear" w:pos="709"/>
          <w:tab w:val="left" w:pos="1702" w:leader="none"/>
        </w:tabs>
        <w:spacing w:lineRule="exact" w:line="317"/>
        <w:ind w:left="0" w:right="40" w:firstLine="709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28</w:t>
      </w:r>
      <w:r>
        <w:rPr>
          <w:sz w:val="24"/>
          <w:szCs w:val="24"/>
        </w:rPr>
        <w:t>. При определении размеров стимулирующих выплат, порядка и условий их применения учитывается мнение выборного профсоюзного или иного представительного органа работников.</w:t>
      </w:r>
    </w:p>
    <w:p>
      <w:pPr>
        <w:pStyle w:val="12"/>
        <w:shd w:fill="FFFFFF"/>
        <w:tabs>
          <w:tab w:val="clear" w:pos="709"/>
          <w:tab w:val="left" w:pos="1573" w:leader="none"/>
        </w:tabs>
        <w:spacing w:lineRule="exact" w:line="317" w:before="0" w:after="338"/>
        <w:ind w:left="0" w:right="40" w:firstLine="709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29</w:t>
      </w:r>
      <w:r>
        <w:rPr>
          <w:sz w:val="24"/>
          <w:szCs w:val="24"/>
        </w:rPr>
        <w:t>. Размеры и условия осуществления выплат стимулирующего характера устанавливаются коллективными договорами, соглашениями, локальными актами органа местного самоуправления Варненского муниципального района в пределах фонда оплаты труда.</w:t>
      </w:r>
    </w:p>
    <w:p>
      <w:pPr>
        <w:pStyle w:val="12"/>
        <w:shd w:fill="FFFFFF"/>
        <w:spacing w:lineRule="exact" w:line="270" w:before="0" w:after="255"/>
        <w:ind w:left="3280" w:right="0" w:hanging="0"/>
        <w:jc w:val="left"/>
        <w:rPr>
          <w:rFonts w:ascii="Times New Roman" w:hAnsi="Times New Roman"/>
          <w:sz w:val="20"/>
          <w:szCs w:val="20"/>
        </w:rPr>
      </w:pPr>
      <w:r>
        <w:rPr>
          <w:b/>
          <w:sz w:val="24"/>
          <w:szCs w:val="24"/>
        </w:rPr>
        <w:t>V. Заключительные положения</w:t>
      </w:r>
    </w:p>
    <w:p>
      <w:pPr>
        <w:pStyle w:val="12"/>
        <w:shd w:fill="FFFFFF"/>
        <w:tabs>
          <w:tab w:val="clear" w:pos="709"/>
          <w:tab w:val="left" w:pos="1563" w:leader="none"/>
        </w:tabs>
        <w:spacing w:lineRule="exact" w:line="317"/>
        <w:ind w:left="0" w:right="40" w:hanging="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>30</w:t>
      </w:r>
      <w:r>
        <w:rPr>
          <w:sz w:val="24"/>
          <w:szCs w:val="24"/>
        </w:rPr>
        <w:t>. Штатное расписание органа местного самоуправления Варненского муниципального района утверждается руководителем органа местного самоуправления Варненского муниципального района и включает в себя все профессии рабочих.</w:t>
      </w:r>
    </w:p>
    <w:p>
      <w:pPr>
        <w:pStyle w:val="12"/>
        <w:shd w:fill="FFFFFF"/>
        <w:tabs>
          <w:tab w:val="clear" w:pos="709"/>
          <w:tab w:val="left" w:pos="1712" w:leader="none"/>
        </w:tabs>
        <w:spacing w:lineRule="exact" w:line="317"/>
        <w:ind w:left="0" w:right="40" w:hanging="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>31.</w:t>
      </w:r>
      <w:r>
        <w:rPr>
          <w:sz w:val="24"/>
          <w:szCs w:val="24"/>
        </w:rPr>
        <w:t xml:space="preserve"> Фонд оплаты труда органа местного самоуправления Варненского муниципального района для работников, предусмотренных настоящим Положением, формируется на календарный год исходя из объёма лимитов бюджетных обязательств местного бюджета.</w:t>
      </w:r>
      <w:r>
        <w:rPr/>
        <w:t xml:space="preserve"> </w:t>
      </w:r>
    </w:p>
    <w:p>
      <w:pPr>
        <w:pStyle w:val="12"/>
        <w:shd w:fill="FFFFFF"/>
        <w:tabs>
          <w:tab w:val="clear" w:pos="709"/>
          <w:tab w:val="left" w:pos="1712" w:leader="none"/>
        </w:tabs>
        <w:spacing w:lineRule="exact" w:line="317"/>
        <w:ind w:left="0" w:right="40" w:hanging="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>При формировании фонда оплаты труда работников учитываются требования  статьи 1  Федерального закона от 19 июня 2000 г. N 82-ФЗ "О минимальном размере оплаты труда" и в целях обеспечения всех компенсационных и стимулирующих</w:t>
      </w:r>
      <w:r>
        <w:rPr/>
        <w:t xml:space="preserve"> </w:t>
      </w:r>
      <w:r>
        <w:rPr>
          <w:sz w:val="24"/>
          <w:szCs w:val="24"/>
        </w:rPr>
        <w:t>выплат при расчете фонда оплаты труда  на год предусматривается 24,5 ежемесячных минимальных размеров оплат труда.</w:t>
      </w:r>
    </w:p>
    <w:p>
      <w:pPr>
        <w:pStyle w:val="12"/>
        <w:shd w:fill="FFFFFF"/>
        <w:spacing w:lineRule="exact" w:line="317"/>
        <w:ind w:left="0" w:right="40" w:firstLine="851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32</w:t>
      </w:r>
      <w:r>
        <w:rPr>
          <w:sz w:val="24"/>
          <w:szCs w:val="24"/>
        </w:rPr>
        <w:t>. Индексация оплаты труда работников, занятых обслуживанием органов  местного самоуправления  Варненского муниципального района проводится не реже 1 раза в год, в соответствии законодательством Российской Федерации и Челябинской области на основании решения Собрания депутатов Варненского муниципального района</w:t>
      </w:r>
    </w:p>
    <w:p>
      <w:pPr>
        <w:pStyle w:val="Normal"/>
        <w:spacing w:lineRule="auto" w:line="276" w:before="0" w:after="0"/>
        <w:ind w:left="5103" w:right="0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76" w:before="0" w:after="0"/>
        <w:ind w:left="5103" w:right="0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76" w:before="0" w:after="0"/>
        <w:ind w:left="5103" w:right="0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76" w:before="0" w:after="0"/>
        <w:ind w:left="5103" w:right="0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76" w:before="0" w:after="0"/>
        <w:ind w:left="5103" w:right="0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76" w:before="0" w:after="0"/>
        <w:ind w:left="5103" w:right="0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76" w:before="0" w:after="0"/>
        <w:ind w:left="5103" w:right="0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76" w:before="0" w:after="0"/>
        <w:ind w:left="5103" w:right="0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76" w:before="0" w:after="0"/>
        <w:ind w:left="5103" w:right="0" w:hanging="0"/>
        <w:jc w:val="right"/>
        <w:rPr>
          <w:rFonts w:ascii="Times New Roman" w:hAnsi="Times New Roman"/>
          <w:sz w:val="20"/>
          <w:szCs w:val="20"/>
        </w:rPr>
      </w:pPr>
      <w:r>
        <w:rPr/>
      </w:r>
    </w:p>
    <w:sectPr>
      <w:type w:val="nextPage"/>
      <w:pgSz w:w="11906" w:h="16838"/>
      <w:pgMar w:left="1418" w:right="850" w:header="0" w:top="568" w:footer="0" w:bottom="79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2005" w:hanging="1245"/>
      </w:pPr>
    </w:lvl>
    <w:lvl w:ilvl="1">
      <w:start w:val="1"/>
      <w:numFmt w:val="lowerLetter"/>
      <w:lvlText w:val="%2."/>
      <w:lvlJc w:val="left"/>
      <w:pPr>
        <w:ind w:left="1840" w:hanging="360"/>
      </w:pPr>
    </w:lvl>
    <w:lvl w:ilvl="2">
      <w:start w:val="1"/>
      <w:numFmt w:val="lowerRoman"/>
      <w:lvlText w:val="%3."/>
      <w:lvlJc w:val="right"/>
      <w:pPr>
        <w:ind w:left="2560" w:hanging="180"/>
      </w:pPr>
    </w:lvl>
    <w:lvl w:ilvl="3">
      <w:start w:val="1"/>
      <w:numFmt w:val="decimal"/>
      <w:lvlText w:val="%4."/>
      <w:lvlJc w:val="left"/>
      <w:pPr>
        <w:ind w:left="3280" w:hanging="360"/>
      </w:pPr>
    </w:lvl>
    <w:lvl w:ilvl="4">
      <w:start w:val="1"/>
      <w:numFmt w:val="lowerLetter"/>
      <w:lvlText w:val="%5."/>
      <w:lvlJc w:val="left"/>
      <w:pPr>
        <w:ind w:left="4000" w:hanging="360"/>
      </w:pPr>
    </w:lvl>
    <w:lvl w:ilvl="5">
      <w:start w:val="1"/>
      <w:numFmt w:val="lowerRoman"/>
      <w:lvlText w:val="%6."/>
      <w:lvlJc w:val="right"/>
      <w:pPr>
        <w:ind w:left="4720" w:hanging="180"/>
      </w:pPr>
    </w:lvl>
    <w:lvl w:ilvl="6">
      <w:start w:val="1"/>
      <w:numFmt w:val="decimal"/>
      <w:lvlText w:val="%7."/>
      <w:lvlJc w:val="left"/>
      <w:pPr>
        <w:ind w:left="5440" w:hanging="360"/>
      </w:pPr>
    </w:lvl>
    <w:lvl w:ilvl="7">
      <w:start w:val="1"/>
      <w:numFmt w:val="lowerLetter"/>
      <w:lvlText w:val="%8."/>
      <w:lvlJc w:val="left"/>
      <w:pPr>
        <w:ind w:left="6160" w:hanging="360"/>
      </w:pPr>
    </w:lvl>
    <w:lvl w:ilvl="8">
      <w:start w:val="1"/>
      <w:numFmt w:val="lowerRoman"/>
      <w:lvlText w:val="%9."/>
      <w:lvlJc w:val="right"/>
      <w:pPr>
        <w:ind w:left="6880" w:hanging="180"/>
      </w:pPr>
    </w:lvl>
  </w:abstractNum>
  <w:abstractNum w:abstractNumId="2">
    <w:lvl w:ilvl="0">
      <w:start w:val="2"/>
      <w:numFmt w:val="decimal"/>
      <w:lvlText w:val="%1."/>
      <w:lvlJc w:val="left"/>
      <w:pPr>
        <w:ind w:left="0" w:hanging="0"/>
      </w:pPr>
      <w:rPr>
        <w:sz w:val="24"/>
        <w:rFonts w:eastAsia="Times New Roman"/>
      </w:rPr>
    </w:lvl>
    <w:lvl w:ilvl="1">
      <w:start w:val="1"/>
      <w:numFmt w:val="decimal"/>
      <w:lvlText w:val="%2)"/>
      <w:lvlJc w:val="left"/>
      <w:pPr>
        <w:ind w:left="0" w:hanging="0"/>
      </w:pPr>
      <w:rPr>
        <w:sz w:val="24"/>
        <w:rFonts w:eastAsia="Times New Roman"/>
      </w:r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decimal"/>
      <w:lvlText w:val="%1)"/>
      <w:lvlJc w:val="left"/>
      <w:pPr>
        <w:ind w:left="0" w:hanging="0"/>
      </w:pPr>
      <w:rPr>
        <w:sz w:val="24"/>
        <w:rFonts w:eastAsia="Times New Roman"/>
      </w:rPr>
    </w:lvl>
    <w:lvl w:ilvl="1">
      <w:start w:val="15"/>
      <w:numFmt w:val="decimal"/>
      <w:lvlText w:val="%2."/>
      <w:lvlJc w:val="left"/>
      <w:pPr>
        <w:ind w:left="0" w:hanging="0"/>
      </w:pPr>
      <w:rPr>
        <w:rFonts w:eastAsia="Times New Roman"/>
      </w:r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4">
    <w:lvl w:ilvl="0">
      <w:start w:val="24"/>
      <w:numFmt w:val="decimal"/>
      <w:lvlText w:val="%1."/>
      <w:lvlJc w:val="left"/>
      <w:pPr>
        <w:ind w:left="0" w:hanging="0"/>
      </w:pPr>
      <w:rPr>
        <w:sz w:val="24"/>
        <w:rFonts w:eastAsia="Times New Roman"/>
      </w:rPr>
    </w:lvl>
    <w:lvl w:ilvl="1">
      <w:start w:val="1"/>
      <w:numFmt w:val="decimal"/>
      <w:lvlText w:val="%2)"/>
      <w:lvlJc w:val="left"/>
      <w:pPr>
        <w:ind w:left="0" w:hanging="0"/>
      </w:pPr>
      <w:rPr>
        <w:sz w:val="24"/>
        <w:rFonts w:eastAsia="Times New Roman"/>
      </w:r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5">
    <w:lvl w:ilvl="0">
      <w:start w:val="16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lvl w:ilvl="0">
      <w:start w:val="2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03f9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3e3d31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азвание Знак"/>
    <w:basedOn w:val="DefaultParagraphFont"/>
    <w:link w:val="a3"/>
    <w:qFormat/>
    <w:rsid w:val="00303f9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4" w:customStyle="1">
    <w:name w:val="Основной текст_"/>
    <w:basedOn w:val="DefaultParagraphFont"/>
    <w:link w:val="11"/>
    <w:qFormat/>
    <w:rsid w:val="00303f9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3e3d3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1pt" w:customStyle="1">
    <w:name w:val="Основной текст + Интервал 1 pt"/>
    <w:basedOn w:val="Style14"/>
    <w:qFormat/>
    <w:rsid w:val="000a7448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20"/>
      <w:sz w:val="27"/>
      <w:szCs w:val="27"/>
      <w:shd w:fill="FFFFFF" w:val="clear"/>
    </w:rPr>
  </w:style>
  <w:style w:type="character" w:styleId="Style15">
    <w:name w:val="Интернет-ссылка"/>
    <w:basedOn w:val="DefaultParagraphFont"/>
    <w:uiPriority w:val="99"/>
    <w:unhideWhenUsed/>
    <w:rsid w:val="009d4e06"/>
    <w:rPr>
      <w:color w:val="0563C1" w:themeColor="hyperlink"/>
      <w:u w:val="single"/>
    </w:rPr>
  </w:style>
  <w:style w:type="character" w:styleId="Style16">
    <w:name w:val="Заголовок Знак"/>
    <w:qFormat/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Style22">
    <w:name w:val="Title"/>
    <w:basedOn w:val="Normal"/>
    <w:link w:val="a4"/>
    <w:qFormat/>
    <w:rsid w:val="00303f9e"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12" w:customStyle="1">
    <w:name w:val="Основной текст1"/>
    <w:basedOn w:val="Normal"/>
    <w:link w:val="a5"/>
    <w:qFormat/>
    <w:rsid w:val="00303f9e"/>
    <w:pPr>
      <w:shd w:val="clear" w:color="auto" w:fill="FFFFFF"/>
      <w:spacing w:lineRule="exact" w:line="317" w:before="0" w:after="0"/>
      <w:jc w:val="both"/>
    </w:pPr>
    <w:rPr>
      <w:rFonts w:ascii="Times New Roman" w:hAnsi="Times New Roman" w:eastAsia="Times New Roman"/>
      <w:sz w:val="27"/>
      <w:szCs w:val="27"/>
    </w:rPr>
  </w:style>
  <w:style w:type="paragraph" w:styleId="ConsPlusTitle" w:customStyle="1">
    <w:name w:val="ConsPlusTitle"/>
    <w:qFormat/>
    <w:rsid w:val="003e3d3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0a7448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b44f9a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5CEA63F13224C3E85210C51D3994774994993885948F275FF61EDD068C1CC2B5FE47095310P2T5K" TargetMode="External"/><Relationship Id="rId4" Type="http://schemas.openxmlformats.org/officeDocument/2006/relationships/hyperlink" Target="consultantplus://offline/ref=846E6C90DAFB2009846BB01BB34B85ACA1BCF4D2C2E4D5E88D5D5ADD07g8JED" TargetMode="External"/><Relationship Id="rId5" Type="http://schemas.openxmlformats.org/officeDocument/2006/relationships/hyperlink" Target="consultantplus://offline/ref=5CEA63F13224C3E85210DB102FF828429C97608E9D8D2E0EAF41865BDB15C8E2PBT9K" TargetMode="External"/><Relationship Id="rId6" Type="http://schemas.openxmlformats.org/officeDocument/2006/relationships/hyperlink" Target="consultantplus://offline/ref=846E6C90DAFB2009846BB01BB34B85ACA1BCF4D2C2E4D5E88D5D5ADD07g8JED" TargetMode="External"/><Relationship Id="rId7" Type="http://schemas.openxmlformats.org/officeDocument/2006/relationships/hyperlink" Target="consultantplus://offline/ref=5CEA63F13224C3E85210DB102FF828429C97608E9D8D2E0EAF41865BDB15C8E2PBT9K" TargetMode="Externa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Application>LibreOffice/6.4.0.3$Windows_X86_64 LibreOffice_project/b0a288ab3d2d4774cb44b62f04d5d28733ac6df8</Application>
  <Pages>6</Pages>
  <Words>2052</Words>
  <Characters>14195</Characters>
  <CharactersWithSpaces>16440</CharactersWithSpaces>
  <Paragraphs>124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</dc:creator>
  <dc:description/>
  <dc:language>ru-RU</dc:language>
  <cp:lastModifiedBy/>
  <dcterms:modified xsi:type="dcterms:W3CDTF">2025-03-25T16:05:59Z</dcterms:modified>
  <cp:revision>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