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header19.xml" ContentType="application/vnd.openxmlformats-officedocument.wordprocessingml.header+xml"/>
  <Override PartName="/word/document.xml" ContentType="application/vnd.openxmlformats-officedocument.wordprocessingml.document.main+xml"/>
  <Override PartName="/word/footer1.xml" ContentType="application/vnd.openxmlformats-officedocument.wordprocessingml.footer+xml"/>
  <Override PartName="/word/footer12.xml" ContentType="application/vnd.openxmlformats-officedocument.wordprocessingml.footer+xml"/>
  <Override PartName="/word/header49.xml" ContentType="application/vnd.openxmlformats-officedocument.wordprocessingml.header+xml"/>
  <Override PartName="/word/styles.xml" ContentType="application/vnd.openxmlformats-officedocument.wordprocessingml.styles+xml"/>
  <Override PartName="/word/footer21.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media/image1.png" ContentType="image/png"/>
  <Override PartName="/word/media/image9.png" ContentType="image/png"/>
  <Override PartName="/word/media/image2.jpeg" ContentType="image/jpeg"/>
  <Override PartName="/word/media/image7.wmf" ContentType="image/x-wmf"/>
  <Override PartName="/word/media/image8.png" ContentType="image/png"/>
  <Override PartName="/word/media/image3.jpeg" ContentType="image/jpeg"/>
  <Override PartName="/word/media/image5.png" ContentType="image/png"/>
  <Override PartName="/word/media/image4.png" ContentType="image/png"/>
  <Override PartName="/word/media/image6.png" ContentType="image/png"/>
  <Override PartName="/word/media/image10.png" ContentType="image/png"/>
  <Override PartName="/word/media/image11.png" ContentType="image/png"/>
  <Override PartName="/word/media/image12.png" ContentType="image/png"/>
  <Override PartName="/word/media/image13.png" ContentType="image/png"/>
  <Override PartName="/word/footer16.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20.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22.xml" ContentType="application/vnd.openxmlformats-officedocument.wordprocessingml.footer+xml"/>
  <Override PartName="/word/footer6.xml" ContentType="application/vnd.openxmlformats-officedocument.wordprocessingml.footer+xml"/>
  <Override PartName="/word/header4.xml" ContentType="application/vnd.openxmlformats-officedocument.wordprocessingml.header+xml"/>
  <Override PartName="/word/footer23.xml" ContentType="application/vnd.openxmlformats-officedocument.wordprocessingml.footer+xml"/>
  <Override PartName="/word/footer2.xml" ContentType="application/vnd.openxmlformats-officedocument.wordprocessingml.footer+xml"/>
  <Override PartName="/word/footer7.xml" ContentType="application/vnd.openxmlformats-officedocument.wordprocessingml.footer+xml"/>
  <Override PartName="/word/header5.xml" ContentType="application/vnd.openxmlformats-officedocument.wordprocessingml.header+xml"/>
  <Override PartName="/word/footer24.xml" ContentType="application/vnd.openxmlformats-officedocument.wordprocessingml.footer+xml"/>
  <Override PartName="/word/footer8.xml" ContentType="application/vnd.openxmlformats-officedocument.wordprocessingml.footer+xml"/>
  <Override PartName="/word/header6.xml" ContentType="application/vnd.openxmlformats-officedocument.wordprocessingml.header+xml"/>
  <Override PartName="/word/footer25.xml" ContentType="application/vnd.openxmlformats-officedocument.wordprocessingml.footer+xml"/>
  <Override PartName="/word/footer9.xml" ContentType="application/vnd.openxmlformats-officedocument.wordprocessingml.footer+xml"/>
  <Override PartName="/word/header7.xml" ContentType="application/vnd.openxmlformats-officedocument.wordprocessingml.header+xml"/>
  <Override PartName="/word/footer26.xml" ContentType="application/vnd.openxmlformats-officedocument.wordprocessingml.footer+xml"/>
  <Override PartName="/word/header8.xml" ContentType="application/vnd.openxmlformats-officedocument.wordprocessingml.header+xml"/>
  <Override PartName="/word/footer27.xml" ContentType="application/vnd.openxmlformats-officedocument.wordprocessingml.footer+xml"/>
  <Override PartName="/word/header9.xml" ContentType="application/vnd.openxmlformats-officedocument.wordprocessingml.header+xml"/>
  <Override PartName="/word/footer28.xml" ContentType="application/vnd.openxmlformats-officedocument.wordprocessingml.footer+xml"/>
  <Override PartName="/word/header10.xml" ContentType="application/vnd.openxmlformats-officedocument.wordprocessingml.header+xml"/>
  <Override PartName="/word/footer30.xml" ContentType="application/vnd.openxmlformats-officedocument.wordprocessingml.footer+xml"/>
  <Override PartName="/word/header11.xml" ContentType="application/vnd.openxmlformats-officedocument.wordprocessingml.header+xml"/>
  <Override PartName="/word/header47.xml" ContentType="application/vnd.openxmlformats-officedocument.wordprocessingml.header+xml"/>
  <Override PartName="/word/footer10.xml" ContentType="application/vnd.openxmlformats-officedocument.wordprocessingml.footer+xml"/>
  <Override PartName="/word/header12.xml" ContentType="application/vnd.openxmlformats-officedocument.wordprocessingml.header+xml"/>
  <Override PartName="/word/header48.xml" ContentType="application/vnd.openxmlformats-officedocument.wordprocessingml.header+xml"/>
  <Override PartName="/word/footer11.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header15.xml" ContentType="application/vnd.openxmlformats-officedocument.wordprocessingml.header+xml"/>
  <Override PartName="/word/footer14.xml" ContentType="application/vnd.openxmlformats-officedocument.wordprocessingml.footer+xml"/>
  <Override PartName="/word/charts/chart1.xml" ContentType="application/vnd.openxmlformats-officedocument.drawingml.chart+xml"/>
  <Override PartName="/word/charts/_rels/chart1.xml.rels" ContentType="application/vnd.openxmlformats-package.relationships+xml"/>
  <Override PartName="/word/header21.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20.xml" ContentType="application/vnd.openxmlformats-officedocument.wordprocessingml.header+xml"/>
  <Override PartName="/word/footer19.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header33.xml" ContentType="application/vnd.openxmlformats-officedocument.wordprocessingml.header+xml"/>
  <Override PartName="/word/footer32.xml" ContentType="application/vnd.openxmlformats-officedocument.wordprocessingml.footer+xml"/>
  <Override PartName="/word/header34.xml" ContentType="application/vnd.openxmlformats-officedocument.wordprocessingml.header+xml"/>
  <Override PartName="/word/footer33.xml" ContentType="application/vnd.openxmlformats-officedocument.wordprocessingml.footer+xml"/>
  <Override PartName="/word/header35.xml" ContentType="application/vnd.openxmlformats-officedocument.wordprocessingml.header+xml"/>
  <Override PartName="/word/footer34.xml" ContentType="application/vnd.openxmlformats-officedocument.wordprocessingml.footer+xml"/>
  <Override PartName="/word/header36.xml" ContentType="application/vnd.openxmlformats-officedocument.wordprocessingml.header+xml"/>
  <Override PartName="/word/footer35.xml" ContentType="application/vnd.openxmlformats-officedocument.wordprocessingml.footer+xml"/>
  <Override PartName="/word/header37.xml" ContentType="application/vnd.openxmlformats-officedocument.wordprocessingml.header+xml"/>
  <Override PartName="/word/footer36.xml" ContentType="application/vnd.openxmlformats-officedocument.wordprocessingml.footer+xml"/>
  <Override PartName="/word/header38.xml" ContentType="application/vnd.openxmlformats-officedocument.wordprocessingml.header+xml"/>
  <Override PartName="/word/footer37.xml" ContentType="application/vnd.openxmlformats-officedocument.wordprocessingml.footer+xml"/>
  <Override PartName="/word/header39.xml" ContentType="application/vnd.openxmlformats-officedocument.wordprocessingml.header+xml"/>
  <Override PartName="/word/footer38.xml" ContentType="application/vnd.openxmlformats-officedocument.wordprocessingml.footer+xml"/>
  <Override PartName="/word/header40.xml" ContentType="application/vnd.openxmlformats-officedocument.wordprocessingml.header+xml"/>
  <Override PartName="/word/footer39.xml" ContentType="application/vnd.openxmlformats-officedocument.wordprocessingml.footer+xml"/>
  <Override PartName="/word/header41.xml" ContentType="application/vnd.openxmlformats-officedocument.wordprocessingml.header+xml"/>
  <Override PartName="/word/footer40.xml" ContentType="application/vnd.openxmlformats-officedocument.wordprocessingml.footer+xml"/>
  <Override PartName="/word/header42.xml" ContentType="application/vnd.openxmlformats-officedocument.wordprocessingml.header+xml"/>
  <Override PartName="/word/footer41.xml" ContentType="application/vnd.openxmlformats-officedocument.wordprocessingml.footer+xml"/>
  <Override PartName="/word/footer42.xml" ContentType="application/vnd.openxmlformats-officedocument.wordprocessingml.footer+xml"/>
  <Override PartName="/word/header43.xml" ContentType="application/vnd.openxmlformats-officedocument.wordprocessingml.header+xml"/>
  <Override PartName="/word/footer43.xml" ContentType="application/vnd.openxmlformats-officedocument.wordprocessingml.footer+xml"/>
  <Override PartName="/word/header44.xml" ContentType="application/vnd.openxmlformats-officedocument.wordprocessingml.header+xml"/>
  <Override PartName="/word/footer44.xml" ContentType="application/vnd.openxmlformats-officedocument.wordprocessingml.footer+xml"/>
  <Override PartName="/word/header45.xml" ContentType="application/vnd.openxmlformats-officedocument.wordprocessingml.header+xml"/>
  <Override PartName="/word/footer45.xml" ContentType="application/vnd.openxmlformats-officedocument.wordprocessingml.footer+xml"/>
  <Override PartName="/word/header46.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header50.xml" ContentType="application/vnd.openxmlformats-officedocument.wordprocessingml.header+xml"/>
  <Override PartName="/word/footer50.xml" ContentType="application/vnd.openxmlformats-officedocument.wordprocessingml.footer+xml"/>
  <Override PartName="/word/header51.xml" ContentType="application/vnd.openxmlformats-officedocument.wordprocessingml.header+xml"/>
  <Override PartName="/word/footer51.xml" ContentType="application/vnd.openxmlformats-officedocument.wordprocessingml.footer+xml"/>
  <Override PartName="/word/header52.xml" ContentType="application/vnd.openxmlformats-officedocument.wordprocessingml.header+xml"/>
  <Override PartName="/word/footer52.xml" ContentType="application/vnd.openxmlformats-officedocument.wordprocessingml.footer+xml"/>
  <Override PartName="/word/header53.xml" ContentType="application/vnd.openxmlformats-officedocument.wordprocessingml.header+xml"/>
  <Override PartName="/word/footer53.xml" ContentType="application/vnd.openxmlformats-officedocument.wordprocessingml.footer+xml"/>
  <Override PartName="/word/header54.xml" ContentType="application/vnd.openxmlformats-officedocument.wordprocessingml.header+xml"/>
  <Override PartName="/word/footer54.xml" ContentType="application/vnd.openxmlformats-officedocument.wordprocessingml.footer+xml"/>
  <Override PartName="/word/header55.xml" ContentType="application/vnd.openxmlformats-officedocument.wordprocessingml.header+xml"/>
  <Override PartName="/word/footer55.xml" ContentType="application/vnd.openxmlformats-officedocument.wordprocessingml.footer+xml"/>
  <Override PartName="/word/header56.xml" ContentType="application/vnd.openxmlformats-officedocument.wordprocessingml.header+xml"/>
  <Override PartName="/word/footer56.xml" ContentType="application/vnd.openxmlformats-officedocument.wordprocessingml.foot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61"/>
        <w:shd w:val="clear" w:color="auto" w:fill="auto"/>
        <w:spacing w:lineRule="exact" w:line="250" w:before="0" w:after="302"/>
        <w:jc w:val="center"/>
        <w:rPr>
          <w:b/>
          <w:b/>
          <w:bCs/>
          <w:color w:val="000000"/>
          <w:spacing w:val="10"/>
          <w:sz w:val="25"/>
          <w:szCs w:val="25"/>
        </w:rPr>
      </w:pPr>
      <w:r>
        <w:rPr>
          <w:b/>
          <w:bCs/>
          <w:color w:val="000000"/>
          <w:spacing w:val="10"/>
          <w:sz w:val="25"/>
          <w:szCs w:val="25"/>
        </w:rPr>
        <w:drawing>
          <wp:anchor behindDoc="0" distT="0" distB="0" distL="0" distR="0" simplePos="0" locked="0" layoutInCell="1" allowOverlap="1" relativeHeight="2">
            <wp:simplePos x="0" y="0"/>
            <wp:positionH relativeFrom="column">
              <wp:posOffset>2479675</wp:posOffset>
            </wp:positionH>
            <wp:positionV relativeFrom="paragraph">
              <wp:posOffset>-210185</wp:posOffset>
            </wp:positionV>
            <wp:extent cx="800735" cy="948690"/>
            <wp:effectExtent l="0" t="0" r="0" b="0"/>
            <wp:wrapTopAndBottom/>
            <wp:docPr id="1" name="Рисунок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2" descr=""/>
                    <pic:cNvPicPr>
                      <a:picLocks noChangeAspect="1" noChangeArrowheads="1"/>
                    </pic:cNvPicPr>
                  </pic:nvPicPr>
                  <pic:blipFill>
                    <a:blip r:embed="rId2"/>
                    <a:stretch>
                      <a:fillRect/>
                    </a:stretch>
                  </pic:blipFill>
                  <pic:spPr bwMode="auto">
                    <a:xfrm>
                      <a:off x="0" y="0"/>
                      <a:ext cx="800735" cy="948690"/>
                    </a:xfrm>
                    <a:prstGeom prst="rect">
                      <a:avLst/>
                    </a:prstGeom>
                  </pic:spPr>
                </pic:pic>
              </a:graphicData>
            </a:graphic>
          </wp:anchor>
        </w:drawing>
      </w:r>
    </w:p>
    <w:p>
      <w:pPr>
        <w:pStyle w:val="61"/>
        <w:shd w:val="clear" w:color="auto" w:fill="auto"/>
        <w:spacing w:lineRule="exact" w:line="250" w:before="0" w:after="302"/>
        <w:jc w:val="center"/>
        <w:rPr>
          <w:b/>
          <w:b/>
          <w:bCs/>
          <w:color w:val="000000"/>
          <w:spacing w:val="10"/>
          <w:sz w:val="25"/>
          <w:szCs w:val="25"/>
        </w:rPr>
      </w:pPr>
      <w:r>
        <w:rPr>
          <w:b/>
          <w:bCs/>
          <w:color w:val="000000"/>
          <w:spacing w:val="10"/>
          <w:sz w:val="25"/>
          <w:szCs w:val="25"/>
        </w:rPr>
        <w:t>СОБРАНИЕ ДЕПУТАТОВ                                                                       ВАРНЕНСКОГО МУНИЦИПАЛЬНОГО РАЙОНА                                   ЧЕЛЯБИНСКОЙ ОБЛАСТИ</w:t>
      </w:r>
    </w:p>
    <w:p>
      <w:pPr>
        <w:pStyle w:val="Normal"/>
        <w:jc w:val="center"/>
        <w:rPr>
          <w:sz w:val="28"/>
          <w:szCs w:val="28"/>
        </w:rPr>
      </w:pPr>
      <w:r>
        <w:rPr>
          <w:b/>
          <w:bCs/>
          <w:sz w:val="28"/>
          <w:szCs w:val="28"/>
        </w:rPr>
        <w:t>РЕШЕНИЕ</w:t>
      </w:r>
    </w:p>
    <w:p>
      <w:pPr>
        <w:pStyle w:val="Normal"/>
        <w:jc w:val="left"/>
        <w:rPr>
          <w:rFonts w:ascii="Times New Roman" w:hAnsi="Times New Roman" w:eastAsia="Times New Roman" w:cs="Times New Roman"/>
          <w:sz w:val="26"/>
          <w:szCs w:val="26"/>
          <w:lang w:eastAsia="ru-RU"/>
        </w:rPr>
      </w:pPr>
      <w:r>
        <w:rPr>
          <w:rFonts w:eastAsia="Times New Roman" w:cs="Times New Roman"/>
          <w:sz w:val="26"/>
          <w:szCs w:val="26"/>
          <w:lang w:eastAsia="ru-RU"/>
        </w:rPr>
        <w:t>от 26 июня 2025 года</w:t>
      </w:r>
    </w:p>
    <w:p>
      <w:pPr>
        <w:pStyle w:val="Normal"/>
        <w:jc w:val="left"/>
        <w:rPr>
          <w:rFonts w:ascii="Times New Roman" w:hAnsi="Times New Roman" w:eastAsia="Times New Roman" w:cs="Times New Roman"/>
          <w:sz w:val="26"/>
          <w:szCs w:val="26"/>
          <w:lang w:eastAsia="ru-RU"/>
        </w:rPr>
      </w:pPr>
      <w:r>
        <w:rPr>
          <w:rFonts w:eastAsia="Times New Roman" w:cs="Times New Roman"/>
          <w:sz w:val="26"/>
          <w:szCs w:val="26"/>
          <w:lang w:eastAsia="ru-RU"/>
        </w:rPr>
        <w:t xml:space="preserve">с.Варна                                                      № </w:t>
      </w:r>
      <w:r>
        <w:rPr>
          <w:rFonts w:eastAsia="Times New Roman" w:cs="Times New Roman"/>
          <w:color w:val="auto"/>
          <w:kern w:val="0"/>
          <w:sz w:val="26"/>
          <w:szCs w:val="26"/>
          <w:lang w:val="ru-RU" w:eastAsia="ru-RU" w:bidi="ar-SA"/>
        </w:rPr>
        <w:t>56</w:t>
      </w:r>
    </w:p>
    <w:p>
      <w:pPr>
        <w:pStyle w:val="Normal"/>
        <w:jc w:val="left"/>
        <w:rPr>
          <w:rFonts w:ascii="Times New Roman" w:hAnsi="Times New Roman" w:eastAsia="Times New Roman" w:cs="Times New Roman"/>
          <w:sz w:val="26"/>
          <w:szCs w:val="26"/>
          <w:lang w:eastAsia="ru-RU"/>
        </w:rPr>
      </w:pPr>
      <w:r>
        <w:rPr>
          <w:rFonts w:eastAsia="Times New Roman" w:cs="Times New Roman"/>
          <w:sz w:val="26"/>
          <w:szCs w:val="26"/>
          <w:lang w:eastAsia="ru-RU"/>
        </w:rPr>
        <w:t xml:space="preserve"> </w:t>
      </w:r>
    </w:p>
    <w:p>
      <w:pPr>
        <w:pStyle w:val="Normal"/>
        <w:tabs>
          <w:tab w:val="clear" w:pos="708"/>
          <w:tab w:val="left" w:pos="3261" w:leader="none"/>
        </w:tabs>
        <w:ind w:left="-142" w:firstLine="142"/>
        <w:jc w:val="both"/>
        <w:rPr>
          <w:b/>
          <w:b/>
        </w:rPr>
      </w:pPr>
      <w:r>
        <w:rPr>
          <w:b/>
          <w:sz w:val="26"/>
          <w:szCs w:val="26"/>
        </w:rPr>
        <w:t xml:space="preserve">Об  утверждении  Генерального плана </w:t>
      </w:r>
    </w:p>
    <w:p>
      <w:pPr>
        <w:pStyle w:val="Normal"/>
        <w:tabs>
          <w:tab w:val="clear" w:pos="708"/>
          <w:tab w:val="left" w:pos="3261" w:leader="none"/>
        </w:tabs>
        <w:ind w:left="-142" w:firstLine="142"/>
        <w:jc w:val="both"/>
        <w:rPr>
          <w:b/>
          <w:b/>
        </w:rPr>
      </w:pPr>
      <w:r>
        <w:rPr>
          <w:b/>
          <w:sz w:val="26"/>
          <w:szCs w:val="26"/>
        </w:rPr>
        <w:t xml:space="preserve">Катенинского сельского поселения Варненского </w:t>
      </w:r>
    </w:p>
    <w:p>
      <w:pPr>
        <w:pStyle w:val="Normal"/>
        <w:tabs>
          <w:tab w:val="clear" w:pos="708"/>
          <w:tab w:val="left" w:pos="3261" w:leader="none"/>
        </w:tabs>
        <w:ind w:left="-142" w:firstLine="142"/>
        <w:jc w:val="both"/>
        <w:rPr>
          <w:b/>
          <w:b/>
        </w:rPr>
      </w:pPr>
      <w:r>
        <w:rPr>
          <w:b/>
          <w:sz w:val="26"/>
          <w:szCs w:val="26"/>
        </w:rPr>
        <w:t>муниципального района Челябинской области</w:t>
      </w:r>
      <w:bookmarkStart w:id="0" w:name="_Hlk201586953"/>
      <w:bookmarkEnd w:id="0"/>
    </w:p>
    <w:p>
      <w:pPr>
        <w:pStyle w:val="Normal"/>
        <w:spacing w:lineRule="auto" w:line="276"/>
        <w:rPr>
          <w:color w:val="000000"/>
          <w:sz w:val="28"/>
          <w:szCs w:val="28"/>
        </w:rPr>
      </w:pPr>
      <w:r>
        <w:rPr>
          <w:b/>
          <w:bCs/>
          <w:color w:val="000000"/>
          <w:sz w:val="26"/>
          <w:szCs w:val="26"/>
        </w:rPr>
        <w:t>в новой редакции</w:t>
      </w:r>
    </w:p>
    <w:p>
      <w:pPr>
        <w:pStyle w:val="Normal"/>
        <w:spacing w:lineRule="auto" w:line="276"/>
        <w:rPr>
          <w:color w:val="000000"/>
          <w:sz w:val="28"/>
          <w:szCs w:val="28"/>
        </w:rPr>
      </w:pPr>
      <w:r>
        <w:rPr>
          <w:color w:val="000000"/>
          <w:sz w:val="28"/>
          <w:szCs w:val="28"/>
        </w:rPr>
      </w:r>
    </w:p>
    <w:p>
      <w:pPr>
        <w:pStyle w:val="Normal"/>
        <w:spacing w:lineRule="auto" w:line="276"/>
        <w:jc w:val="both"/>
        <w:rPr>
          <w:color w:val="000000"/>
        </w:rPr>
      </w:pPr>
      <w:r>
        <w:rPr>
          <w:sz w:val="26"/>
          <w:szCs w:val="26"/>
        </w:rPr>
        <w:t xml:space="preserve">        </w:t>
      </w:r>
      <w:r>
        <w:rPr>
          <w:sz w:val="26"/>
          <w:szCs w:val="26"/>
        </w:rPr>
        <w:t xml:space="preserve">В соответствии с Градостроительным кодексом Российской Федерации от 29.12.2004 №190-ФЗ, Федеральным Законом от 06.10.2003  №131-ФЗ «Об общих принципах организации местного самоуправления в Российской Федерации», </w:t>
      </w:r>
      <w:bookmarkStart w:id="1" w:name="_Hlk201668836"/>
      <w:r>
        <w:rPr>
          <w:sz w:val="26"/>
          <w:szCs w:val="26"/>
        </w:rPr>
        <w:t>Федеральным законом от 20.03.2025 N 33-ФЗ "Об общих принципах организации местного самоуправления в единой системе публичной власти"</w:t>
      </w:r>
      <w:bookmarkEnd w:id="1"/>
      <w:r>
        <w:rPr>
          <w:sz w:val="26"/>
          <w:szCs w:val="26"/>
        </w:rPr>
        <w:t xml:space="preserve">, Уставом Варненского муниципального района, на основании протокола публичных слушаний по проекту «Генеральный план Катенинского сельского поселения Варненского муниципального района Челябинской области» и заключения о результатах публичных слушаний  </w:t>
      </w:r>
      <w:r>
        <w:rPr>
          <w:color w:val="000000"/>
          <w:sz w:val="26"/>
          <w:szCs w:val="26"/>
        </w:rPr>
        <w:t>Собрание  депутатов Варненского муниципального района Челябинской области</w:t>
      </w:r>
    </w:p>
    <w:p>
      <w:pPr>
        <w:pStyle w:val="Normal"/>
        <w:spacing w:lineRule="auto" w:line="276"/>
        <w:jc w:val="center"/>
        <w:rPr>
          <w:color w:val="000000"/>
        </w:rPr>
      </w:pPr>
      <w:r>
        <w:rPr>
          <w:b/>
          <w:bCs/>
          <w:color w:val="000000"/>
          <w:sz w:val="26"/>
          <w:szCs w:val="26"/>
        </w:rPr>
        <w:t>РЕШАЕТ:</w:t>
      </w:r>
    </w:p>
    <w:p>
      <w:pPr>
        <w:pStyle w:val="Normal"/>
        <w:spacing w:lineRule="auto" w:line="276" w:before="0" w:after="0"/>
        <w:jc w:val="both"/>
        <w:rPr>
          <w:color w:val="000000"/>
        </w:rPr>
      </w:pPr>
      <w:r>
        <w:rPr>
          <w:color w:val="000000"/>
        </w:rPr>
      </w:r>
    </w:p>
    <w:p>
      <w:pPr>
        <w:pStyle w:val="ListParagraph"/>
        <w:numPr>
          <w:ilvl w:val="0"/>
          <w:numId w:val="0"/>
        </w:numPr>
        <w:spacing w:lineRule="auto" w:line="276"/>
        <w:ind w:left="0" w:hanging="0"/>
        <w:jc w:val="both"/>
        <w:rPr>
          <w:color w:val="000000"/>
          <w:highlight w:val="white"/>
        </w:rPr>
      </w:pPr>
      <w:r>
        <w:rPr>
          <w:color w:val="000000"/>
          <w:sz w:val="26"/>
          <w:szCs w:val="26"/>
          <w:shd w:fill="FFFFFF" w:val="clear"/>
        </w:rPr>
        <w:tab/>
        <w:t>1. Утвердить Генеральный план Катенинского сельского поселения Варненского муниципального района Челябинской области в новой редакции (приложение 1).</w:t>
      </w:r>
    </w:p>
    <w:p>
      <w:pPr>
        <w:pStyle w:val="ListParagraph"/>
        <w:numPr>
          <w:ilvl w:val="0"/>
          <w:numId w:val="0"/>
        </w:numPr>
        <w:spacing w:lineRule="auto" w:line="276"/>
        <w:ind w:left="0" w:hanging="0"/>
        <w:jc w:val="both"/>
        <w:rPr>
          <w:color w:val="000000"/>
          <w:highlight w:val="white"/>
        </w:rPr>
      </w:pPr>
      <w:r>
        <w:rPr>
          <w:color w:val="000000"/>
          <w:sz w:val="26"/>
          <w:szCs w:val="26"/>
          <w:shd w:fill="FFFFFF" w:val="clear"/>
        </w:rPr>
        <w:tab/>
        <w:t>2. Признать Решение Собрания депутатов Варненского муниципального района  от 11.11.2022 г.  № 93 «Об утверждении Генерального плана и Правил землепользования и застройки Катенинского сельского поселения Варненского муниципального района Челябинской области»  утратившим силу.</w:t>
      </w:r>
    </w:p>
    <w:p>
      <w:pPr>
        <w:pStyle w:val="ListParagraph"/>
        <w:numPr>
          <w:ilvl w:val="0"/>
          <w:numId w:val="0"/>
        </w:numPr>
        <w:spacing w:lineRule="auto" w:line="276"/>
        <w:ind w:left="0" w:hanging="0"/>
        <w:jc w:val="both"/>
        <w:rPr>
          <w:color w:val="000000"/>
          <w:highlight w:val="white"/>
        </w:rPr>
      </w:pPr>
      <w:r>
        <w:rPr>
          <w:rFonts w:eastAsia="Times New Roman" w:cs="Times New Roman"/>
          <w:b w:val="false"/>
          <w:bCs w:val="false"/>
          <w:color w:val="000000"/>
          <w:sz w:val="26"/>
          <w:szCs w:val="26"/>
          <w:shd w:fill="FFFFFF" w:val="clear"/>
        </w:rPr>
        <w:tab/>
        <w:t>3. Настоящее Решение обнародовать на Информационном стенде и официальном сайте администрации Варненского муниципального района в сети «Интернет».</w:t>
      </w:r>
    </w:p>
    <w:p>
      <w:pPr>
        <w:pStyle w:val="Normal"/>
        <w:spacing w:lineRule="auto" w:line="276"/>
        <w:ind w:left="360" w:hanging="0"/>
        <w:rPr>
          <w:color w:val="000000"/>
          <w:highlight w:val="white"/>
        </w:rPr>
      </w:pPr>
      <w:r>
        <w:rPr>
          <w:color w:val="000000"/>
          <w:highlight w:val="white"/>
        </w:rPr>
      </w:r>
    </w:p>
    <w:p>
      <w:pPr>
        <w:pStyle w:val="Normal"/>
        <w:spacing w:lineRule="auto" w:line="276"/>
        <w:rPr>
          <w:color w:val="000000"/>
        </w:rPr>
      </w:pPr>
      <w:r>
        <w:rPr>
          <w:b/>
          <w:bCs/>
          <w:color w:val="000000"/>
          <w:sz w:val="26"/>
          <w:szCs w:val="26"/>
        </w:rPr>
        <w:t xml:space="preserve">  </w:t>
      </w:r>
      <w:r>
        <w:rPr>
          <w:b/>
          <w:bCs/>
          <w:color w:val="000000"/>
          <w:sz w:val="26"/>
          <w:szCs w:val="26"/>
        </w:rPr>
        <w:t>Председатель Собрания депутатов</w:t>
      </w:r>
    </w:p>
    <w:p>
      <w:pPr>
        <w:pStyle w:val="Normal"/>
        <w:spacing w:lineRule="auto" w:line="276"/>
        <w:rPr>
          <w:color w:val="000000"/>
        </w:rPr>
      </w:pPr>
      <w:r>
        <w:rPr>
          <w:b/>
          <w:bCs/>
          <w:color w:val="000000"/>
          <w:sz w:val="26"/>
          <w:szCs w:val="26"/>
        </w:rPr>
        <w:t xml:space="preserve">  </w:t>
      </w:r>
      <w:r>
        <w:rPr>
          <w:b/>
          <w:bCs/>
          <w:color w:val="000000"/>
          <w:sz w:val="26"/>
          <w:szCs w:val="26"/>
        </w:rPr>
        <w:t>Варненского муниципального района                                     А.А.Кормилицын</w:t>
      </w:r>
    </w:p>
    <w:p>
      <w:pPr>
        <w:pStyle w:val="Normal"/>
        <w:spacing w:lineRule="auto" w:line="276"/>
        <w:rPr>
          <w:color w:val="000000"/>
        </w:rPr>
      </w:pPr>
      <w:r>
        <w:rPr>
          <w:color w:val="000000"/>
        </w:rPr>
      </w:r>
    </w:p>
    <w:p>
      <w:pPr>
        <w:pStyle w:val="Normal"/>
        <w:spacing w:lineRule="auto" w:line="276"/>
        <w:rPr>
          <w:color w:val="000000"/>
        </w:rPr>
      </w:pPr>
      <w:r>
        <w:rPr>
          <w:b/>
          <w:bCs/>
          <w:color w:val="000000"/>
          <w:sz w:val="26"/>
          <w:szCs w:val="26"/>
        </w:rPr>
        <w:t xml:space="preserve">  </w:t>
      </w:r>
      <w:r>
        <w:rPr>
          <w:b/>
          <w:bCs/>
          <w:color w:val="000000"/>
          <w:sz w:val="26"/>
          <w:szCs w:val="26"/>
        </w:rPr>
        <w:t xml:space="preserve">Глава Варненского </w:t>
      </w:r>
    </w:p>
    <w:p>
      <w:pPr>
        <w:pStyle w:val="Normal"/>
        <w:spacing w:lineRule="auto" w:line="276"/>
        <w:rPr>
          <w:color w:val="000000"/>
        </w:rPr>
      </w:pPr>
      <w:r>
        <w:rPr>
          <w:b/>
          <w:bCs/>
          <w:color w:val="000000"/>
          <w:sz w:val="26"/>
          <w:szCs w:val="26"/>
        </w:rPr>
        <w:t xml:space="preserve">  </w:t>
      </w:r>
      <w:r>
        <w:rPr>
          <w:b/>
          <w:bCs/>
          <w:color w:val="000000"/>
          <w:sz w:val="26"/>
          <w:szCs w:val="26"/>
        </w:rPr>
        <w:t>муниципального района                                                              К.Ю.Моисеев</w:t>
      </w:r>
    </w:p>
    <w:p>
      <w:pPr>
        <w:pStyle w:val="Normal"/>
        <w:spacing w:lineRule="auto" w:line="276"/>
        <w:rPr>
          <w:color w:val="000000"/>
        </w:rPr>
      </w:pPr>
      <w:r>
        <w:rPr/>
      </w:r>
    </w:p>
    <w:p>
      <w:pPr>
        <w:sectPr>
          <w:type w:val="nextPage"/>
          <w:pgSz w:w="12240" w:h="15840"/>
          <w:pgMar w:left="1587" w:right="851" w:header="0" w:top="680" w:footer="0" w:bottom="567" w:gutter="0"/>
          <w:pgNumType w:fmt="decimal"/>
          <w:formProt w:val="false"/>
          <w:textDirection w:val="lrTb"/>
          <w:docGrid w:type="default" w:linePitch="360" w:charSpace="0"/>
        </w:sectPr>
        <w:pStyle w:val="Normal"/>
        <w:rPr/>
      </w:pPr>
      <w:r>
        <w:rPr/>
      </w:r>
    </w:p>
    <w:tbl>
      <w:tblPr>
        <w:tblW w:w="9640" w:type="dxa"/>
        <w:jc w:val="left"/>
        <w:tblInd w:w="34" w:type="dxa"/>
        <w:tblCellMar>
          <w:top w:w="0" w:type="dxa"/>
          <w:left w:w="108" w:type="dxa"/>
          <w:bottom w:w="0" w:type="dxa"/>
          <w:right w:w="108" w:type="dxa"/>
        </w:tblCellMar>
        <w:tblLook w:firstRow="1" w:noVBand="1" w:lastRow="0" w:firstColumn="1" w:lastColumn="0" w:noHBand="0" w:val="04a0"/>
      </w:tblPr>
      <w:tblGrid>
        <w:gridCol w:w="1276"/>
        <w:gridCol w:w="4677"/>
        <w:gridCol w:w="3687"/>
      </w:tblGrid>
      <w:tr>
        <w:trPr>
          <w:trHeight w:val="708" w:hRule="atLeast"/>
        </w:trPr>
        <w:tc>
          <w:tcPr>
            <w:tcW w:w="1276" w:type="dxa"/>
            <w:tcBorders/>
          </w:tcPr>
          <w:p>
            <w:pPr>
              <w:pStyle w:val="Normal"/>
              <w:spacing w:lineRule="auto" w:line="300"/>
              <w:rPr/>
            </w:pPr>
            <w:r>
              <w:rPr/>
              <w:drawing>
                <wp:inline distT="0" distB="0" distL="0" distR="0">
                  <wp:extent cx="760730" cy="857250"/>
                  <wp:effectExtent l="0" t="0" r="0" b="0"/>
                  <wp:docPr id="2" name="Рисунок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7" descr=""/>
                          <pic:cNvPicPr>
                            <a:picLocks noChangeAspect="1" noChangeArrowheads="1"/>
                          </pic:cNvPicPr>
                        </pic:nvPicPr>
                        <pic:blipFill>
                          <a:blip r:embed="rId3"/>
                          <a:stretch>
                            <a:fillRect/>
                          </a:stretch>
                        </pic:blipFill>
                        <pic:spPr bwMode="auto">
                          <a:xfrm>
                            <a:off x="0" y="0"/>
                            <a:ext cx="760730" cy="857250"/>
                          </a:xfrm>
                          <a:prstGeom prst="rect">
                            <a:avLst/>
                          </a:prstGeom>
                        </pic:spPr>
                      </pic:pic>
                    </a:graphicData>
                  </a:graphic>
                </wp:inline>
              </w:drawing>
            </w:r>
          </w:p>
        </w:tc>
        <w:tc>
          <w:tcPr>
            <w:tcW w:w="4677" w:type="dxa"/>
            <w:tcBorders/>
          </w:tcPr>
          <w:p>
            <w:pPr>
              <w:pStyle w:val="Normal"/>
              <w:spacing w:lineRule="auto" w:line="300"/>
              <w:ind w:left="33" w:hanging="33"/>
              <w:jc w:val="left"/>
              <w:rPr>
                <w:b/>
                <w:b/>
                <w:spacing w:val="1"/>
                <w:sz w:val="18"/>
                <w:szCs w:val="18"/>
              </w:rPr>
            </w:pPr>
            <w:r>
              <w:rPr>
                <w:b/>
                <w:spacing w:val="1"/>
                <w:sz w:val="18"/>
                <w:szCs w:val="18"/>
              </w:rPr>
            </w:r>
          </w:p>
          <w:p>
            <w:pPr>
              <w:pStyle w:val="Normal"/>
              <w:spacing w:lineRule="auto" w:line="300"/>
              <w:ind w:left="33" w:hanging="33"/>
              <w:jc w:val="left"/>
              <w:rPr>
                <w:b/>
                <w:b/>
                <w:sz w:val="16"/>
                <w:szCs w:val="16"/>
              </w:rPr>
            </w:pPr>
            <w:r>
              <w:rPr>
                <w:b/>
                <w:spacing w:val="1"/>
                <w:sz w:val="18"/>
                <w:szCs w:val="18"/>
              </w:rPr>
              <w:t xml:space="preserve">Администрация Варненского </w:t>
              <w:br/>
              <w:t xml:space="preserve">муниципального района </w:t>
              <w:br/>
            </w:r>
            <w:r>
              <w:rPr>
                <w:b/>
                <w:sz w:val="18"/>
                <w:szCs w:val="18"/>
              </w:rPr>
              <w:t>Челябинской области</w:t>
            </w:r>
          </w:p>
        </w:tc>
        <w:tc>
          <w:tcPr>
            <w:tcW w:w="3687" w:type="dxa"/>
            <w:tcBorders/>
            <w:vAlign w:val="center"/>
          </w:tcPr>
          <w:p>
            <w:pPr>
              <w:pStyle w:val="Normal"/>
              <w:spacing w:lineRule="auto" w:line="300"/>
              <w:ind w:right="1340" w:hanging="0"/>
              <w:rPr/>
            </w:pPr>
            <w:r>
              <w:rPr/>
              <w:drawing>
                <wp:inline distT="0" distB="0" distL="0" distR="0">
                  <wp:extent cx="2200275" cy="600075"/>
                  <wp:effectExtent l="0" t="0" r="0" b="0"/>
                  <wp:docPr id="3" name="Рисунок 1" descr="P:\Проектно-пр. департамент\06_СКК\6.1_Календарно-методический табель\Качество\logo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1" descr="P:\Проектно-пр. департамент\06_СКК\6.1_Календарно-методический табель\Качество\logos1.jpg"/>
                          <pic:cNvPicPr>
                            <a:picLocks noChangeAspect="1" noChangeArrowheads="1"/>
                          </pic:cNvPicPr>
                        </pic:nvPicPr>
                        <pic:blipFill>
                          <a:blip r:embed="rId4"/>
                          <a:stretch>
                            <a:fillRect/>
                          </a:stretch>
                        </pic:blipFill>
                        <pic:spPr bwMode="auto">
                          <a:xfrm>
                            <a:off x="0" y="0"/>
                            <a:ext cx="2200275" cy="600075"/>
                          </a:xfrm>
                          <a:prstGeom prst="rect">
                            <a:avLst/>
                          </a:prstGeom>
                        </pic:spPr>
                      </pic:pic>
                    </a:graphicData>
                  </a:graphic>
                </wp:inline>
              </w:drawing>
            </w:r>
          </w:p>
        </w:tc>
      </w:tr>
    </w:tbl>
    <w:p>
      <w:pPr>
        <w:pStyle w:val="Normal"/>
        <w:spacing w:lineRule="auto" w:line="300"/>
        <w:rPr/>
      </w:pPr>
      <w:r>
        <w:rPr/>
      </w:r>
    </w:p>
    <w:p>
      <w:pPr>
        <w:pStyle w:val="Normal"/>
        <w:spacing w:lineRule="auto" w:line="300"/>
        <w:rPr/>
      </w:pPr>
      <w:r>
        <w:rPr/>
      </w:r>
    </w:p>
    <w:tbl>
      <w:tblPr>
        <w:tblW w:w="9639" w:type="dxa"/>
        <w:jc w:val="left"/>
        <w:tblInd w:w="1" w:type="dxa"/>
        <w:tblCellMar>
          <w:top w:w="0" w:type="dxa"/>
          <w:left w:w="108" w:type="dxa"/>
          <w:bottom w:w="0" w:type="dxa"/>
          <w:right w:w="108" w:type="dxa"/>
        </w:tblCellMar>
        <w:tblLook w:firstRow="1" w:noVBand="1" w:lastRow="0" w:firstColumn="1" w:lastColumn="0" w:noHBand="0" w:val="04a0"/>
      </w:tblPr>
      <w:tblGrid>
        <w:gridCol w:w="1315"/>
        <w:gridCol w:w="8323"/>
      </w:tblGrid>
      <w:tr>
        <w:trPr/>
        <w:tc>
          <w:tcPr>
            <w:tcW w:w="1315" w:type="dxa"/>
            <w:tcBorders/>
            <w:shd w:color="auto" w:fill="auto" w:val="clear"/>
          </w:tcPr>
          <w:p>
            <w:pPr>
              <w:pStyle w:val="Normal"/>
              <w:spacing w:lineRule="auto" w:line="300"/>
              <w:rPr/>
            </w:pPr>
            <w:r>
              <w:rPr/>
            </w:r>
          </w:p>
        </w:tc>
        <w:tc>
          <w:tcPr>
            <w:tcW w:w="8323" w:type="dxa"/>
            <w:tcBorders/>
            <w:shd w:color="auto" w:fill="auto" w:val="clear"/>
          </w:tcPr>
          <w:p>
            <w:pPr>
              <w:pStyle w:val="Normal"/>
              <w:spacing w:lineRule="auto" w:line="300"/>
              <w:jc w:val="left"/>
              <w:rPr>
                <w:b/>
                <w:b/>
                <w:caps/>
                <w:spacing w:val="20"/>
                <w:sz w:val="32"/>
                <w:szCs w:val="32"/>
              </w:rPr>
            </w:pPr>
            <w:r>
              <w:rPr>
                <w:b/>
                <w:caps/>
                <w:spacing w:val="20"/>
                <w:sz w:val="32"/>
                <w:szCs w:val="32"/>
              </w:rPr>
            </w:r>
          </w:p>
          <w:p>
            <w:pPr>
              <w:pStyle w:val="Normal"/>
              <w:spacing w:lineRule="auto" w:line="300"/>
              <w:jc w:val="left"/>
              <w:rPr>
                <w:b/>
                <w:b/>
                <w:caps/>
                <w:spacing w:val="20"/>
                <w:sz w:val="32"/>
                <w:szCs w:val="32"/>
              </w:rPr>
            </w:pPr>
            <w:r>
              <w:rPr>
                <w:b/>
                <w:caps/>
                <w:spacing w:val="20"/>
                <w:sz w:val="32"/>
                <w:szCs w:val="32"/>
              </w:rPr>
            </w:r>
          </w:p>
          <w:p>
            <w:pPr>
              <w:pStyle w:val="Normal"/>
              <w:spacing w:lineRule="auto" w:line="300"/>
              <w:jc w:val="left"/>
              <w:rPr>
                <w:b/>
                <w:b/>
                <w:caps/>
                <w:spacing w:val="20"/>
                <w:sz w:val="32"/>
                <w:szCs w:val="32"/>
              </w:rPr>
            </w:pPr>
            <w:r>
              <w:rPr>
                <w:b/>
                <w:caps/>
                <w:spacing w:val="20"/>
                <w:sz w:val="32"/>
                <w:szCs w:val="32"/>
              </w:rPr>
            </w:r>
          </w:p>
          <w:p>
            <w:pPr>
              <w:pStyle w:val="Normal"/>
              <w:spacing w:lineRule="auto" w:line="300"/>
              <w:jc w:val="left"/>
              <w:rPr>
                <w:b/>
                <w:b/>
                <w:caps/>
                <w:spacing w:val="20"/>
                <w:sz w:val="32"/>
                <w:szCs w:val="32"/>
              </w:rPr>
            </w:pPr>
            <w:r>
              <w:rPr>
                <w:b/>
                <w:caps/>
                <w:spacing w:val="20"/>
                <w:sz w:val="32"/>
                <w:szCs w:val="32"/>
              </w:rPr>
            </w:r>
          </w:p>
          <w:p>
            <w:pPr>
              <w:pStyle w:val="Normal"/>
              <w:spacing w:lineRule="auto" w:line="300"/>
              <w:jc w:val="left"/>
              <w:rPr>
                <w:b/>
                <w:b/>
                <w:caps/>
                <w:spacing w:val="20"/>
                <w:sz w:val="32"/>
                <w:szCs w:val="32"/>
              </w:rPr>
            </w:pPr>
            <w:r>
              <w:rPr>
                <w:b/>
                <w:caps/>
                <w:spacing w:val="20"/>
                <w:sz w:val="32"/>
                <w:szCs w:val="32"/>
              </w:rPr>
            </w:r>
          </w:p>
          <w:p>
            <w:pPr>
              <w:pStyle w:val="Normal"/>
              <w:spacing w:lineRule="auto" w:line="300"/>
              <w:jc w:val="left"/>
              <w:rPr>
                <w:b/>
                <w:b/>
                <w:caps/>
                <w:spacing w:val="20"/>
                <w:sz w:val="32"/>
                <w:szCs w:val="32"/>
              </w:rPr>
            </w:pPr>
            <w:r>
              <w:rPr>
                <w:b/>
                <w:caps/>
                <w:spacing w:val="20"/>
                <w:sz w:val="32"/>
                <w:szCs w:val="32"/>
              </w:rPr>
            </w:r>
          </w:p>
          <w:p>
            <w:pPr>
              <w:pStyle w:val="Normal"/>
              <w:spacing w:lineRule="auto" w:line="300"/>
              <w:jc w:val="left"/>
              <w:rPr>
                <w:b/>
                <w:b/>
                <w:caps/>
                <w:spacing w:val="20"/>
                <w:sz w:val="32"/>
                <w:szCs w:val="32"/>
              </w:rPr>
            </w:pPr>
            <w:r>
              <w:rPr>
                <w:b/>
                <w:caps/>
                <w:spacing w:val="20"/>
                <w:sz w:val="32"/>
                <w:szCs w:val="32"/>
              </w:rPr>
            </w:r>
          </w:p>
          <w:p>
            <w:pPr>
              <w:pStyle w:val="Normal"/>
              <w:spacing w:lineRule="auto" w:line="300"/>
              <w:jc w:val="left"/>
              <w:rPr>
                <w:b/>
                <w:b/>
                <w:caps/>
                <w:spacing w:val="20"/>
                <w:sz w:val="32"/>
                <w:szCs w:val="32"/>
              </w:rPr>
            </w:pPr>
            <w:r>
              <w:rPr>
                <w:b/>
                <w:caps/>
                <w:spacing w:val="20"/>
                <w:sz w:val="32"/>
                <w:szCs w:val="32"/>
              </w:rPr>
            </w:r>
          </w:p>
          <w:p>
            <w:pPr>
              <w:pStyle w:val="Normal"/>
              <w:spacing w:lineRule="auto" w:line="300"/>
              <w:jc w:val="left"/>
              <w:rPr>
                <w:b/>
                <w:b/>
                <w:caps/>
                <w:spacing w:val="20"/>
                <w:sz w:val="32"/>
                <w:szCs w:val="32"/>
              </w:rPr>
            </w:pPr>
            <w:r>
              <w:rPr>
                <w:b/>
                <w:caps/>
                <w:spacing w:val="20"/>
                <w:sz w:val="32"/>
                <w:szCs w:val="32"/>
              </w:rPr>
            </w:r>
          </w:p>
          <w:p>
            <w:pPr>
              <w:pStyle w:val="Normal"/>
              <w:spacing w:lineRule="auto" w:line="300"/>
              <w:jc w:val="left"/>
              <w:rPr>
                <w:b/>
                <w:b/>
                <w:caps/>
                <w:spacing w:val="20"/>
                <w:sz w:val="32"/>
                <w:szCs w:val="32"/>
              </w:rPr>
            </w:pPr>
            <w:r>
              <w:rPr>
                <w:b/>
                <w:caps/>
                <w:spacing w:val="20"/>
                <w:sz w:val="32"/>
                <w:szCs w:val="32"/>
              </w:rPr>
            </w:r>
          </w:p>
          <w:p>
            <w:pPr>
              <w:pStyle w:val="Normal"/>
              <w:spacing w:lineRule="auto" w:line="300"/>
              <w:jc w:val="left"/>
              <w:rPr>
                <w:b/>
                <w:b/>
                <w:caps/>
                <w:spacing w:val="20"/>
                <w:sz w:val="32"/>
                <w:szCs w:val="32"/>
              </w:rPr>
            </w:pPr>
            <w:r>
              <w:rPr>
                <w:b/>
                <w:caps/>
                <w:spacing w:val="20"/>
                <w:sz w:val="32"/>
                <w:szCs w:val="32"/>
              </w:rPr>
            </w:r>
          </w:p>
          <w:p>
            <w:pPr>
              <w:pStyle w:val="Normal"/>
              <w:spacing w:lineRule="auto" w:line="300"/>
              <w:jc w:val="left"/>
              <w:rPr>
                <w:b/>
                <w:b/>
                <w:caps/>
                <w:spacing w:val="20"/>
                <w:sz w:val="32"/>
                <w:szCs w:val="32"/>
              </w:rPr>
            </w:pPr>
            <w:r>
              <w:rPr>
                <w:b/>
                <w:caps/>
                <w:spacing w:val="20"/>
                <w:sz w:val="32"/>
                <w:szCs w:val="32"/>
              </w:rPr>
            </w:r>
          </w:p>
          <w:p>
            <w:pPr>
              <w:pStyle w:val="Normal"/>
              <w:spacing w:lineRule="auto" w:line="300"/>
              <w:jc w:val="left"/>
              <w:rPr>
                <w:b/>
                <w:b/>
                <w:caps/>
                <w:spacing w:val="20"/>
                <w:sz w:val="32"/>
                <w:szCs w:val="32"/>
              </w:rPr>
            </w:pPr>
            <w:r>
              <w:rPr>
                <w:b/>
                <w:caps/>
                <w:spacing w:val="20"/>
                <w:sz w:val="32"/>
                <w:szCs w:val="32"/>
              </w:rPr>
            </w:r>
          </w:p>
          <w:p>
            <w:pPr>
              <w:pStyle w:val="Normal"/>
              <w:spacing w:lineRule="auto" w:line="300"/>
              <w:jc w:val="left"/>
              <w:rPr>
                <w:b/>
                <w:b/>
                <w:caps/>
                <w:spacing w:val="20"/>
                <w:sz w:val="32"/>
                <w:szCs w:val="32"/>
              </w:rPr>
            </w:pPr>
            <w:r>
              <w:rPr>
                <w:b/>
                <w:caps/>
                <w:spacing w:val="20"/>
                <w:sz w:val="32"/>
                <w:szCs w:val="32"/>
              </w:rPr>
              <w:t xml:space="preserve">генеральный план (ВНЕСЕНИЕ ИЗМЕНЕНИЙ) КАТЕНИНСКОГО сельского поселения ВАРНЕНСКОГО муниципального района Челябинской области </w:t>
            </w:r>
          </w:p>
        </w:tc>
      </w:tr>
      <w:tr>
        <w:trPr>
          <w:trHeight w:val="1459" w:hRule="atLeast"/>
        </w:trPr>
        <w:tc>
          <w:tcPr>
            <w:tcW w:w="1315" w:type="dxa"/>
            <w:tcBorders/>
            <w:shd w:color="auto" w:fill="auto" w:val="clear"/>
          </w:tcPr>
          <w:p>
            <w:pPr>
              <w:pStyle w:val="Normal"/>
              <w:spacing w:lineRule="auto" w:line="300"/>
              <w:ind w:right="-1" w:hanging="0"/>
              <w:rPr/>
            </w:pPr>
            <w:r>
              <w:rPr/>
            </w:r>
          </w:p>
        </w:tc>
        <w:tc>
          <w:tcPr>
            <w:tcW w:w="8323" w:type="dxa"/>
            <w:tcBorders/>
            <w:shd w:color="auto" w:fill="auto" w:val="clear"/>
          </w:tcPr>
          <w:p>
            <w:pPr>
              <w:pStyle w:val="Normal"/>
              <w:spacing w:lineRule="auto" w:line="300"/>
              <w:ind w:right="-1" w:hanging="0"/>
              <w:rPr/>
            </w:pPr>
            <w:r>
              <w:rPr/>
            </w:r>
          </w:p>
        </w:tc>
      </w:tr>
      <w:tr>
        <w:trPr/>
        <w:tc>
          <w:tcPr>
            <w:tcW w:w="1315" w:type="dxa"/>
            <w:tcBorders/>
            <w:shd w:color="auto" w:fill="auto" w:val="clear"/>
          </w:tcPr>
          <w:p>
            <w:pPr>
              <w:pStyle w:val="Normal"/>
              <w:spacing w:lineRule="auto" w:line="300"/>
              <w:ind w:right="-102" w:hanging="0"/>
              <w:rPr>
                <w:b/>
                <w:b/>
                <w:szCs w:val="24"/>
              </w:rPr>
            </w:pPr>
            <w:r>
              <w:rPr>
                <w:caps/>
                <w:spacing w:val="40"/>
                <w:szCs w:val="20"/>
              </w:rPr>
              <w:t xml:space="preserve">Том </w:t>
            </w:r>
            <w:r>
              <w:rPr>
                <w:caps/>
                <w:spacing w:val="40"/>
                <w:szCs w:val="20"/>
                <w:lang w:val="en-US"/>
              </w:rPr>
              <w:t>II</w:t>
            </w:r>
            <w:r>
              <w:rPr>
                <w:caps/>
                <w:spacing w:val="40"/>
                <w:szCs w:val="20"/>
              </w:rPr>
              <w:t>.</w:t>
            </w:r>
          </w:p>
        </w:tc>
        <w:tc>
          <w:tcPr>
            <w:tcW w:w="8323" w:type="dxa"/>
            <w:tcBorders/>
            <w:shd w:color="auto" w:fill="auto" w:val="clear"/>
          </w:tcPr>
          <w:p>
            <w:pPr>
              <w:pStyle w:val="Normal"/>
              <w:spacing w:lineRule="auto" w:line="300"/>
              <w:ind w:left="28" w:hanging="0"/>
              <w:rPr>
                <w:b/>
                <w:b/>
                <w:szCs w:val="24"/>
              </w:rPr>
            </w:pPr>
            <w:r>
              <w:rPr>
                <w:caps/>
                <w:spacing w:val="40"/>
                <w:szCs w:val="20"/>
              </w:rPr>
              <w:t>материалы по обоснованию ГЕНЕРАЛЬНОГО ПЛАНА в текстовой форме</w:t>
            </w:r>
          </w:p>
        </w:tc>
      </w:tr>
    </w:tbl>
    <w:p>
      <w:pPr>
        <w:pStyle w:val="Normal"/>
        <w:spacing w:lineRule="auto" w:line="300"/>
        <w:jc w:val="center"/>
        <w:rPr>
          <w:sz w:val="20"/>
        </w:rPr>
      </w:pPr>
      <w:r>
        <w:rPr>
          <w:sz w:val="20"/>
        </w:rPr>
      </w:r>
    </w:p>
    <w:p>
      <w:pPr>
        <w:pStyle w:val="Normal"/>
        <w:spacing w:lineRule="auto" w:line="300"/>
        <w:jc w:val="center"/>
        <w:rPr>
          <w:sz w:val="20"/>
        </w:rPr>
      </w:pPr>
      <w:r>
        <w:rPr>
          <w:sz w:val="20"/>
        </w:rPr>
      </w:r>
    </w:p>
    <w:p>
      <w:pPr>
        <w:pStyle w:val="Normal"/>
        <w:spacing w:lineRule="auto" w:line="300"/>
        <w:rPr>
          <w:sz w:val="20"/>
        </w:rPr>
      </w:pPr>
      <w:r>
        <w:rPr>
          <w:sz w:val="20"/>
        </w:rPr>
      </w:r>
    </w:p>
    <w:p>
      <w:pPr>
        <w:pStyle w:val="Normal"/>
        <w:spacing w:lineRule="auto" w:line="300"/>
        <w:jc w:val="center"/>
        <w:rPr>
          <w:sz w:val="20"/>
        </w:rPr>
      </w:pPr>
      <w:r>
        <w:rPr>
          <w:sz w:val="20"/>
        </w:rPr>
      </w:r>
    </w:p>
    <w:p>
      <w:pPr>
        <w:pStyle w:val="Normal"/>
        <w:spacing w:lineRule="auto" w:line="300"/>
        <w:jc w:val="center"/>
        <w:rPr>
          <w:szCs w:val="24"/>
        </w:rPr>
      </w:pPr>
      <w:r>
        <w:rPr/>
      </w:r>
    </w:p>
    <w:p>
      <w:pPr>
        <w:pStyle w:val="Normal"/>
        <w:spacing w:lineRule="auto" w:line="300"/>
        <w:jc w:val="center"/>
        <w:rPr>
          <w:szCs w:val="24"/>
        </w:rPr>
      </w:pPr>
      <w:r>
        <w:rPr/>
      </w:r>
    </w:p>
    <w:p>
      <w:pPr>
        <w:pStyle w:val="Normal"/>
        <w:spacing w:lineRule="auto" w:line="300"/>
        <w:jc w:val="center"/>
        <w:rPr>
          <w:szCs w:val="24"/>
        </w:rPr>
      </w:pPr>
      <w:r>
        <w:rPr/>
      </w:r>
    </w:p>
    <w:p>
      <w:pPr>
        <w:pStyle w:val="Normal"/>
        <w:spacing w:lineRule="auto" w:line="300"/>
        <w:jc w:val="center"/>
        <w:rPr>
          <w:szCs w:val="24"/>
        </w:rPr>
      </w:pPr>
      <w:r>
        <w:rPr/>
      </w:r>
    </w:p>
    <w:p>
      <w:pPr>
        <w:sectPr>
          <w:headerReference w:type="default" r:id="rId5"/>
          <w:type w:val="nextPage"/>
          <w:pgSz w:w="11906" w:h="16838"/>
          <w:pgMar w:left="1418" w:right="567" w:header="567" w:top="1134" w:footer="0" w:bottom="1134" w:gutter="0"/>
          <w:pgNumType w:fmt="decimal"/>
          <w:formProt w:val="false"/>
          <w:textDirection w:val="lrTb"/>
          <w:docGrid w:type="default" w:linePitch="600" w:charSpace="32768"/>
        </w:sectPr>
        <w:pStyle w:val="Normal"/>
        <w:spacing w:lineRule="auto" w:line="300"/>
        <w:jc w:val="center"/>
        <w:rPr>
          <w:szCs w:val="24"/>
        </w:rPr>
      </w:pPr>
      <w:r>
        <w:rPr/>
      </w:r>
    </w:p>
    <w:p>
      <w:pPr>
        <w:pStyle w:val="Normal"/>
        <w:spacing w:lineRule="auto" w:line="300"/>
        <w:jc w:val="left"/>
        <w:rPr>
          <w:b/>
          <w:b/>
          <w:caps/>
          <w:spacing w:val="20"/>
          <w:sz w:val="32"/>
          <w:szCs w:val="32"/>
        </w:rPr>
      </w:pPr>
      <w:bookmarkStart w:id="2" w:name="_Toc463606270"/>
      <w:bookmarkStart w:id="3" w:name="_Toc462407330"/>
      <w:bookmarkStart w:id="4" w:name="_Toc461441838"/>
      <w:r>
        <w:rPr>
          <w:b/>
          <w:caps/>
          <w:spacing w:val="20"/>
          <w:sz w:val="32"/>
          <w:szCs w:val="32"/>
        </w:rPr>
        <w:t>генеральный план (ВНЕСЕНИЕ ИЗМЕНЕНИЙ) КАТЕНИНСКОГО СЕЛЬСКОГО ПОСЕЛЕНИЯ ВАРНЕНСКОГО МУНИЦИПАЛЬНОГО РАЙОНА ЧЕЛЯБИНСКОЙ ОБЛАСТИ</w:t>
      </w:r>
    </w:p>
    <w:p>
      <w:pPr>
        <w:pStyle w:val="Normal"/>
        <w:spacing w:lineRule="auto" w:line="276" w:before="120" w:after="120"/>
        <w:jc w:val="left"/>
        <w:rPr>
          <w:szCs w:val="28"/>
        </w:rPr>
      </w:pPr>
      <w:r>
        <w:rPr>
          <w:szCs w:val="28"/>
        </w:rPr>
      </w:r>
    </w:p>
    <w:p>
      <w:pPr>
        <w:pStyle w:val="Normal"/>
        <w:spacing w:lineRule="auto" w:line="276" w:before="120" w:after="120"/>
        <w:jc w:val="left"/>
        <w:rPr>
          <w:szCs w:val="28"/>
        </w:rPr>
      </w:pPr>
      <w:r>
        <w:rPr>
          <w:szCs w:val="28"/>
        </w:rPr>
      </w:r>
    </w:p>
    <w:p>
      <w:pPr>
        <w:pStyle w:val="Normal"/>
        <w:spacing w:lineRule="auto" w:line="300" w:before="0" w:after="120"/>
        <w:jc w:val="left"/>
        <w:rPr>
          <w:szCs w:val="28"/>
        </w:rPr>
      </w:pPr>
      <w:r>
        <w:rPr>
          <w:szCs w:val="28"/>
        </w:rPr>
        <w:t xml:space="preserve">ТОМ </w:t>
      </w:r>
      <w:r>
        <w:rPr>
          <w:szCs w:val="28"/>
          <w:lang w:val="en-US"/>
        </w:rPr>
        <w:t>II</w:t>
      </w:r>
      <w:r>
        <w:rPr>
          <w:szCs w:val="28"/>
        </w:rPr>
        <w:t>. МАТЕРИАЛЫ ПО ОБОСНОВАНИЮ ГЕНЕРАЛЬНОГО ПЛАНА В ТЕКСТОВОЙ ФОРМЕ</w:t>
      </w:r>
    </w:p>
    <w:p>
      <w:pPr>
        <w:pStyle w:val="Normal"/>
        <w:spacing w:lineRule="auto" w:line="276" w:before="120" w:after="120"/>
        <w:jc w:val="left"/>
        <w:rPr>
          <w:szCs w:val="28"/>
        </w:rPr>
      </w:pPr>
      <w:r>
        <w:rPr>
          <w:szCs w:val="28"/>
        </w:rPr>
      </w:r>
    </w:p>
    <w:p>
      <w:pPr>
        <w:pStyle w:val="Normal"/>
        <w:spacing w:lineRule="auto" w:line="276" w:before="120" w:after="120"/>
        <w:jc w:val="left"/>
        <w:rPr>
          <w:szCs w:val="28"/>
        </w:rPr>
      </w:pPr>
      <w:r>
        <w:rPr>
          <w:szCs w:val="28"/>
        </w:rPr>
      </w:r>
    </w:p>
    <w:p>
      <w:pPr>
        <w:pStyle w:val="Normal"/>
        <w:spacing w:lineRule="auto" w:line="276" w:before="120" w:after="120"/>
        <w:jc w:val="left"/>
        <w:rPr>
          <w:szCs w:val="28"/>
        </w:rPr>
      </w:pPr>
      <w:r>
        <w:rPr>
          <w:b/>
          <w:szCs w:val="28"/>
        </w:rPr>
        <w:t>Заказчик:</w:t>
      </w:r>
      <w:r>
        <w:rPr>
          <w:szCs w:val="28"/>
        </w:rPr>
        <w:t xml:space="preserve"> </w:t>
      </w:r>
      <w:r>
        <w:rPr/>
        <w:t>Муниципальное казенное учреждение «Управление строительства и жилищно-</w:t>
      </w:r>
      <w:r>
        <w:rPr>
          <w:szCs w:val="28"/>
        </w:rPr>
        <w:t>коммунального хозяйства Варненского муниципального района»</w:t>
      </w:r>
    </w:p>
    <w:p>
      <w:pPr>
        <w:pStyle w:val="Normal"/>
        <w:spacing w:lineRule="auto" w:line="276" w:before="120" w:after="120"/>
        <w:jc w:val="left"/>
        <w:rPr>
          <w:szCs w:val="28"/>
        </w:rPr>
      </w:pPr>
      <w:r>
        <w:rPr>
          <w:b/>
          <w:szCs w:val="28"/>
        </w:rPr>
        <w:t>Муниципальный контракт:</w:t>
      </w:r>
      <w:r>
        <w:rPr>
          <w:szCs w:val="28"/>
        </w:rPr>
        <w:t xml:space="preserve"> № 0369300207124000111 от 10.09.2024 </w:t>
      </w:r>
    </w:p>
    <w:p>
      <w:pPr>
        <w:pStyle w:val="Normal"/>
        <w:spacing w:lineRule="auto" w:line="276" w:before="120" w:after="120"/>
        <w:jc w:val="left"/>
        <w:rPr>
          <w:szCs w:val="28"/>
        </w:rPr>
      </w:pPr>
      <w:r>
        <w:drawing>
          <wp:anchor behindDoc="0" distT="0" distB="0" distL="0" distR="0" simplePos="0" locked="0" layoutInCell="1" allowOverlap="1" relativeHeight="12">
            <wp:simplePos x="0" y="0"/>
            <wp:positionH relativeFrom="column">
              <wp:posOffset>3038475</wp:posOffset>
            </wp:positionH>
            <wp:positionV relativeFrom="paragraph">
              <wp:posOffset>269240</wp:posOffset>
            </wp:positionV>
            <wp:extent cx="1292860" cy="901700"/>
            <wp:effectExtent l="0" t="0" r="0" b="0"/>
            <wp:wrapNone/>
            <wp:docPr id="4" name="Изображение1" descr="C:\Users\kurbatov\AppData\Local\Microsoft\Windows\INetCache\Content.Word\Подпись прозрачн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Изображение1" descr="C:\Users\kurbatov\AppData\Local\Microsoft\Windows\INetCache\Content.Word\Подпись прозрачная.png"/>
                    <pic:cNvPicPr>
                      <a:picLocks noChangeAspect="1" noChangeArrowheads="1"/>
                    </pic:cNvPicPr>
                  </pic:nvPicPr>
                  <pic:blipFill>
                    <a:blip r:embed="rId6"/>
                    <a:stretch>
                      <a:fillRect/>
                    </a:stretch>
                  </pic:blipFill>
                  <pic:spPr bwMode="auto">
                    <a:xfrm>
                      <a:off x="0" y="0"/>
                      <a:ext cx="1292860" cy="901700"/>
                    </a:xfrm>
                    <a:prstGeom prst="rect">
                      <a:avLst/>
                    </a:prstGeom>
                  </pic:spPr>
                </pic:pic>
              </a:graphicData>
            </a:graphic>
          </wp:anchor>
        </w:drawing>
      </w:r>
      <w:r>
        <w:rPr>
          <w:b/>
          <w:szCs w:val="28"/>
        </w:rPr>
        <w:t>И</w:t>
      </w:r>
      <w:r>
        <w:rPr>
          <w:b/>
          <w:szCs w:val="28"/>
        </w:rPr>
        <w:t>сполнитель:</w:t>
      </w:r>
      <w:r>
        <w:rPr>
          <w:szCs w:val="28"/>
        </w:rPr>
        <w:t xml:space="preserve"> </w:t>
      </w:r>
      <w:r>
        <w:rPr/>
        <w:t>Общество с ограниченной ответственностью Научно-исследовательский институт</w:t>
      </w:r>
      <w:r>
        <w:rPr>
          <w:szCs w:val="28"/>
        </w:rPr>
        <w:t xml:space="preserve"> «Земля и город»</w:t>
      </w:r>
    </w:p>
    <w:p>
      <w:pPr>
        <w:pStyle w:val="Normal"/>
        <w:spacing w:lineRule="auto" w:line="300"/>
        <w:jc w:val="left"/>
        <w:rPr>
          <w:szCs w:val="28"/>
        </w:rPr>
      </w:pPr>
      <w:r>
        <w:rPr>
          <w:szCs w:val="28"/>
        </w:rPr>
        <w:drawing>
          <wp:anchor behindDoc="0" distT="0" distB="0" distL="0" distR="0" simplePos="0" locked="0" layoutInCell="1" allowOverlap="1" relativeHeight="14">
            <wp:simplePos x="0" y="0"/>
            <wp:positionH relativeFrom="column">
              <wp:posOffset>3620770</wp:posOffset>
            </wp:positionH>
            <wp:positionV relativeFrom="paragraph">
              <wp:posOffset>58420</wp:posOffset>
            </wp:positionV>
            <wp:extent cx="1645920" cy="1495425"/>
            <wp:effectExtent l="0" t="0" r="0" b="0"/>
            <wp:wrapNone/>
            <wp:docPr id="5" name="Рисунок 13" descr="C:\Users\kurbatov\AppData\Local\Microsoft\Windows\INetCache\Content.Word\Печать прозрачн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13" descr="C:\Users\kurbatov\AppData\Local\Microsoft\Windows\INetCache\Content.Word\Печать прозрачная.png"/>
                    <pic:cNvPicPr>
                      <a:picLocks noChangeAspect="1" noChangeArrowheads="1"/>
                    </pic:cNvPicPr>
                  </pic:nvPicPr>
                  <pic:blipFill>
                    <a:blip r:embed="rId7"/>
                    <a:stretch>
                      <a:fillRect/>
                    </a:stretch>
                  </pic:blipFill>
                  <pic:spPr bwMode="auto">
                    <a:xfrm>
                      <a:off x="0" y="0"/>
                      <a:ext cx="1645920" cy="1495425"/>
                    </a:xfrm>
                    <a:prstGeom prst="rect">
                      <a:avLst/>
                    </a:prstGeom>
                  </pic:spPr>
                </pic:pic>
              </a:graphicData>
            </a:graphic>
          </wp:anchor>
        </w:drawing>
      </w:r>
    </w:p>
    <w:p>
      <w:pPr>
        <w:pStyle w:val="Normal"/>
        <w:spacing w:lineRule="auto" w:line="480"/>
        <w:jc w:val="left"/>
        <w:rPr>
          <w:bCs/>
          <w:szCs w:val="28"/>
        </w:rPr>
      </w:pPr>
      <w:r>
        <w:drawing>
          <wp:anchor behindDoc="0" distT="0" distB="0" distL="0" distR="0" simplePos="0" locked="0" layoutInCell="1" allowOverlap="1" relativeHeight="13">
            <wp:simplePos x="0" y="0"/>
            <wp:positionH relativeFrom="column">
              <wp:posOffset>2571750</wp:posOffset>
            </wp:positionH>
            <wp:positionV relativeFrom="paragraph">
              <wp:posOffset>6985</wp:posOffset>
            </wp:positionV>
            <wp:extent cx="1548130" cy="742315"/>
            <wp:effectExtent l="0" t="0" r="0" b="0"/>
            <wp:wrapNone/>
            <wp:docPr id="6" name="Рисунок 9" descr="C:\Users\kurbatov\AppData\Local\Microsoft\Windows\INetCache\Content.Word\Белихо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9" descr="C:\Users\kurbatov\AppData\Local\Microsoft\Windows\INetCache\Content.Word\Белихов.png"/>
                    <pic:cNvPicPr>
                      <a:picLocks noChangeAspect="1" noChangeArrowheads="1"/>
                    </pic:cNvPicPr>
                  </pic:nvPicPr>
                  <pic:blipFill>
                    <a:blip r:embed="rId8"/>
                    <a:stretch>
                      <a:fillRect/>
                    </a:stretch>
                  </pic:blipFill>
                  <pic:spPr bwMode="auto">
                    <a:xfrm>
                      <a:off x="0" y="0"/>
                      <a:ext cx="1548130" cy="742315"/>
                    </a:xfrm>
                    <a:prstGeom prst="rect">
                      <a:avLst/>
                    </a:prstGeom>
                  </pic:spPr>
                </pic:pic>
              </a:graphicData>
            </a:graphic>
          </wp:anchor>
        </w:drawing>
      </w:r>
      <w:r>
        <w:rPr>
          <w:bCs/>
          <w:szCs w:val="28"/>
        </w:rPr>
        <w:t>Г</w:t>
      </w:r>
      <w:r>
        <w:rPr>
          <w:bCs/>
          <w:szCs w:val="28"/>
        </w:rPr>
        <w:t xml:space="preserve">енеральный директор _________________________________________________ </w:t>
      </w:r>
      <w:r>
        <w:rPr>
          <w:szCs w:val="28"/>
        </w:rPr>
        <w:t>П.И. Комаров</w:t>
      </w:r>
    </w:p>
    <w:p>
      <w:pPr>
        <w:pStyle w:val="Normal"/>
        <w:spacing w:lineRule="auto" w:line="480"/>
        <w:jc w:val="left"/>
        <w:rPr>
          <w:szCs w:val="28"/>
        </w:rPr>
      </w:pPr>
      <w:r>
        <w:drawing>
          <wp:anchor behindDoc="0" distT="0" distB="0" distL="0" distR="0" simplePos="0" locked="0" layoutInCell="1" allowOverlap="1" relativeHeight="15">
            <wp:simplePos x="0" y="0"/>
            <wp:positionH relativeFrom="column">
              <wp:posOffset>2835275</wp:posOffset>
            </wp:positionH>
            <wp:positionV relativeFrom="paragraph">
              <wp:posOffset>163195</wp:posOffset>
            </wp:positionV>
            <wp:extent cx="1031875" cy="572135"/>
            <wp:effectExtent l="0" t="0" r="0" b="0"/>
            <wp:wrapNone/>
            <wp:docPr id="7" name="Рисунок 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14" descr=""/>
                    <pic:cNvPicPr>
                      <a:picLocks noChangeAspect="1" noChangeArrowheads="1"/>
                    </pic:cNvPicPr>
                  </pic:nvPicPr>
                  <pic:blipFill>
                    <a:blip r:embed="rId9"/>
                    <a:srcRect l="21712" t="29845" r="22769" b="28812"/>
                    <a:stretch>
                      <a:fillRect/>
                    </a:stretch>
                  </pic:blipFill>
                  <pic:spPr bwMode="auto">
                    <a:xfrm>
                      <a:off x="0" y="0"/>
                      <a:ext cx="1031875" cy="572135"/>
                    </a:xfrm>
                    <a:prstGeom prst="rect">
                      <a:avLst/>
                    </a:prstGeom>
                  </pic:spPr>
                </pic:pic>
              </a:graphicData>
            </a:graphic>
          </wp:anchor>
        </w:drawing>
      </w:r>
      <w:r>
        <w:rPr>
          <w:szCs w:val="28"/>
        </w:rPr>
        <w:t>Т</w:t>
      </w:r>
      <w:r>
        <w:rPr>
          <w:szCs w:val="28"/>
        </w:rPr>
        <w:t>ехнический директор______________</w:t>
      </w:r>
      <w:r>
        <w:rPr>
          <w:bCs/>
          <w:szCs w:val="28"/>
        </w:rPr>
        <w:t>_____________</w:t>
      </w:r>
      <w:r>
        <w:rPr>
          <w:szCs w:val="28"/>
        </w:rPr>
        <w:t>_______________________ А.С. Белихов</w:t>
      </w:r>
    </w:p>
    <w:p>
      <w:pPr>
        <w:pStyle w:val="Normal"/>
        <w:spacing w:lineRule="auto" w:line="480"/>
        <w:rPr/>
      </w:pPr>
      <w:r>
        <w:rPr/>
        <w:t>Начальник проектного управления № 2_______________________</w:t>
      </w:r>
      <w:r>
        <w:rPr>
          <w:bCs/>
        </w:rPr>
        <w:t>_</w:t>
      </w:r>
      <w:r>
        <w:rPr/>
        <w:t>____________ С.В. Крюков</w:t>
      </w:r>
    </w:p>
    <w:p>
      <w:pPr>
        <w:pStyle w:val="Normal"/>
        <w:spacing w:lineRule="auto" w:line="480"/>
        <w:jc w:val="left"/>
        <w:rPr>
          <w:szCs w:val="28"/>
        </w:rPr>
      </w:pPr>
      <w:r>
        <w:rPr>
          <w:szCs w:val="28"/>
        </w:rPr>
        <w:t>Инженер 2 категории _________________________________________</w:t>
      </w:r>
      <w:r>
        <w:rPr>
          <w:szCs w:val="28"/>
          <w:u w:val="single"/>
        </w:rPr>
        <w:t xml:space="preserve">                     </w:t>
      </w:r>
      <w:r>
        <w:rPr>
          <w:szCs w:val="28"/>
        </w:rPr>
        <w:t>В.В. Липатова</w:t>
      </w:r>
    </w:p>
    <w:p>
      <w:pPr>
        <w:sectPr>
          <w:headerReference w:type="default" r:id="rId10"/>
          <w:footerReference w:type="default" r:id="rId11"/>
          <w:type w:val="nextPage"/>
          <w:pgSz w:w="11906" w:h="16838"/>
          <w:pgMar w:left="1134" w:right="567" w:header="567" w:top="1134" w:footer="567" w:bottom="1134" w:gutter="0"/>
          <w:pgNumType w:fmt="decimal"/>
          <w:formProt w:val="false"/>
          <w:textDirection w:val="lrTb"/>
          <w:docGrid w:type="default" w:linePitch="600" w:charSpace="32768"/>
        </w:sectPr>
        <w:pStyle w:val="Normal"/>
        <w:spacing w:lineRule="auto" w:line="276" w:before="120" w:after="120"/>
        <w:ind w:firstLine="709"/>
        <w:rPr>
          <w:szCs w:val="28"/>
        </w:rPr>
      </w:pPr>
      <w:r>
        <w:rPr>
          <w:szCs w:val="28"/>
        </w:rPr>
        <w:t>В подготовке проекта генерального плана Катенинского сельского поселения Варненского муниципального района Челябинской области</w:t>
      </w:r>
      <w:r>
        <w:rPr>
          <w:szCs w:val="24"/>
        </w:rPr>
        <w:t xml:space="preserve"> (далее также — генеральный план) </w:t>
      </w:r>
      <w:r>
        <w:rPr>
          <w:szCs w:val="28"/>
        </w:rPr>
        <w:t>также принимали участие иные организации и специалисты, которые были вовлечены в общую работу предоставлением консультаций, заключений и рекомендаций, участием в совещаниях, рабочих обсуждениях.</w:t>
      </w:r>
    </w:p>
    <w:p>
      <w:pPr>
        <w:pStyle w:val="Normal"/>
        <w:spacing w:lineRule="auto" w:line="300"/>
        <w:jc w:val="center"/>
        <w:rPr>
          <w:b/>
          <w:b/>
          <w:sz w:val="28"/>
        </w:rPr>
      </w:pPr>
      <w:bookmarkStart w:id="5" w:name="_Toc463606270"/>
      <w:bookmarkStart w:id="6" w:name="_Toc462407330"/>
      <w:bookmarkStart w:id="7" w:name="_Toc461441838"/>
      <w:r>
        <w:rPr>
          <w:b/>
          <w:sz w:val="28"/>
        </w:rPr>
        <w:t>ПЕРЕЧЕНЬ МАТЕРИАЛОВ</w:t>
      </w:r>
      <w:bookmarkEnd w:id="5"/>
      <w:bookmarkEnd w:id="6"/>
      <w:bookmarkEnd w:id="7"/>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704"/>
        <w:gridCol w:w="7523"/>
        <w:gridCol w:w="1694"/>
      </w:tblGrid>
      <w:tr>
        <w:trPr/>
        <w:tc>
          <w:tcPr>
            <w:tcW w:w="704" w:type="dxa"/>
            <w:tcBorders>
              <w:top w:val="single" w:sz="4" w:space="0" w:color="000000"/>
              <w:left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w:t>
            </w:r>
          </w:p>
        </w:tc>
        <w:tc>
          <w:tcPr>
            <w:tcW w:w="7523" w:type="dxa"/>
            <w:tcBorders>
              <w:top w:val="single" w:sz="4" w:space="0" w:color="000000"/>
              <w:left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Наименование</w:t>
            </w:r>
          </w:p>
        </w:tc>
        <w:tc>
          <w:tcPr>
            <w:tcW w:w="1694" w:type="dxa"/>
            <w:tcBorders>
              <w:top w:val="single" w:sz="4" w:space="0" w:color="000000"/>
              <w:left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Масштаб</w:t>
            </w:r>
          </w:p>
        </w:tc>
      </w:tr>
    </w:tbl>
    <w:p>
      <w:pPr>
        <w:pStyle w:val="Normal"/>
        <w:spacing w:lineRule="auto" w:line="12"/>
        <w:rPr/>
      </w:pPr>
      <w:r>
        <w:rPr/>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704"/>
        <w:gridCol w:w="7523"/>
        <w:gridCol w:w="1694"/>
      </w:tblGrid>
      <w:tr>
        <w:trPr>
          <w:tblHeader w:val="true"/>
        </w:trPr>
        <w:tc>
          <w:tcPr>
            <w:tcW w:w="70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1</w:t>
            </w:r>
          </w:p>
        </w:tc>
        <w:tc>
          <w:tcPr>
            <w:tcW w:w="752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2</w:t>
            </w:r>
          </w:p>
        </w:tc>
        <w:tc>
          <w:tcPr>
            <w:tcW w:w="169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3</w:t>
            </w:r>
          </w:p>
        </w:tc>
      </w:tr>
      <w:tr>
        <w:trPr/>
        <w:tc>
          <w:tcPr>
            <w:tcW w:w="992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rFonts w:eastAsia="Times New Roman"/>
                <w:b/>
                <w:sz w:val="20"/>
                <w:szCs w:val="20"/>
              </w:rPr>
              <w:t>МАТЕРИАЛЫ ПО ОБОСНОВАНИЮ ГЕНЕРАЛЬНОГО ПЛАНА</w:t>
            </w:r>
          </w:p>
        </w:tc>
      </w:tr>
      <w:tr>
        <w:trPr/>
        <w:tc>
          <w:tcPr>
            <w:tcW w:w="992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rFonts w:eastAsia="Times New Roman"/>
                <w:b/>
                <w:sz w:val="20"/>
                <w:szCs w:val="20"/>
              </w:rPr>
              <w:t>Текстовая часть</w:t>
            </w:r>
          </w:p>
        </w:tc>
      </w:tr>
      <w:tr>
        <w:trPr/>
        <w:tc>
          <w:tcPr>
            <w:tcW w:w="704" w:type="dxa"/>
            <w:tcBorders>
              <w:top w:val="single" w:sz="4" w:space="0" w:color="000000"/>
              <w:left w:val="single" w:sz="4" w:space="0" w:color="000000"/>
              <w:bottom w:val="single" w:sz="4" w:space="0" w:color="000000"/>
            </w:tcBorders>
            <w:shd w:color="auto" w:fill="auto" w:val="clear"/>
          </w:tcPr>
          <w:p>
            <w:pPr>
              <w:pStyle w:val="Normal"/>
              <w:spacing w:lineRule="auto" w:line="240"/>
              <w:jc w:val="center"/>
              <w:rPr>
                <w:sz w:val="20"/>
                <w:szCs w:val="20"/>
              </w:rPr>
            </w:pPr>
            <w:r>
              <w:rPr>
                <w:sz w:val="20"/>
                <w:szCs w:val="20"/>
              </w:rPr>
              <w:t>1</w:t>
            </w:r>
          </w:p>
        </w:tc>
        <w:tc>
          <w:tcPr>
            <w:tcW w:w="7523" w:type="dxa"/>
            <w:tcBorders>
              <w:top w:val="single" w:sz="4" w:space="0" w:color="000000"/>
              <w:bottom w:val="single" w:sz="4" w:space="0" w:color="000000"/>
            </w:tcBorders>
            <w:shd w:color="auto" w:fill="auto" w:val="clear"/>
          </w:tcPr>
          <w:p>
            <w:pPr>
              <w:pStyle w:val="Normal"/>
              <w:spacing w:lineRule="auto" w:line="240"/>
              <w:jc w:val="left"/>
              <w:rPr>
                <w:sz w:val="20"/>
                <w:szCs w:val="20"/>
              </w:rPr>
            </w:pPr>
            <w:r>
              <w:rPr>
                <w:sz w:val="20"/>
                <w:szCs w:val="20"/>
              </w:rPr>
              <w:t>Том II. Материалы по обоснованию генерального плана в текстовой форме</w:t>
            </w:r>
          </w:p>
        </w:tc>
        <w:tc>
          <w:tcPr>
            <w:tcW w:w="1694" w:type="dxa"/>
            <w:tcBorders>
              <w:top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w:t>
            </w:r>
          </w:p>
        </w:tc>
      </w:tr>
      <w:tr>
        <w:trPr/>
        <w:tc>
          <w:tcPr>
            <w:tcW w:w="9921"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Графическая часть</w:t>
            </w:r>
          </w:p>
        </w:tc>
      </w:tr>
      <w:tr>
        <w:trPr/>
        <w:tc>
          <w:tcPr>
            <w:tcW w:w="704" w:type="dxa"/>
            <w:tcBorders>
              <w:top w:val="single" w:sz="4" w:space="0" w:color="000000"/>
              <w:left w:val="single" w:sz="4" w:space="0" w:color="000000"/>
              <w:bottom w:val="single" w:sz="4" w:space="0" w:color="000000"/>
            </w:tcBorders>
            <w:shd w:color="auto" w:fill="auto" w:val="clear"/>
          </w:tcPr>
          <w:p>
            <w:pPr>
              <w:pStyle w:val="Normal"/>
              <w:spacing w:lineRule="auto" w:line="240"/>
              <w:jc w:val="center"/>
              <w:rPr>
                <w:sz w:val="20"/>
                <w:szCs w:val="20"/>
              </w:rPr>
            </w:pPr>
            <w:r>
              <w:rPr>
                <w:sz w:val="20"/>
                <w:szCs w:val="20"/>
              </w:rPr>
              <w:t>1</w:t>
            </w:r>
          </w:p>
        </w:tc>
        <w:tc>
          <w:tcPr>
            <w:tcW w:w="7523" w:type="dxa"/>
            <w:tcBorders>
              <w:top w:val="single" w:sz="4" w:space="0" w:color="000000"/>
              <w:bottom w:val="single" w:sz="4" w:space="0" w:color="000000"/>
            </w:tcBorders>
            <w:shd w:color="auto" w:fill="auto" w:val="clear"/>
          </w:tcPr>
          <w:p>
            <w:pPr>
              <w:pStyle w:val="ListParagraph"/>
              <w:spacing w:lineRule="auto" w:line="240" w:before="0" w:after="0"/>
              <w:ind w:left="0" w:hanging="0"/>
              <w:contextualSpacing/>
              <w:rPr>
                <w:rFonts w:ascii="Times New Roman" w:hAnsi="Times New Roman"/>
                <w:sz w:val="20"/>
                <w:szCs w:val="20"/>
              </w:rPr>
            </w:pPr>
            <w:r>
              <w:rPr>
                <w:sz w:val="20"/>
                <w:szCs w:val="20"/>
              </w:rPr>
              <w:t>Карта современного состояния и использования территории</w:t>
            </w:r>
          </w:p>
        </w:tc>
        <w:tc>
          <w:tcPr>
            <w:tcW w:w="1694" w:type="dxa"/>
            <w:tcBorders>
              <w:top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1:25000</w:t>
            </w:r>
          </w:p>
          <w:p>
            <w:pPr>
              <w:pStyle w:val="Normal"/>
              <w:spacing w:lineRule="auto" w:line="240"/>
              <w:jc w:val="center"/>
              <w:rPr>
                <w:sz w:val="20"/>
                <w:szCs w:val="20"/>
              </w:rPr>
            </w:pPr>
            <w:r>
              <w:rPr>
                <w:sz w:val="20"/>
                <w:szCs w:val="20"/>
              </w:rPr>
              <w:t>1:5 000</w:t>
            </w:r>
          </w:p>
        </w:tc>
      </w:tr>
      <w:tr>
        <w:trPr/>
        <w:tc>
          <w:tcPr>
            <w:tcW w:w="704" w:type="dxa"/>
            <w:tcBorders>
              <w:top w:val="single" w:sz="4" w:space="0" w:color="000000"/>
              <w:left w:val="single" w:sz="4" w:space="0" w:color="000000"/>
              <w:bottom w:val="single" w:sz="4" w:space="0" w:color="000000"/>
            </w:tcBorders>
            <w:shd w:color="auto" w:fill="auto" w:val="clear"/>
          </w:tcPr>
          <w:p>
            <w:pPr>
              <w:pStyle w:val="Normal"/>
              <w:spacing w:lineRule="auto" w:line="240"/>
              <w:jc w:val="center"/>
              <w:rPr>
                <w:sz w:val="20"/>
                <w:szCs w:val="20"/>
              </w:rPr>
            </w:pPr>
            <w:r>
              <w:rPr>
                <w:sz w:val="20"/>
                <w:szCs w:val="20"/>
              </w:rPr>
              <w:t>2</w:t>
            </w:r>
          </w:p>
        </w:tc>
        <w:tc>
          <w:tcPr>
            <w:tcW w:w="7523" w:type="dxa"/>
            <w:tcBorders>
              <w:top w:val="single" w:sz="4" w:space="0" w:color="000000"/>
              <w:bottom w:val="single" w:sz="4" w:space="0" w:color="000000"/>
            </w:tcBorders>
            <w:shd w:color="auto" w:fill="auto" w:val="clear"/>
          </w:tcPr>
          <w:p>
            <w:pPr>
              <w:pStyle w:val="ListParagraph"/>
              <w:spacing w:lineRule="auto" w:line="240" w:before="0" w:after="0"/>
              <w:ind w:left="0" w:hanging="0"/>
              <w:contextualSpacing/>
              <w:rPr>
                <w:rFonts w:ascii="Times New Roman" w:hAnsi="Times New Roman"/>
                <w:sz w:val="20"/>
                <w:szCs w:val="20"/>
              </w:rPr>
            </w:pPr>
            <w:r>
              <w:rPr>
                <w:sz w:val="20"/>
                <w:szCs w:val="20"/>
              </w:rPr>
              <w:t>Карта зон с особыми условиями использования территорий</w:t>
            </w:r>
          </w:p>
        </w:tc>
        <w:tc>
          <w:tcPr>
            <w:tcW w:w="1694" w:type="dxa"/>
            <w:tcBorders>
              <w:top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1:25000</w:t>
            </w:r>
          </w:p>
          <w:p>
            <w:pPr>
              <w:pStyle w:val="Normal"/>
              <w:spacing w:lineRule="auto" w:line="240"/>
              <w:jc w:val="center"/>
              <w:rPr>
                <w:sz w:val="20"/>
                <w:szCs w:val="20"/>
              </w:rPr>
            </w:pPr>
            <w:r>
              <w:rPr>
                <w:sz w:val="20"/>
                <w:szCs w:val="20"/>
              </w:rPr>
              <w:t>1:5 000</w:t>
            </w:r>
          </w:p>
        </w:tc>
      </w:tr>
      <w:tr>
        <w:trPr/>
        <w:tc>
          <w:tcPr>
            <w:tcW w:w="704" w:type="dxa"/>
            <w:tcBorders>
              <w:top w:val="single" w:sz="4" w:space="0" w:color="000000"/>
              <w:left w:val="single" w:sz="4" w:space="0" w:color="000000"/>
              <w:bottom w:val="single" w:sz="4" w:space="0" w:color="000000"/>
            </w:tcBorders>
            <w:shd w:color="auto" w:fill="auto" w:val="clear"/>
          </w:tcPr>
          <w:p>
            <w:pPr>
              <w:pStyle w:val="Normal"/>
              <w:spacing w:lineRule="auto" w:line="240"/>
              <w:jc w:val="center"/>
              <w:rPr>
                <w:sz w:val="20"/>
                <w:szCs w:val="20"/>
              </w:rPr>
            </w:pPr>
            <w:r>
              <w:rPr>
                <w:sz w:val="20"/>
                <w:szCs w:val="20"/>
              </w:rPr>
              <w:t>3</w:t>
            </w:r>
          </w:p>
        </w:tc>
        <w:tc>
          <w:tcPr>
            <w:tcW w:w="7523" w:type="dxa"/>
            <w:tcBorders>
              <w:top w:val="single" w:sz="4" w:space="0" w:color="000000"/>
              <w:bottom w:val="single" w:sz="4" w:space="0" w:color="000000"/>
            </w:tcBorders>
            <w:shd w:color="auto" w:fill="auto" w:val="clear"/>
          </w:tcPr>
          <w:p>
            <w:pPr>
              <w:pStyle w:val="ListParagraph"/>
              <w:spacing w:lineRule="auto" w:line="240" w:before="0" w:after="0"/>
              <w:ind w:left="0" w:hanging="0"/>
              <w:contextualSpacing/>
              <w:rPr>
                <w:rFonts w:ascii="Times New Roman" w:hAnsi="Times New Roman"/>
                <w:sz w:val="20"/>
                <w:szCs w:val="20"/>
              </w:rPr>
            </w:pPr>
            <w:r>
              <w:rPr>
                <w:sz w:val="20"/>
                <w:szCs w:val="20"/>
              </w:rPr>
              <w:t>Карта комплексной оценки территории</w:t>
            </w:r>
          </w:p>
        </w:tc>
        <w:tc>
          <w:tcPr>
            <w:tcW w:w="1694" w:type="dxa"/>
            <w:tcBorders>
              <w:top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1:25000</w:t>
            </w:r>
          </w:p>
          <w:p>
            <w:pPr>
              <w:pStyle w:val="Normal"/>
              <w:spacing w:lineRule="auto" w:line="240"/>
              <w:jc w:val="center"/>
              <w:rPr>
                <w:sz w:val="20"/>
                <w:szCs w:val="20"/>
              </w:rPr>
            </w:pPr>
            <w:r>
              <w:rPr>
                <w:sz w:val="20"/>
                <w:szCs w:val="20"/>
              </w:rPr>
              <w:t>1:5 000</w:t>
            </w:r>
          </w:p>
        </w:tc>
      </w:tr>
      <w:tr>
        <w:trPr/>
        <w:tc>
          <w:tcPr>
            <w:tcW w:w="704" w:type="dxa"/>
            <w:tcBorders>
              <w:top w:val="single" w:sz="4" w:space="0" w:color="000000"/>
              <w:left w:val="single" w:sz="4" w:space="0" w:color="000000"/>
              <w:bottom w:val="single" w:sz="4" w:space="0" w:color="000000"/>
            </w:tcBorders>
            <w:shd w:color="auto" w:fill="auto" w:val="clear"/>
          </w:tcPr>
          <w:p>
            <w:pPr>
              <w:pStyle w:val="Normal"/>
              <w:spacing w:lineRule="auto" w:line="240"/>
              <w:jc w:val="center"/>
              <w:rPr>
                <w:sz w:val="20"/>
                <w:szCs w:val="20"/>
              </w:rPr>
            </w:pPr>
            <w:r>
              <w:rPr>
                <w:sz w:val="20"/>
                <w:szCs w:val="20"/>
              </w:rPr>
              <w:t>4</w:t>
            </w:r>
          </w:p>
        </w:tc>
        <w:tc>
          <w:tcPr>
            <w:tcW w:w="7523" w:type="dxa"/>
            <w:tcBorders>
              <w:top w:val="single" w:sz="4" w:space="0" w:color="000000"/>
              <w:bottom w:val="single" w:sz="4" w:space="0" w:color="000000"/>
            </w:tcBorders>
            <w:shd w:color="auto" w:fill="auto" w:val="clear"/>
          </w:tcPr>
          <w:p>
            <w:pPr>
              <w:pStyle w:val="ListParagraph"/>
              <w:spacing w:lineRule="auto" w:line="240" w:before="0" w:after="0"/>
              <w:ind w:left="0" w:hanging="0"/>
              <w:contextualSpacing/>
              <w:rPr>
                <w:rFonts w:ascii="Times New Roman" w:hAnsi="Times New Roman"/>
                <w:sz w:val="20"/>
                <w:szCs w:val="20"/>
              </w:rPr>
            </w:pPr>
            <w:r>
              <w:rPr>
                <w:sz w:val="20"/>
                <w:szCs w:val="20"/>
              </w:rPr>
              <w:t>Карта территорий, подверженных риску возникновения чрезвычайных ситуаций природного и техногенного характера</w:t>
            </w:r>
          </w:p>
        </w:tc>
        <w:tc>
          <w:tcPr>
            <w:tcW w:w="1694" w:type="dxa"/>
            <w:tcBorders>
              <w:top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1:25000</w:t>
            </w:r>
          </w:p>
          <w:p>
            <w:pPr>
              <w:pStyle w:val="Normal"/>
              <w:spacing w:lineRule="auto" w:line="240"/>
              <w:jc w:val="center"/>
              <w:rPr>
                <w:sz w:val="20"/>
                <w:szCs w:val="20"/>
              </w:rPr>
            </w:pPr>
            <w:r>
              <w:rPr>
                <w:sz w:val="20"/>
                <w:szCs w:val="20"/>
              </w:rPr>
              <w:t>1:5 000</w:t>
            </w:r>
          </w:p>
        </w:tc>
      </w:tr>
    </w:tbl>
    <w:p>
      <w:pPr>
        <w:pStyle w:val="Normal"/>
        <w:spacing w:lineRule="auto" w:line="300"/>
        <w:jc w:val="center"/>
        <w:rPr>
          <w:sz w:val="20"/>
        </w:rPr>
      </w:pPr>
      <w:r>
        <w:rPr>
          <w:sz w:val="20"/>
        </w:rPr>
      </w:r>
      <w:r>
        <w:br w:type="page"/>
      </w:r>
    </w:p>
    <w:p>
      <w:pPr>
        <w:pStyle w:val="Normal"/>
        <w:spacing w:lineRule="auto" w:line="300"/>
        <w:ind w:right="282" w:hanging="0"/>
        <w:jc w:val="center"/>
        <w:rPr>
          <w:b/>
          <w:b/>
          <w:sz w:val="28"/>
          <w:szCs w:val="28"/>
        </w:rPr>
      </w:pPr>
      <w:bookmarkStart w:id="8" w:name="_Toc529883694"/>
      <w:bookmarkEnd w:id="8"/>
      <w:r>
        <w:rPr>
          <w:b/>
          <w:sz w:val="28"/>
          <w:szCs w:val="28"/>
        </w:rPr>
        <w:t>СОДЕРЖАНИЕ</w:t>
      </w:r>
    </w:p>
    <w:p>
      <w:pPr>
        <w:sectPr>
          <w:headerReference w:type="default" r:id="rId12"/>
          <w:headerReference w:type="first" r:id="rId13"/>
          <w:footerReference w:type="default" r:id="rId14"/>
          <w:footerReference w:type="first" r:id="rId15"/>
          <w:type w:val="nextPage"/>
          <w:pgSz w:w="11906" w:h="16838"/>
          <w:pgMar w:left="1418" w:right="567" w:header="567" w:top="1134" w:footer="567" w:bottom="1134" w:gutter="0"/>
          <w:pgNumType w:fmt="decimal"/>
          <w:formProt w:val="false"/>
          <w:titlePg/>
          <w:textDirection w:val="lrTb"/>
          <w:docGrid w:type="default" w:linePitch="600" w:charSpace="32768"/>
        </w:sectPr>
      </w:pPr>
    </w:p>
    <w:p>
      <w:pPr>
        <w:pStyle w:val="Normal"/>
        <w:spacing w:lineRule="auto" w:line="300"/>
        <w:ind w:right="282" w:hanging="0"/>
        <w:jc w:val="center"/>
        <w:rPr>
          <w:b/>
          <w:b/>
          <w:sz w:val="28"/>
          <w:szCs w:val="28"/>
        </w:rPr>
      </w:pPr>
      <w:r>
        <w:rPr/>
      </w:r>
    </w:p>
    <w:sdt>
      <w:sdtPr>
        <w:docPartObj>
          <w:docPartGallery w:val="Table of Contents"/>
          <w:docPartUnique w:val="true"/>
        </w:docPartObj>
        <w:id w:val="8741088"/>
      </w:sdtPr>
      <w:sdtContent>
        <w:p>
          <w:pPr>
            <w:pStyle w:val="1"/>
            <w:tabs>
              <w:tab w:val="clear" w:pos="708"/>
              <w:tab w:val="right" w:pos="9911" w:leader="dot"/>
            </w:tabs>
            <w:rPr>
              <w:rFonts w:ascii="Calibri" w:hAnsi="Calibri" w:eastAsia="" w:cs="" w:asciiTheme="minorHAnsi" w:cstheme="minorBidi" w:eastAsiaTheme="minorEastAsia" w:hAnsiTheme="minorHAnsi"/>
              <w:bCs w:val="false"/>
              <w:caps w:val="false"/>
              <w:smallCaps w:val="false"/>
              <w:sz w:val="22"/>
              <w:szCs w:val="22"/>
            </w:rPr>
          </w:pPr>
          <w:r>
            <w:fldChar w:fldCharType="begin"/>
          </w:r>
          <w:r>
            <w:rPr>
              <w:webHidden/>
            </w:rPr>
            <w:instrText> TOC \z \o "1-6" \u \h</w:instrText>
          </w:r>
          <w:r>
            <w:rPr>
              <w:webHidden/>
            </w:rPr>
            <w:fldChar w:fldCharType="separate"/>
          </w:r>
          <w:hyperlink w:anchor="_Toc182210439">
            <w:r>
              <w:rPr>
                <w:webHidden/>
              </w:rPr>
              <w:t>ВВЕДЕНИЕ</w:t>
            </w:r>
            <w:r>
              <w:rPr>
                <w:webHidden/>
              </w:rPr>
              <w:fldChar w:fldCharType="begin"/>
            </w:r>
            <w:r>
              <w:rPr>
                <w:webHidden/>
              </w:rPr>
              <w:instrText>PAGEREF _Toc182210439 \h</w:instrText>
            </w:r>
            <w:r>
              <w:rPr>
                <w:webHidden/>
              </w:rPr>
              <w:fldChar w:fldCharType="separate"/>
            </w:r>
            <w:r>
              <w:rPr>
                <w:vanish w:val="false"/>
              </w:rPr>
              <w:tab/>
              <w:t>8</w:t>
            </w:r>
            <w:r>
              <w:rPr>
                <w:webHidden/>
              </w:rPr>
              <w:fldChar w:fldCharType="end"/>
            </w:r>
          </w:hyperlink>
        </w:p>
        <w:p>
          <w:pPr>
            <w:pStyle w:val="1"/>
            <w:tabs>
              <w:tab w:val="clear" w:pos="708"/>
              <w:tab w:val="right" w:pos="9911" w:leader="dot"/>
            </w:tabs>
            <w:rPr>
              <w:rFonts w:ascii="Calibri" w:hAnsi="Calibri" w:eastAsia="" w:cs="" w:asciiTheme="minorHAnsi" w:cstheme="minorBidi" w:eastAsiaTheme="minorEastAsia" w:hAnsiTheme="minorHAnsi"/>
              <w:bCs w:val="false"/>
              <w:caps w:val="false"/>
              <w:smallCaps w:val="false"/>
              <w:sz w:val="22"/>
              <w:szCs w:val="22"/>
            </w:rPr>
          </w:pPr>
          <w:hyperlink w:anchor="_Toc182210440">
            <w:r>
              <w:rPr>
                <w:webHidden/>
              </w:rPr>
              <w:t>РАЗДЕЛ 1.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Pr>
                <w:webHidden/>
              </w:rPr>
              <w:fldChar w:fldCharType="begin"/>
            </w:r>
            <w:r>
              <w:rPr>
                <w:webHidden/>
              </w:rPr>
              <w:instrText>PAGEREF _Toc182210440 \h</w:instrText>
            </w:r>
            <w:r>
              <w:rPr>
                <w:webHidden/>
              </w:rPr>
              <w:fldChar w:fldCharType="separate"/>
            </w:r>
            <w:r>
              <w:rPr>
                <w:vanish w:val="false"/>
              </w:rPr>
              <w:tab/>
              <w:t>10</w:t>
            </w:r>
            <w:r>
              <w:rPr>
                <w:webHidden/>
              </w:rPr>
              <w:fldChar w:fldCharType="end"/>
            </w:r>
          </w:hyperlink>
        </w:p>
        <w:p>
          <w:pPr>
            <w:pStyle w:val="1"/>
            <w:tabs>
              <w:tab w:val="clear" w:pos="708"/>
              <w:tab w:val="right" w:pos="9911" w:leader="dot"/>
            </w:tabs>
            <w:rPr>
              <w:rFonts w:ascii="Calibri" w:hAnsi="Calibri" w:eastAsia="" w:cs="" w:asciiTheme="minorHAnsi" w:cstheme="minorBidi" w:eastAsiaTheme="minorEastAsia" w:hAnsiTheme="minorHAnsi"/>
              <w:bCs w:val="false"/>
              <w:caps w:val="false"/>
              <w:smallCaps w:val="false"/>
              <w:sz w:val="22"/>
              <w:szCs w:val="22"/>
            </w:rPr>
          </w:pPr>
          <w:hyperlink w:anchor="_Toc182210441">
            <w:r>
              <w:rPr>
                <w:webHidden/>
              </w:rPr>
              <w:t>РАЗДЕЛ 2. 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ДОКУМЕНТОМ ТЕРРИТОРИАЛЬНОГО ПЛАНИРОВАНИЯ МУНИЦИПАЛЬНОГО РАЙОНА СВЕДЕНИЯ О ВИДАХ, НАЗНАЧЕНИИ И НАИМЕНОВАНИЯХ ПЛАНИРУЕМЫХ ДЛЯ РАЗМЕЩЕНИЯ НА ТЕРРИТОРИЯХ ПОСЕЛЕНИЯ, ГОРОДСКОГО ОКРУГА ОБЪЕКТОВ ФЕДЕРАЛЬНОГО ЗНАЧЕНИЯ, ОБЪЕКТОВ РЕГИОНАЛЬНОГО ЗНАЧЕНИЯ,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ИСПОЛЬЗОВАНИИ</w:t>
            </w:r>
            <w:r>
              <w:rPr>
                <w:webHidden/>
              </w:rPr>
              <w:fldChar w:fldCharType="begin"/>
            </w:r>
            <w:r>
              <w:rPr>
                <w:webHidden/>
              </w:rPr>
              <w:instrText>PAGEREF _Toc182210441 \h</w:instrText>
            </w:r>
            <w:r>
              <w:rPr>
                <w:webHidden/>
              </w:rPr>
              <w:fldChar w:fldCharType="separate"/>
            </w:r>
            <w:r>
              <w:rPr>
                <w:vanish w:val="false"/>
              </w:rPr>
              <w:tab/>
              <w:t>11</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42">
            <w:r>
              <w:rPr>
                <w:webHidden/>
              </w:rPr>
              <w:t>2.1 Объекты федерального значения</w:t>
            </w:r>
            <w:r>
              <w:rPr>
                <w:webHidden/>
              </w:rPr>
              <w:fldChar w:fldCharType="begin"/>
            </w:r>
            <w:r>
              <w:rPr>
                <w:webHidden/>
              </w:rPr>
              <w:instrText>PAGEREF _Toc182210442 \h</w:instrText>
            </w:r>
            <w:r>
              <w:rPr>
                <w:webHidden/>
              </w:rPr>
              <w:fldChar w:fldCharType="separate"/>
            </w:r>
            <w:r>
              <w:rPr>
                <w:vanish w:val="false"/>
              </w:rPr>
              <w:tab/>
              <w:t>11</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43">
            <w:r>
              <w:rPr>
                <w:webHidden/>
              </w:rPr>
              <w:t>2.2 Объекты регионального значения</w:t>
            </w:r>
            <w:r>
              <w:rPr>
                <w:webHidden/>
              </w:rPr>
              <w:fldChar w:fldCharType="begin"/>
            </w:r>
            <w:r>
              <w:rPr>
                <w:webHidden/>
              </w:rPr>
              <w:instrText>PAGEREF _Toc182210443 \h</w:instrText>
            </w:r>
            <w:r>
              <w:rPr>
                <w:webHidden/>
              </w:rPr>
              <w:fldChar w:fldCharType="separate"/>
            </w:r>
            <w:r>
              <w:rPr>
                <w:vanish w:val="false"/>
              </w:rPr>
              <w:tab/>
              <w:t>13</w:t>
            </w:r>
            <w:r>
              <w:rPr>
                <w:webHidden/>
              </w:rPr>
              <w:fldChar w:fldCharType="end"/>
            </w:r>
          </w:hyperlink>
        </w:p>
        <w:p>
          <w:pPr>
            <w:pStyle w:val="41"/>
            <w:tabs>
              <w:tab w:val="clear" w:pos="708"/>
              <w:tab w:val="left" w:pos="1440" w:leader="none"/>
              <w:tab w:val="right" w:pos="9911" w:leader="dot"/>
            </w:tabs>
            <w:rPr>
              <w:rFonts w:ascii="Calibri" w:hAnsi="Calibri" w:eastAsia="" w:cs="" w:asciiTheme="minorHAnsi" w:cstheme="minorBidi" w:eastAsiaTheme="minorEastAsia" w:hAnsiTheme="minorHAnsi"/>
              <w:sz w:val="22"/>
              <w:szCs w:val="22"/>
              <w:lang w:eastAsia="ru-RU"/>
            </w:rPr>
          </w:pPr>
          <w:hyperlink w:anchor="_Toc182210444">
            <w:r>
              <w:rPr>
                <w:webHidden/>
              </w:rPr>
              <w:t>2.3</w:t>
            </w:r>
            <w:r>
              <w:rPr>
                <w:rFonts w:eastAsia="" w:cs="" w:ascii="Calibri" w:hAnsi="Calibri" w:asciiTheme="minorHAnsi" w:cstheme="minorBidi" w:eastAsiaTheme="minorEastAsia" w:hAnsiTheme="minorHAnsi"/>
                <w:sz w:val="22"/>
                <w:szCs w:val="22"/>
                <w:lang w:eastAsia="ru-RU"/>
              </w:rPr>
              <w:t xml:space="preserve"> </w:t>
            </w:r>
            <w:r>
              <w:rPr/>
              <w:t>Объекты местного значения муниципального района</w:t>
            </w:r>
            <w:r>
              <w:rPr>
                <w:webHidden/>
              </w:rPr>
              <w:fldChar w:fldCharType="begin"/>
            </w:r>
            <w:r>
              <w:rPr>
                <w:webHidden/>
              </w:rPr>
              <w:instrText>PAGEREF _Toc182210444 \h</w:instrText>
            </w:r>
            <w:r>
              <w:rPr>
                <w:webHidden/>
              </w:rPr>
              <w:fldChar w:fldCharType="separate"/>
            </w:r>
            <w:r>
              <w:rPr>
                <w:vanish w:val="false"/>
              </w:rPr>
              <w:tab/>
              <w:t>15</w:t>
            </w:r>
            <w:r>
              <w:rPr>
                <w:webHidden/>
              </w:rPr>
              <w:fldChar w:fldCharType="end"/>
            </w:r>
          </w:hyperlink>
        </w:p>
        <w:p>
          <w:pPr>
            <w:pStyle w:val="1"/>
            <w:tabs>
              <w:tab w:val="clear" w:pos="708"/>
              <w:tab w:val="right" w:pos="9911" w:leader="dot"/>
            </w:tabs>
            <w:rPr>
              <w:rFonts w:ascii="Calibri" w:hAnsi="Calibri" w:eastAsia="" w:cs="" w:asciiTheme="minorHAnsi" w:cstheme="minorBidi" w:eastAsiaTheme="minorEastAsia" w:hAnsiTheme="minorHAnsi"/>
              <w:bCs w:val="false"/>
              <w:caps w:val="false"/>
              <w:smallCaps w:val="false"/>
              <w:sz w:val="22"/>
              <w:szCs w:val="22"/>
            </w:rPr>
          </w:pPr>
          <w:hyperlink w:anchor="_Toc182210445">
            <w:r>
              <w:rPr>
                <w:webHidden/>
              </w:rPr>
              <w:t>РАЗДЕЛ 3. ОБОСНОВАНИЕ ВЫБРАННОГО ВАРИАНТА РАЗМЕЩЕНИЯ ОБЪЕКТОВ МЕСТНОГО ЗНАЧЕНИЯ ПОСЕЛЕНИЯ, ГОРОДСКОГО ОКРУГА НА ОСНОВЕ АНАЛИЗА ИСПОЛЬЗОВАНИЯ ТЕРРИТОРИЙ МУНИЦИПАЛЬНОГО ОБРАЗОВАНИЯ, ВОЗМОЖНЫХ НАПРАВЛЕНИЙ РАЗВИТИЯ ЭТИХ ТЕРРИТОРИЙ И ПРОГНОЗИРУЕМЫХ ОГРАНИЧЕНИЙ ИХ ИСПОЛЬЗОВАНИЯ</w:t>
            </w:r>
            <w:r>
              <w:rPr>
                <w:webHidden/>
              </w:rPr>
              <w:fldChar w:fldCharType="begin"/>
            </w:r>
            <w:r>
              <w:rPr>
                <w:webHidden/>
              </w:rPr>
              <w:instrText>PAGEREF _Toc182210445 \h</w:instrText>
            </w:r>
            <w:r>
              <w:rPr>
                <w:webHidden/>
              </w:rPr>
              <w:fldChar w:fldCharType="separate"/>
            </w:r>
            <w:r>
              <w:rPr>
                <w:vanish w:val="false"/>
              </w:rPr>
              <w:tab/>
              <w:t>17</w:t>
            </w:r>
            <w:r>
              <w:rPr>
                <w:webHidden/>
              </w:rPr>
              <w:fldChar w:fldCharType="end"/>
            </w:r>
          </w:hyperlink>
        </w:p>
        <w:p>
          <w:pPr>
            <w:pStyle w:val="21"/>
            <w:tabs>
              <w:tab w:val="clear" w:pos="708"/>
              <w:tab w:val="right" w:pos="9911" w:leader="dot"/>
            </w:tabs>
            <w:rPr>
              <w:rFonts w:ascii="Calibri" w:hAnsi="Calibri" w:eastAsia="" w:cs="" w:asciiTheme="minorHAnsi" w:cstheme="minorBidi" w:eastAsiaTheme="minorEastAsia" w:hAnsiTheme="minorHAnsi"/>
              <w:caps w:val="false"/>
              <w:smallCaps w:val="false"/>
              <w:sz w:val="22"/>
              <w:szCs w:val="22"/>
            </w:rPr>
          </w:pPr>
          <w:hyperlink w:anchor="_Toc182210446">
            <w:r>
              <w:rPr>
                <w:webHidden/>
              </w:rPr>
              <w:t xml:space="preserve">ГЛАВА 1. ОБЩАЯ </w:t>
            </w:r>
            <w:r>
              <w:rPr>
                <w:bCs/>
                <w:lang w:eastAsia="en-US"/>
              </w:rPr>
              <w:t>ХАРАКТЕРИСТИКА</w:t>
            </w:r>
            <w:r>
              <w:rPr/>
              <w:t xml:space="preserve"> ТЕРРИТОРИИ</w:t>
            </w:r>
            <w:r>
              <w:rPr>
                <w:webHidden/>
              </w:rPr>
              <w:fldChar w:fldCharType="begin"/>
            </w:r>
            <w:r>
              <w:rPr>
                <w:webHidden/>
              </w:rPr>
              <w:instrText>PAGEREF _Toc182210446 \h</w:instrText>
            </w:r>
            <w:r>
              <w:rPr>
                <w:webHidden/>
              </w:rPr>
              <w:fldChar w:fldCharType="separate"/>
            </w:r>
            <w:r>
              <w:rPr>
                <w:vanish w:val="false"/>
              </w:rPr>
              <w:tab/>
              <w:t>17</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47">
            <w:r>
              <w:rPr>
                <w:webHidden/>
                <w:lang w:eastAsia="ru-RU"/>
              </w:rPr>
              <w:t>1.1 Описание положения муниципального образования</w:t>
            </w:r>
            <w:r>
              <w:rPr>
                <w:webHidden/>
              </w:rPr>
              <w:fldChar w:fldCharType="begin"/>
            </w:r>
            <w:r>
              <w:rPr>
                <w:webHidden/>
              </w:rPr>
              <w:instrText>PAGEREF _Toc182210447 \h</w:instrText>
            </w:r>
            <w:r>
              <w:rPr>
                <w:webHidden/>
              </w:rPr>
              <w:fldChar w:fldCharType="separate"/>
            </w:r>
            <w:r>
              <w:rPr>
                <w:vanish w:val="false"/>
              </w:rPr>
              <w:tab/>
              <w:t>17</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48">
            <w:r>
              <w:rPr>
                <w:webHidden/>
                <w:lang w:eastAsia="ru-RU"/>
              </w:rPr>
              <w:t>1.2 Существующая планировочная организация</w:t>
            </w:r>
            <w:r>
              <w:rPr>
                <w:webHidden/>
              </w:rPr>
              <w:fldChar w:fldCharType="begin"/>
            </w:r>
            <w:r>
              <w:rPr>
                <w:webHidden/>
              </w:rPr>
              <w:instrText>PAGEREF _Toc182210448 \h</w:instrText>
            </w:r>
            <w:r>
              <w:rPr>
                <w:webHidden/>
              </w:rPr>
              <w:fldChar w:fldCharType="separate"/>
            </w:r>
            <w:r>
              <w:rPr>
                <w:vanish w:val="false"/>
              </w:rPr>
              <w:tab/>
              <w:t>17</w:t>
            </w:r>
            <w:r>
              <w:rPr>
                <w:webHidden/>
              </w:rPr>
              <w:fldChar w:fldCharType="end"/>
            </w:r>
          </w:hyperlink>
        </w:p>
        <w:p>
          <w:pPr>
            <w:pStyle w:val="21"/>
            <w:tabs>
              <w:tab w:val="clear" w:pos="708"/>
              <w:tab w:val="right" w:pos="9911" w:leader="dot"/>
            </w:tabs>
            <w:rPr>
              <w:rFonts w:ascii="Calibri" w:hAnsi="Calibri" w:eastAsia="" w:cs="" w:asciiTheme="minorHAnsi" w:cstheme="minorBidi" w:eastAsiaTheme="minorEastAsia" w:hAnsiTheme="minorHAnsi"/>
              <w:caps w:val="false"/>
              <w:smallCaps w:val="false"/>
              <w:sz w:val="22"/>
              <w:szCs w:val="22"/>
            </w:rPr>
          </w:pPr>
          <w:hyperlink w:anchor="_Toc182210449">
            <w:r>
              <w:rPr>
                <w:webHidden/>
              </w:rPr>
              <w:t>ГЛАВА 2. ПРИРОДНЫЕ УСЛОВИЯ И МИНЕРАЛЬНО-СЫРЬЕВЫЕ РЕСУРСЫ</w:t>
            </w:r>
            <w:r>
              <w:rPr>
                <w:webHidden/>
              </w:rPr>
              <w:fldChar w:fldCharType="begin"/>
            </w:r>
            <w:r>
              <w:rPr>
                <w:webHidden/>
              </w:rPr>
              <w:instrText>PAGEREF _Toc182210449 \h</w:instrText>
            </w:r>
            <w:r>
              <w:rPr>
                <w:webHidden/>
              </w:rPr>
              <w:fldChar w:fldCharType="separate"/>
            </w:r>
            <w:r>
              <w:rPr>
                <w:vanish w:val="false"/>
              </w:rPr>
              <w:tab/>
              <w:t>18</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450">
            <w:r>
              <w:rPr>
                <w:webHidden/>
              </w:rPr>
              <w:t>2.1 Климат</w:t>
            </w:r>
            <w:r>
              <w:rPr>
                <w:webHidden/>
              </w:rPr>
              <w:fldChar w:fldCharType="begin"/>
            </w:r>
            <w:r>
              <w:rPr>
                <w:webHidden/>
              </w:rPr>
              <w:instrText>PAGEREF _Toc182210450 \h</w:instrText>
            </w:r>
            <w:r>
              <w:rPr>
                <w:webHidden/>
              </w:rPr>
              <w:fldChar w:fldCharType="separate"/>
            </w:r>
            <w:r>
              <w:rPr>
                <w:vanish w:val="false"/>
              </w:rPr>
              <w:tab/>
              <w:t>18</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451">
            <w:r>
              <w:rPr>
                <w:webHidden/>
              </w:rPr>
              <w:t>2.2 Рельеф и геологическое строение</w:t>
            </w:r>
            <w:r>
              <w:rPr>
                <w:webHidden/>
              </w:rPr>
              <w:fldChar w:fldCharType="begin"/>
            </w:r>
            <w:r>
              <w:rPr>
                <w:webHidden/>
              </w:rPr>
              <w:instrText>PAGEREF _Toc182210451 \h</w:instrText>
            </w:r>
            <w:r>
              <w:rPr>
                <w:webHidden/>
              </w:rPr>
              <w:fldChar w:fldCharType="separate"/>
            </w:r>
            <w:r>
              <w:rPr>
                <w:vanish w:val="false"/>
              </w:rPr>
              <w:tab/>
              <w:t>18</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452">
            <w:r>
              <w:rPr>
                <w:webHidden/>
              </w:rPr>
              <w:t>2.3 Гидрология</w:t>
            </w:r>
            <w:r>
              <w:rPr>
                <w:webHidden/>
              </w:rPr>
              <w:fldChar w:fldCharType="begin"/>
            </w:r>
            <w:r>
              <w:rPr>
                <w:webHidden/>
              </w:rPr>
              <w:instrText>PAGEREF _Toc182210452 \h</w:instrText>
            </w:r>
            <w:r>
              <w:rPr>
                <w:webHidden/>
              </w:rPr>
              <w:fldChar w:fldCharType="separate"/>
            </w:r>
            <w:r>
              <w:rPr>
                <w:vanish w:val="false"/>
              </w:rPr>
              <w:tab/>
              <w:t>19</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453">
            <w:r>
              <w:rPr>
                <w:webHidden/>
              </w:rPr>
              <w:t>2.5 Почвы и растительность</w:t>
            </w:r>
            <w:r>
              <w:rPr>
                <w:webHidden/>
              </w:rPr>
              <w:fldChar w:fldCharType="begin"/>
            </w:r>
            <w:r>
              <w:rPr>
                <w:webHidden/>
              </w:rPr>
              <w:instrText>PAGEREF _Toc182210453 \h</w:instrText>
            </w:r>
            <w:r>
              <w:rPr>
                <w:webHidden/>
              </w:rPr>
              <w:fldChar w:fldCharType="separate"/>
            </w:r>
            <w:r>
              <w:rPr>
                <w:vanish w:val="false"/>
              </w:rPr>
              <w:tab/>
              <w:t>21</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454">
            <w:r>
              <w:rPr>
                <w:webHidden/>
              </w:rPr>
              <w:t>2.6 Лесные ресурсы</w:t>
            </w:r>
            <w:r>
              <w:rPr>
                <w:webHidden/>
              </w:rPr>
              <w:fldChar w:fldCharType="begin"/>
            </w:r>
            <w:r>
              <w:rPr>
                <w:webHidden/>
              </w:rPr>
              <w:instrText>PAGEREF _Toc182210454 \h</w:instrText>
            </w:r>
            <w:r>
              <w:rPr>
                <w:webHidden/>
              </w:rPr>
              <w:fldChar w:fldCharType="separate"/>
            </w:r>
            <w:r>
              <w:rPr>
                <w:vanish w:val="false"/>
              </w:rPr>
              <w:tab/>
              <w:t>23</w:t>
            </w:r>
            <w:r>
              <w:rPr>
                <w:webHidden/>
              </w:rPr>
              <w:fldChar w:fldCharType="end"/>
            </w:r>
          </w:hyperlink>
        </w:p>
        <w:p>
          <w:pPr>
            <w:pStyle w:val="21"/>
            <w:tabs>
              <w:tab w:val="clear" w:pos="708"/>
              <w:tab w:val="right" w:pos="9911" w:leader="dot"/>
            </w:tabs>
            <w:rPr>
              <w:rFonts w:ascii="Calibri" w:hAnsi="Calibri" w:eastAsia="" w:cs="" w:asciiTheme="minorHAnsi" w:cstheme="minorBidi" w:eastAsiaTheme="minorEastAsia" w:hAnsiTheme="minorHAnsi"/>
              <w:caps w:val="false"/>
              <w:smallCaps w:val="false"/>
              <w:sz w:val="22"/>
              <w:szCs w:val="22"/>
            </w:rPr>
          </w:pPr>
          <w:hyperlink w:anchor="_Toc182210455">
            <w:r>
              <w:rPr>
                <w:webHidden/>
              </w:rPr>
              <w:t>ГЛАВА 3. ДЕМОГРАФИЧЕСКИЕ ТЕНДЕНЦИИ. ПРОГНОЗ ЧИСЛЕННОСТИ НАСЕЛЕНИЯ</w:t>
            </w:r>
            <w:r>
              <w:rPr>
                <w:webHidden/>
              </w:rPr>
              <w:fldChar w:fldCharType="begin"/>
            </w:r>
            <w:r>
              <w:rPr>
                <w:webHidden/>
              </w:rPr>
              <w:instrText>PAGEREF _Toc182210455 \h</w:instrText>
            </w:r>
            <w:r>
              <w:rPr>
                <w:webHidden/>
              </w:rPr>
              <w:fldChar w:fldCharType="separate"/>
            </w:r>
            <w:r>
              <w:rPr>
                <w:vanish w:val="false"/>
              </w:rPr>
              <w:tab/>
              <w:t>23</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56">
            <w:r>
              <w:rPr>
                <w:webHidden/>
                <w:lang w:eastAsia="ru-RU"/>
              </w:rPr>
              <w:t xml:space="preserve">3.1 Анализ </w:t>
            </w:r>
            <w:r>
              <w:rPr/>
              <w:t>существующего</w:t>
            </w:r>
            <w:r>
              <w:rPr>
                <w:lang w:eastAsia="ru-RU"/>
              </w:rPr>
              <w:t xml:space="preserve"> состояния</w:t>
            </w:r>
            <w:r>
              <w:rPr>
                <w:webHidden/>
              </w:rPr>
              <w:fldChar w:fldCharType="begin"/>
            </w:r>
            <w:r>
              <w:rPr>
                <w:webHidden/>
              </w:rPr>
              <w:instrText>PAGEREF _Toc182210456 \h</w:instrText>
            </w:r>
            <w:r>
              <w:rPr>
                <w:webHidden/>
              </w:rPr>
              <w:fldChar w:fldCharType="separate"/>
            </w:r>
            <w:r>
              <w:rPr>
                <w:vanish w:val="false"/>
              </w:rPr>
              <w:tab/>
              <w:t>23</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57">
            <w:r>
              <w:rPr>
                <w:webHidden/>
              </w:rPr>
              <w:t>3.2 Рынок труда и перспективы его развития</w:t>
            </w:r>
            <w:r>
              <w:rPr>
                <w:webHidden/>
              </w:rPr>
              <w:fldChar w:fldCharType="begin"/>
            </w:r>
            <w:r>
              <w:rPr>
                <w:webHidden/>
              </w:rPr>
              <w:instrText>PAGEREF _Toc182210457 \h</w:instrText>
            </w:r>
            <w:r>
              <w:rPr>
                <w:webHidden/>
              </w:rPr>
              <w:fldChar w:fldCharType="separate"/>
            </w:r>
            <w:r>
              <w:rPr>
                <w:vanish w:val="false"/>
              </w:rPr>
              <w:tab/>
              <w:t>25</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58">
            <w:r>
              <w:rPr>
                <w:webHidden/>
              </w:rPr>
              <w:t>3.3 Демографический прогноз</w:t>
            </w:r>
            <w:r>
              <w:rPr>
                <w:webHidden/>
              </w:rPr>
              <w:fldChar w:fldCharType="begin"/>
            </w:r>
            <w:r>
              <w:rPr>
                <w:webHidden/>
              </w:rPr>
              <w:instrText>PAGEREF _Toc182210458 \h</w:instrText>
            </w:r>
            <w:r>
              <w:rPr>
                <w:webHidden/>
              </w:rPr>
              <w:fldChar w:fldCharType="separate"/>
            </w:r>
            <w:r>
              <w:rPr>
                <w:vanish w:val="false"/>
              </w:rPr>
              <w:tab/>
              <w:t>25</w:t>
            </w:r>
            <w:r>
              <w:rPr>
                <w:webHidden/>
              </w:rPr>
              <w:fldChar w:fldCharType="end"/>
            </w:r>
          </w:hyperlink>
        </w:p>
        <w:p>
          <w:pPr>
            <w:pStyle w:val="21"/>
            <w:tabs>
              <w:tab w:val="clear" w:pos="708"/>
              <w:tab w:val="right" w:pos="9911" w:leader="dot"/>
            </w:tabs>
            <w:rPr>
              <w:rFonts w:ascii="Calibri" w:hAnsi="Calibri" w:eastAsia="" w:cs="" w:asciiTheme="minorHAnsi" w:cstheme="minorBidi" w:eastAsiaTheme="minorEastAsia" w:hAnsiTheme="minorHAnsi"/>
              <w:caps w:val="false"/>
              <w:smallCaps w:val="false"/>
              <w:sz w:val="22"/>
              <w:szCs w:val="22"/>
            </w:rPr>
          </w:pPr>
          <w:hyperlink w:anchor="_Toc182210459">
            <w:r>
              <w:rPr>
                <w:webHidden/>
              </w:rPr>
              <w:t>ГЛАВА 4. ЖИЛИЩНЫЙ ФОНД</w:t>
            </w:r>
            <w:r>
              <w:rPr>
                <w:webHidden/>
              </w:rPr>
              <w:fldChar w:fldCharType="begin"/>
            </w:r>
            <w:r>
              <w:rPr>
                <w:webHidden/>
              </w:rPr>
              <w:instrText>PAGEREF _Toc182210459 \h</w:instrText>
            </w:r>
            <w:r>
              <w:rPr>
                <w:webHidden/>
              </w:rPr>
              <w:fldChar w:fldCharType="separate"/>
            </w:r>
            <w:r>
              <w:rPr>
                <w:vanish w:val="false"/>
              </w:rPr>
              <w:tab/>
              <w:t>28</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60">
            <w:r>
              <w:rPr>
                <w:webHidden/>
                <w:rFonts w:eastAsia="Tahoma"/>
              </w:rPr>
              <w:t xml:space="preserve">4.1 </w:t>
            </w:r>
            <w:r>
              <w:rPr/>
              <w:t>Анализ</w:t>
            </w:r>
            <w:r>
              <w:rPr>
                <w:rFonts w:eastAsia="Tahoma"/>
              </w:rPr>
              <w:t xml:space="preserve"> </w:t>
            </w:r>
            <w:r>
              <w:rPr/>
              <w:t>существующего</w:t>
            </w:r>
            <w:r>
              <w:rPr>
                <w:rFonts w:eastAsia="Tahoma"/>
              </w:rPr>
              <w:t xml:space="preserve"> состояния</w:t>
            </w:r>
            <w:r>
              <w:rPr>
                <w:webHidden/>
              </w:rPr>
              <w:fldChar w:fldCharType="begin"/>
            </w:r>
            <w:r>
              <w:rPr>
                <w:webHidden/>
              </w:rPr>
              <w:instrText>PAGEREF _Toc182210460 \h</w:instrText>
            </w:r>
            <w:r>
              <w:rPr>
                <w:webHidden/>
              </w:rPr>
              <w:fldChar w:fldCharType="separate"/>
            </w:r>
            <w:r>
              <w:rPr>
                <w:vanish w:val="false"/>
              </w:rPr>
              <w:tab/>
              <w:t>28</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61">
            <w:r>
              <w:rPr>
                <w:webHidden/>
                <w:rFonts w:eastAsia="Tahoma"/>
              </w:rPr>
              <w:t>4.2 Направления развития</w:t>
            </w:r>
            <w:r>
              <w:rPr>
                <w:webHidden/>
              </w:rPr>
              <w:fldChar w:fldCharType="begin"/>
            </w:r>
            <w:r>
              <w:rPr>
                <w:webHidden/>
              </w:rPr>
              <w:instrText>PAGEREF _Toc182210461 \h</w:instrText>
            </w:r>
            <w:r>
              <w:rPr>
                <w:webHidden/>
              </w:rPr>
              <w:fldChar w:fldCharType="separate"/>
            </w:r>
            <w:r>
              <w:rPr>
                <w:vanish w:val="false"/>
              </w:rPr>
              <w:tab/>
              <w:t>28</w:t>
            </w:r>
            <w:r>
              <w:rPr>
                <w:webHidden/>
              </w:rPr>
              <w:fldChar w:fldCharType="end"/>
            </w:r>
          </w:hyperlink>
        </w:p>
        <w:p>
          <w:pPr>
            <w:pStyle w:val="21"/>
            <w:tabs>
              <w:tab w:val="clear" w:pos="708"/>
              <w:tab w:val="right" w:pos="9911" w:leader="dot"/>
            </w:tabs>
            <w:rPr>
              <w:rFonts w:ascii="Calibri" w:hAnsi="Calibri" w:eastAsia="" w:cs="" w:asciiTheme="minorHAnsi" w:cstheme="minorBidi" w:eastAsiaTheme="minorEastAsia" w:hAnsiTheme="minorHAnsi"/>
              <w:caps w:val="false"/>
              <w:smallCaps w:val="false"/>
              <w:sz w:val="22"/>
              <w:szCs w:val="22"/>
            </w:rPr>
          </w:pPr>
          <w:hyperlink w:anchor="_Toc182210462">
            <w:r>
              <w:rPr>
                <w:webHidden/>
              </w:rPr>
              <w:t>ГЛАВА 5. СОЦИАЛЬНАЯ ИНФРАСТРУКТУРА</w:t>
            </w:r>
            <w:r>
              <w:rPr>
                <w:webHidden/>
              </w:rPr>
              <w:fldChar w:fldCharType="begin"/>
            </w:r>
            <w:r>
              <w:rPr>
                <w:webHidden/>
              </w:rPr>
              <w:instrText>PAGEREF _Toc182210462 \h</w:instrText>
            </w:r>
            <w:r>
              <w:rPr>
                <w:webHidden/>
              </w:rPr>
              <w:fldChar w:fldCharType="separate"/>
            </w:r>
            <w:r>
              <w:rPr>
                <w:vanish w:val="false"/>
              </w:rPr>
              <w:tab/>
              <w:t>30</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63">
            <w:r>
              <w:rPr>
                <w:webHidden/>
              </w:rPr>
              <w:t xml:space="preserve">5.1 Расчет </w:t>
            </w:r>
            <w:r>
              <w:rPr>
                <w:rFonts w:eastAsia="Tahoma"/>
              </w:rPr>
              <w:t>обеспеченности</w:t>
            </w:r>
            <w:r>
              <w:rPr/>
              <w:t xml:space="preserve"> объектами местного значения</w:t>
            </w:r>
            <w:r>
              <w:rPr>
                <w:webHidden/>
              </w:rPr>
              <w:fldChar w:fldCharType="begin"/>
            </w:r>
            <w:r>
              <w:rPr>
                <w:webHidden/>
              </w:rPr>
              <w:instrText>PAGEREF _Toc182210463 \h</w:instrText>
            </w:r>
            <w:r>
              <w:rPr>
                <w:webHidden/>
              </w:rPr>
              <w:fldChar w:fldCharType="separate"/>
            </w:r>
            <w:r>
              <w:rPr>
                <w:vanish w:val="false"/>
              </w:rPr>
              <w:tab/>
              <w:t>30</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64">
            <w:r>
              <w:rPr>
                <w:webHidden/>
              </w:rPr>
              <w:t xml:space="preserve">5.2 Система </w:t>
            </w:r>
            <w:r>
              <w:rPr>
                <w:rFonts w:eastAsia="Tahoma"/>
              </w:rPr>
              <w:t>социального</w:t>
            </w:r>
            <w:r>
              <w:rPr/>
              <w:t xml:space="preserve"> и культурно-досугового обслуживания муниципального образования</w:t>
            </w:r>
            <w:r>
              <w:rPr>
                <w:webHidden/>
              </w:rPr>
              <w:fldChar w:fldCharType="begin"/>
            </w:r>
            <w:r>
              <w:rPr>
                <w:webHidden/>
              </w:rPr>
              <w:instrText>PAGEREF _Toc182210464 \h</w:instrText>
            </w:r>
            <w:r>
              <w:rPr>
                <w:webHidden/>
              </w:rPr>
              <w:fldChar w:fldCharType="separate"/>
            </w:r>
            <w:r>
              <w:rPr>
                <w:vanish w:val="false"/>
              </w:rPr>
              <w:tab/>
              <w:t>32</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65">
            <w:r>
              <w:rPr>
                <w:webHidden/>
              </w:rPr>
              <w:t xml:space="preserve">5.2.1 </w:t>
            </w:r>
            <w:r>
              <w:rPr>
                <w:rFonts w:eastAsia="Tahoma"/>
              </w:rPr>
              <w:t>Образование</w:t>
            </w:r>
            <w:r>
              <w:rPr/>
              <w:t xml:space="preserve"> и наука</w:t>
            </w:r>
            <w:r>
              <w:rPr>
                <w:webHidden/>
              </w:rPr>
              <w:fldChar w:fldCharType="begin"/>
            </w:r>
            <w:r>
              <w:rPr>
                <w:webHidden/>
              </w:rPr>
              <w:instrText>PAGEREF _Toc182210465 \h</w:instrText>
            </w:r>
            <w:r>
              <w:rPr>
                <w:webHidden/>
              </w:rPr>
              <w:fldChar w:fldCharType="separate"/>
            </w:r>
            <w:r>
              <w:rPr>
                <w:vanish w:val="false"/>
              </w:rPr>
              <w:tab/>
              <w:t>32</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66">
            <w:r>
              <w:rPr>
                <w:webHidden/>
              </w:rPr>
              <w:t>5.2.2 Физическая культура и массовый спорт</w:t>
            </w:r>
            <w:r>
              <w:rPr>
                <w:webHidden/>
              </w:rPr>
              <w:fldChar w:fldCharType="begin"/>
            </w:r>
            <w:r>
              <w:rPr>
                <w:webHidden/>
              </w:rPr>
              <w:instrText>PAGEREF _Toc182210466 \h</w:instrText>
            </w:r>
            <w:r>
              <w:rPr>
                <w:webHidden/>
              </w:rPr>
              <w:fldChar w:fldCharType="separate"/>
            </w:r>
            <w:r>
              <w:rPr>
                <w:vanish w:val="false"/>
              </w:rPr>
              <w:tab/>
              <w:t>33</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67">
            <w:r>
              <w:rPr>
                <w:webHidden/>
              </w:rPr>
              <w:t>5.2.3 Культура и искусство</w:t>
            </w:r>
            <w:r>
              <w:rPr>
                <w:webHidden/>
              </w:rPr>
              <w:fldChar w:fldCharType="begin"/>
            </w:r>
            <w:r>
              <w:rPr>
                <w:webHidden/>
              </w:rPr>
              <w:instrText>PAGEREF _Toc182210467 \h</w:instrText>
            </w:r>
            <w:r>
              <w:rPr>
                <w:webHidden/>
              </w:rPr>
              <w:fldChar w:fldCharType="separate"/>
            </w:r>
            <w:r>
              <w:rPr>
                <w:vanish w:val="false"/>
              </w:rPr>
              <w:tab/>
              <w:t>34</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68">
            <w:r>
              <w:rPr>
                <w:webHidden/>
              </w:rPr>
              <w:t>5.2.4 Здравоохранение</w:t>
            </w:r>
            <w:r>
              <w:rPr>
                <w:webHidden/>
              </w:rPr>
              <w:fldChar w:fldCharType="begin"/>
            </w:r>
            <w:r>
              <w:rPr>
                <w:webHidden/>
              </w:rPr>
              <w:instrText>PAGEREF _Toc182210468 \h</w:instrText>
            </w:r>
            <w:r>
              <w:rPr>
                <w:webHidden/>
              </w:rPr>
              <w:fldChar w:fldCharType="separate"/>
            </w:r>
            <w:r>
              <w:rPr>
                <w:vanish w:val="false"/>
              </w:rPr>
              <w:tab/>
              <w:t>36</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69">
            <w:r>
              <w:rPr>
                <w:webHidden/>
              </w:rPr>
              <w:t>5.2.5 Социальное обслуживание</w:t>
            </w:r>
            <w:r>
              <w:rPr>
                <w:webHidden/>
              </w:rPr>
              <w:fldChar w:fldCharType="begin"/>
            </w:r>
            <w:r>
              <w:rPr>
                <w:webHidden/>
              </w:rPr>
              <w:instrText>PAGEREF _Toc182210469 \h</w:instrText>
            </w:r>
            <w:r>
              <w:rPr>
                <w:webHidden/>
              </w:rPr>
              <w:fldChar w:fldCharType="separate"/>
            </w:r>
            <w:r>
              <w:rPr>
                <w:vanish w:val="false"/>
              </w:rPr>
              <w:tab/>
              <w:t>38</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70">
            <w:r>
              <w:rPr>
                <w:webHidden/>
                <w:rFonts w:eastAsia="Times New Roman"/>
              </w:rPr>
              <w:t>5.2.6 Объекты отдыха и туризма</w:t>
            </w:r>
            <w:r>
              <w:rPr>
                <w:webHidden/>
              </w:rPr>
              <w:fldChar w:fldCharType="begin"/>
            </w:r>
            <w:r>
              <w:rPr>
                <w:webHidden/>
              </w:rPr>
              <w:instrText>PAGEREF _Toc182210470 \h</w:instrText>
            </w:r>
            <w:r>
              <w:rPr>
                <w:webHidden/>
              </w:rPr>
              <w:fldChar w:fldCharType="separate"/>
            </w:r>
            <w:r>
              <w:rPr>
                <w:vanish w:val="false"/>
              </w:rPr>
              <w:tab/>
              <w:t>38</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71">
            <w:r>
              <w:rPr>
                <w:webHidden/>
              </w:rPr>
              <w:t>5.2.7 Прочие объекты обслуживания</w:t>
            </w:r>
            <w:r>
              <w:rPr>
                <w:webHidden/>
              </w:rPr>
              <w:fldChar w:fldCharType="begin"/>
            </w:r>
            <w:r>
              <w:rPr>
                <w:webHidden/>
              </w:rPr>
              <w:instrText>PAGEREF _Toc182210471 \h</w:instrText>
            </w:r>
            <w:r>
              <w:rPr>
                <w:webHidden/>
              </w:rPr>
              <w:fldChar w:fldCharType="separate"/>
            </w:r>
            <w:r>
              <w:rPr>
                <w:vanish w:val="false"/>
              </w:rPr>
              <w:tab/>
              <w:t>38</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72">
            <w:r>
              <w:rPr>
                <w:webHidden/>
              </w:rPr>
              <w:t>5.2.8 Обеспечение ритуального обслуживания</w:t>
            </w:r>
            <w:r>
              <w:rPr>
                <w:webHidden/>
              </w:rPr>
              <w:fldChar w:fldCharType="begin"/>
            </w:r>
            <w:r>
              <w:rPr>
                <w:webHidden/>
              </w:rPr>
              <w:instrText>PAGEREF _Toc182210472 \h</w:instrText>
            </w:r>
            <w:r>
              <w:rPr>
                <w:webHidden/>
              </w:rPr>
              <w:fldChar w:fldCharType="separate"/>
            </w:r>
            <w:r>
              <w:rPr>
                <w:vanish w:val="false"/>
              </w:rPr>
              <w:tab/>
              <w:t>39</w:t>
            </w:r>
            <w:r>
              <w:rPr>
                <w:webHidden/>
              </w:rPr>
              <w:fldChar w:fldCharType="end"/>
            </w:r>
          </w:hyperlink>
        </w:p>
        <w:p>
          <w:pPr>
            <w:pStyle w:val="21"/>
            <w:tabs>
              <w:tab w:val="clear" w:pos="708"/>
              <w:tab w:val="right" w:pos="9911" w:leader="dot"/>
            </w:tabs>
            <w:rPr>
              <w:rFonts w:ascii="Calibri" w:hAnsi="Calibri" w:eastAsia="" w:cs="" w:asciiTheme="minorHAnsi" w:cstheme="minorBidi" w:eastAsiaTheme="minorEastAsia" w:hAnsiTheme="minorHAnsi"/>
              <w:caps w:val="false"/>
              <w:smallCaps w:val="false"/>
              <w:sz w:val="22"/>
              <w:szCs w:val="22"/>
            </w:rPr>
          </w:pPr>
          <w:hyperlink w:anchor="_Toc182210473">
            <w:r>
              <w:rPr>
                <w:webHidden/>
              </w:rPr>
              <w:t>ГЛАВА 6. ПРЕДПРИЯТИЯ ПРОМЫШЛЕННОСТИ, СЕЛЬСКОГО ХОЗЯЙСТВА И ЛЕСНОГО ХОЗЯЙСТВА</w:t>
            </w:r>
            <w:r>
              <w:rPr>
                <w:webHidden/>
              </w:rPr>
              <w:fldChar w:fldCharType="begin"/>
            </w:r>
            <w:r>
              <w:rPr>
                <w:webHidden/>
              </w:rPr>
              <w:instrText>PAGEREF _Toc182210473 \h</w:instrText>
            </w:r>
            <w:r>
              <w:rPr>
                <w:webHidden/>
              </w:rPr>
              <w:fldChar w:fldCharType="separate"/>
            </w:r>
            <w:r>
              <w:rPr>
                <w:vanish w:val="false"/>
              </w:rPr>
              <w:tab/>
              <w:t>41</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74">
            <w:r>
              <w:rPr>
                <w:webHidden/>
              </w:rPr>
              <w:t>6.1 Промышленность</w:t>
            </w:r>
            <w:r>
              <w:rPr>
                <w:webHidden/>
              </w:rPr>
              <w:fldChar w:fldCharType="begin"/>
            </w:r>
            <w:r>
              <w:rPr>
                <w:webHidden/>
              </w:rPr>
              <w:instrText>PAGEREF _Toc182210474 \h</w:instrText>
            </w:r>
            <w:r>
              <w:rPr>
                <w:webHidden/>
              </w:rPr>
              <w:fldChar w:fldCharType="separate"/>
            </w:r>
            <w:r>
              <w:rPr>
                <w:vanish w:val="false"/>
              </w:rPr>
              <w:tab/>
              <w:t>41</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75">
            <w:r>
              <w:rPr>
                <w:webHidden/>
              </w:rPr>
              <w:t>6.2 Сельское хозяйство</w:t>
            </w:r>
            <w:r>
              <w:rPr>
                <w:webHidden/>
              </w:rPr>
              <w:fldChar w:fldCharType="begin"/>
            </w:r>
            <w:r>
              <w:rPr>
                <w:webHidden/>
              </w:rPr>
              <w:instrText>PAGEREF _Toc182210475 \h</w:instrText>
            </w:r>
            <w:r>
              <w:rPr>
                <w:webHidden/>
              </w:rPr>
              <w:fldChar w:fldCharType="separate"/>
            </w:r>
            <w:r>
              <w:rPr>
                <w:vanish w:val="false"/>
              </w:rPr>
              <w:tab/>
              <w:t>41</w:t>
            </w:r>
            <w:r>
              <w:rPr>
                <w:webHidden/>
              </w:rPr>
              <w:fldChar w:fldCharType="end"/>
            </w:r>
          </w:hyperlink>
        </w:p>
        <w:p>
          <w:pPr>
            <w:pStyle w:val="21"/>
            <w:tabs>
              <w:tab w:val="clear" w:pos="708"/>
              <w:tab w:val="right" w:pos="9911" w:leader="dot"/>
            </w:tabs>
            <w:rPr>
              <w:rFonts w:ascii="Calibri" w:hAnsi="Calibri" w:eastAsia="" w:cs="" w:asciiTheme="minorHAnsi" w:cstheme="minorBidi" w:eastAsiaTheme="minorEastAsia" w:hAnsiTheme="minorHAnsi"/>
              <w:caps w:val="false"/>
              <w:smallCaps w:val="false"/>
              <w:sz w:val="22"/>
              <w:szCs w:val="22"/>
            </w:rPr>
          </w:pPr>
          <w:hyperlink w:anchor="_Toc182210476">
            <w:r>
              <w:rPr>
                <w:webHidden/>
              </w:rPr>
              <w:t>ГЛАВА 7. ТРАНСПОРТНАЯ ИНФРАСТРУКТУРА</w:t>
            </w:r>
            <w:r>
              <w:rPr>
                <w:webHidden/>
              </w:rPr>
              <w:fldChar w:fldCharType="begin"/>
            </w:r>
            <w:r>
              <w:rPr>
                <w:webHidden/>
              </w:rPr>
              <w:instrText>PAGEREF _Toc182210476 \h</w:instrText>
            </w:r>
            <w:r>
              <w:rPr>
                <w:webHidden/>
              </w:rPr>
              <w:fldChar w:fldCharType="separate"/>
            </w:r>
            <w:r>
              <w:rPr>
                <w:vanish w:val="false"/>
              </w:rPr>
              <w:tab/>
              <w:t>43</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477">
            <w:r>
              <w:rPr>
                <w:webHidden/>
              </w:rPr>
              <w:t>7.1 Автомобильный транспорт</w:t>
            </w:r>
            <w:r>
              <w:rPr>
                <w:webHidden/>
              </w:rPr>
              <w:fldChar w:fldCharType="begin"/>
            </w:r>
            <w:r>
              <w:rPr>
                <w:webHidden/>
              </w:rPr>
              <w:instrText>PAGEREF _Toc182210477 \h</w:instrText>
            </w:r>
            <w:r>
              <w:rPr>
                <w:webHidden/>
              </w:rPr>
              <w:fldChar w:fldCharType="separate"/>
            </w:r>
            <w:r>
              <w:rPr>
                <w:vanish w:val="false"/>
              </w:rPr>
              <w:tab/>
              <w:t>43</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78">
            <w:r>
              <w:rPr>
                <w:webHidden/>
              </w:rPr>
              <w:t>7.1.1 Автомобильные дороги</w:t>
            </w:r>
            <w:r>
              <w:rPr>
                <w:webHidden/>
              </w:rPr>
              <w:fldChar w:fldCharType="begin"/>
            </w:r>
            <w:r>
              <w:rPr>
                <w:webHidden/>
              </w:rPr>
              <w:instrText>PAGEREF _Toc182210478 \h</w:instrText>
            </w:r>
            <w:r>
              <w:rPr>
                <w:webHidden/>
              </w:rPr>
              <w:fldChar w:fldCharType="separate"/>
            </w:r>
            <w:r>
              <w:rPr>
                <w:vanish w:val="false"/>
              </w:rPr>
              <w:tab/>
              <w:t>43</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79">
            <w:r>
              <w:rPr>
                <w:webHidden/>
              </w:rPr>
              <w:t>7.1.2 Улично-дорожная сеть</w:t>
            </w:r>
            <w:r>
              <w:rPr>
                <w:webHidden/>
              </w:rPr>
              <w:fldChar w:fldCharType="begin"/>
            </w:r>
            <w:r>
              <w:rPr>
                <w:webHidden/>
              </w:rPr>
              <w:instrText>PAGEREF _Toc182210479 \h</w:instrText>
            </w:r>
            <w:r>
              <w:rPr>
                <w:webHidden/>
              </w:rPr>
              <w:fldChar w:fldCharType="separate"/>
            </w:r>
            <w:r>
              <w:rPr>
                <w:vanish w:val="false"/>
              </w:rPr>
              <w:tab/>
              <w:t>46</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80">
            <w:r>
              <w:rPr>
                <w:webHidden/>
              </w:rPr>
              <w:t>7.1.3 Объекты обслуживания и хранения автомобильного транспорта</w:t>
            </w:r>
            <w:r>
              <w:rPr>
                <w:webHidden/>
              </w:rPr>
              <w:fldChar w:fldCharType="begin"/>
            </w:r>
            <w:r>
              <w:rPr>
                <w:webHidden/>
              </w:rPr>
              <w:instrText>PAGEREF _Toc182210480 \h</w:instrText>
            </w:r>
            <w:r>
              <w:rPr>
                <w:webHidden/>
              </w:rPr>
              <w:fldChar w:fldCharType="separate"/>
            </w:r>
            <w:r>
              <w:rPr>
                <w:vanish w:val="false"/>
              </w:rPr>
              <w:tab/>
              <w:t>47</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81">
            <w:r>
              <w:rPr>
                <w:webHidden/>
                <w:rFonts w:eastAsia="Times New Roman" w:cs="Times New Roman"/>
                <w:lang w:eastAsia="ru-RU"/>
              </w:rPr>
              <w:t>7.1.4 Общественный пассажирский транспорт</w:t>
            </w:r>
            <w:r>
              <w:rPr>
                <w:webHidden/>
              </w:rPr>
              <w:fldChar w:fldCharType="begin"/>
            </w:r>
            <w:r>
              <w:rPr>
                <w:webHidden/>
              </w:rPr>
              <w:instrText>PAGEREF _Toc182210481 \h</w:instrText>
            </w:r>
            <w:r>
              <w:rPr>
                <w:webHidden/>
              </w:rPr>
              <w:fldChar w:fldCharType="separate"/>
            </w:r>
            <w:r>
              <w:rPr>
                <w:vanish w:val="false"/>
              </w:rPr>
              <w:tab/>
              <w:t>47</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82">
            <w:r>
              <w:rPr>
                <w:webHidden/>
              </w:rPr>
              <w:t>7.2 Железнодорожный транспорт</w:t>
            </w:r>
            <w:r>
              <w:rPr>
                <w:webHidden/>
              </w:rPr>
              <w:fldChar w:fldCharType="begin"/>
            </w:r>
            <w:r>
              <w:rPr>
                <w:webHidden/>
              </w:rPr>
              <w:instrText>PAGEREF _Toc182210482 \h</w:instrText>
            </w:r>
            <w:r>
              <w:rPr>
                <w:webHidden/>
              </w:rPr>
              <w:fldChar w:fldCharType="separate"/>
            </w:r>
            <w:r>
              <w:rPr>
                <w:vanish w:val="false"/>
              </w:rPr>
              <w:tab/>
              <w:t>48</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83">
            <w:r>
              <w:rPr>
                <w:webHidden/>
              </w:rPr>
              <w:t>7.3 Воздушный транспорт</w:t>
            </w:r>
            <w:r>
              <w:rPr>
                <w:webHidden/>
              </w:rPr>
              <w:fldChar w:fldCharType="begin"/>
            </w:r>
            <w:r>
              <w:rPr>
                <w:webHidden/>
              </w:rPr>
              <w:instrText>PAGEREF _Toc182210483 \h</w:instrText>
            </w:r>
            <w:r>
              <w:rPr>
                <w:webHidden/>
              </w:rPr>
              <w:fldChar w:fldCharType="separate"/>
            </w:r>
            <w:r>
              <w:rPr>
                <w:vanish w:val="false"/>
              </w:rPr>
              <w:tab/>
              <w:t>48</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84">
            <w:r>
              <w:rPr>
                <w:webHidden/>
              </w:rPr>
              <w:t>7.4 Водный транспорт</w:t>
            </w:r>
            <w:r>
              <w:rPr>
                <w:webHidden/>
              </w:rPr>
              <w:fldChar w:fldCharType="begin"/>
            </w:r>
            <w:r>
              <w:rPr>
                <w:webHidden/>
              </w:rPr>
              <w:instrText>PAGEREF _Toc182210484 \h</w:instrText>
            </w:r>
            <w:r>
              <w:rPr>
                <w:webHidden/>
              </w:rPr>
              <w:fldChar w:fldCharType="separate"/>
            </w:r>
            <w:r>
              <w:rPr>
                <w:vanish w:val="false"/>
              </w:rPr>
              <w:tab/>
              <w:t>48</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85">
            <w:r>
              <w:rPr>
                <w:webHidden/>
              </w:rPr>
              <w:t>7.5 Искусственные дорожные сооружения</w:t>
            </w:r>
            <w:r>
              <w:rPr>
                <w:webHidden/>
              </w:rPr>
              <w:fldChar w:fldCharType="begin"/>
            </w:r>
            <w:r>
              <w:rPr>
                <w:webHidden/>
              </w:rPr>
              <w:instrText>PAGEREF _Toc182210485 \h</w:instrText>
            </w:r>
            <w:r>
              <w:rPr>
                <w:webHidden/>
              </w:rPr>
              <w:fldChar w:fldCharType="separate"/>
            </w:r>
            <w:r>
              <w:rPr>
                <w:vanish w:val="false"/>
              </w:rPr>
              <w:tab/>
              <w:t>48</w:t>
            </w:r>
            <w:r>
              <w:rPr>
                <w:webHidden/>
              </w:rPr>
              <w:fldChar w:fldCharType="end"/>
            </w:r>
          </w:hyperlink>
        </w:p>
        <w:p>
          <w:pPr>
            <w:pStyle w:val="21"/>
            <w:tabs>
              <w:tab w:val="clear" w:pos="708"/>
              <w:tab w:val="right" w:pos="9911" w:leader="dot"/>
            </w:tabs>
            <w:rPr>
              <w:rFonts w:ascii="Calibri" w:hAnsi="Calibri" w:eastAsia="" w:cs="" w:asciiTheme="minorHAnsi" w:cstheme="minorBidi" w:eastAsiaTheme="minorEastAsia" w:hAnsiTheme="minorHAnsi"/>
              <w:caps w:val="false"/>
              <w:smallCaps w:val="false"/>
              <w:sz w:val="22"/>
              <w:szCs w:val="22"/>
            </w:rPr>
          </w:pPr>
          <w:hyperlink w:anchor="_Toc182210486">
            <w:r>
              <w:rPr>
                <w:webHidden/>
              </w:rPr>
              <w:t>ГЛАВА 8. ИНЖЕНЕРНАЯ ИНФРАСТРУКТУРА И ТРУБОПРОВОДНЫЙ ТРАНСПОРТ</w:t>
            </w:r>
            <w:r>
              <w:rPr>
                <w:webHidden/>
              </w:rPr>
              <w:fldChar w:fldCharType="begin"/>
            </w:r>
            <w:r>
              <w:rPr>
                <w:webHidden/>
              </w:rPr>
              <w:instrText>PAGEREF _Toc182210486 \h</w:instrText>
            </w:r>
            <w:r>
              <w:rPr>
                <w:webHidden/>
              </w:rPr>
              <w:fldChar w:fldCharType="separate"/>
            </w:r>
            <w:r>
              <w:rPr>
                <w:vanish w:val="false"/>
              </w:rPr>
              <w:tab/>
              <w:t>50</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487">
            <w:r>
              <w:rPr>
                <w:webHidden/>
              </w:rPr>
              <w:t>8.1 Водоснабжение</w:t>
            </w:r>
            <w:r>
              <w:rPr>
                <w:webHidden/>
              </w:rPr>
              <w:fldChar w:fldCharType="begin"/>
            </w:r>
            <w:r>
              <w:rPr>
                <w:webHidden/>
              </w:rPr>
              <w:instrText>PAGEREF _Toc182210487 \h</w:instrText>
            </w:r>
            <w:r>
              <w:rPr>
                <w:webHidden/>
              </w:rPr>
              <w:fldChar w:fldCharType="separate"/>
            </w:r>
            <w:r>
              <w:rPr>
                <w:vanish w:val="false"/>
              </w:rPr>
              <w:tab/>
              <w:t>50</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488">
            <w:r>
              <w:rPr>
                <w:webHidden/>
              </w:rPr>
              <w:t>8.2 Противопожарное водоснабжение</w:t>
            </w:r>
            <w:r>
              <w:rPr>
                <w:webHidden/>
              </w:rPr>
              <w:fldChar w:fldCharType="begin"/>
            </w:r>
            <w:r>
              <w:rPr>
                <w:webHidden/>
              </w:rPr>
              <w:instrText>PAGEREF _Toc182210488 \h</w:instrText>
            </w:r>
            <w:r>
              <w:rPr>
                <w:webHidden/>
              </w:rPr>
              <w:fldChar w:fldCharType="separate"/>
            </w:r>
            <w:r>
              <w:rPr>
                <w:vanish w:val="false"/>
              </w:rPr>
              <w:tab/>
              <w:t>55</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489">
            <w:r>
              <w:rPr>
                <w:webHidden/>
              </w:rPr>
              <w:t>8.3 Водоотведение</w:t>
            </w:r>
            <w:r>
              <w:rPr>
                <w:webHidden/>
              </w:rPr>
              <w:fldChar w:fldCharType="begin"/>
            </w:r>
            <w:r>
              <w:rPr>
                <w:webHidden/>
              </w:rPr>
              <w:instrText>PAGEREF _Toc182210489 \h</w:instrText>
            </w:r>
            <w:r>
              <w:rPr>
                <w:webHidden/>
              </w:rPr>
              <w:fldChar w:fldCharType="separate"/>
            </w:r>
            <w:r>
              <w:rPr>
                <w:vanish w:val="false"/>
              </w:rPr>
              <w:tab/>
              <w:t>56</w:t>
            </w:r>
            <w:r>
              <w:rPr>
                <w:webHidden/>
              </w:rPr>
              <w:fldChar w:fldCharType="end"/>
            </w:r>
          </w:hyperlink>
        </w:p>
        <w:p>
          <w:pPr>
            <w:pStyle w:val="31"/>
            <w:tabs>
              <w:tab w:val="clear" w:pos="708"/>
              <w:tab w:val="left" w:pos="1200" w:leader="none"/>
              <w:tab w:val="right" w:pos="9911" w:leader="dot"/>
            </w:tabs>
            <w:rPr>
              <w:rFonts w:ascii="Calibri" w:hAnsi="Calibri" w:eastAsia="" w:cs="" w:asciiTheme="minorHAnsi" w:cstheme="minorBidi" w:eastAsiaTheme="minorEastAsia" w:hAnsiTheme="minorHAnsi"/>
              <w:iCs w:val="false"/>
              <w:sz w:val="22"/>
              <w:szCs w:val="22"/>
            </w:rPr>
          </w:pPr>
          <w:hyperlink w:anchor="_Toc182210490">
            <w:r>
              <w:rPr>
                <w:webHidden/>
              </w:rPr>
              <w:t>8.4</w:t>
            </w:r>
            <w:r>
              <w:rPr>
                <w:rFonts w:eastAsia="" w:cs="" w:ascii="Calibri" w:hAnsi="Calibri" w:asciiTheme="minorHAnsi" w:cstheme="minorBidi" w:eastAsiaTheme="minorEastAsia" w:hAnsiTheme="minorHAnsi"/>
                <w:iCs w:val="false"/>
                <w:sz w:val="22"/>
                <w:szCs w:val="22"/>
              </w:rPr>
              <w:tab/>
            </w:r>
            <w:r>
              <w:rPr/>
              <w:t>Ливневая канализация</w:t>
            </w:r>
            <w:r>
              <w:rPr>
                <w:webHidden/>
              </w:rPr>
              <w:fldChar w:fldCharType="begin"/>
            </w:r>
            <w:r>
              <w:rPr>
                <w:webHidden/>
              </w:rPr>
              <w:instrText>PAGEREF _Toc182210490 \h</w:instrText>
            </w:r>
            <w:r>
              <w:rPr>
                <w:webHidden/>
              </w:rPr>
              <w:fldChar w:fldCharType="separate"/>
            </w:r>
            <w:r>
              <w:rPr>
                <w:vanish w:val="false"/>
              </w:rPr>
              <w:tab/>
              <w:t>62</w:t>
            </w:r>
            <w:r>
              <w:rPr>
                <w:webHidden/>
              </w:rPr>
              <w:fldChar w:fldCharType="end"/>
            </w:r>
          </w:hyperlink>
        </w:p>
        <w:p>
          <w:pPr>
            <w:pStyle w:val="31"/>
            <w:tabs>
              <w:tab w:val="clear" w:pos="708"/>
              <w:tab w:val="left" w:pos="1200" w:leader="none"/>
              <w:tab w:val="right" w:pos="9911" w:leader="dot"/>
            </w:tabs>
            <w:rPr>
              <w:rFonts w:ascii="Calibri" w:hAnsi="Calibri" w:eastAsia="" w:cs="" w:asciiTheme="minorHAnsi" w:cstheme="minorBidi" w:eastAsiaTheme="minorEastAsia" w:hAnsiTheme="minorHAnsi"/>
              <w:iCs w:val="false"/>
              <w:sz w:val="22"/>
              <w:szCs w:val="22"/>
            </w:rPr>
          </w:pPr>
          <w:hyperlink w:anchor="_Toc182210491">
            <w:r>
              <w:rPr>
                <w:webHidden/>
              </w:rPr>
              <w:t>8.5</w:t>
            </w:r>
            <w:r>
              <w:rPr>
                <w:rFonts w:eastAsia="" w:cs="" w:ascii="Calibri" w:hAnsi="Calibri" w:asciiTheme="minorHAnsi" w:cstheme="minorBidi" w:eastAsiaTheme="minorEastAsia" w:hAnsiTheme="minorHAnsi"/>
                <w:iCs w:val="false"/>
                <w:sz w:val="22"/>
                <w:szCs w:val="22"/>
              </w:rPr>
              <w:tab/>
            </w:r>
            <w:r>
              <w:rPr/>
              <w:t>Теплоснабжение</w:t>
            </w:r>
            <w:r>
              <w:rPr>
                <w:webHidden/>
              </w:rPr>
              <w:fldChar w:fldCharType="begin"/>
            </w:r>
            <w:r>
              <w:rPr>
                <w:webHidden/>
              </w:rPr>
              <w:instrText>PAGEREF _Toc182210491 \h</w:instrText>
            </w:r>
            <w:r>
              <w:rPr>
                <w:webHidden/>
              </w:rPr>
              <w:fldChar w:fldCharType="separate"/>
            </w:r>
            <w:r>
              <w:rPr>
                <w:vanish w:val="false"/>
              </w:rPr>
              <w:tab/>
              <w:t>62</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92">
            <w:r>
              <w:rPr>
                <w:webHidden/>
              </w:rPr>
              <w:t>8.6 Газоснабжение</w:t>
            </w:r>
            <w:r>
              <w:rPr>
                <w:webHidden/>
              </w:rPr>
              <w:fldChar w:fldCharType="begin"/>
            </w:r>
            <w:r>
              <w:rPr>
                <w:webHidden/>
              </w:rPr>
              <w:instrText>PAGEREF _Toc182210492 \h</w:instrText>
            </w:r>
            <w:r>
              <w:rPr>
                <w:webHidden/>
              </w:rPr>
              <w:fldChar w:fldCharType="separate"/>
            </w:r>
            <w:r>
              <w:rPr>
                <w:vanish w:val="false"/>
              </w:rPr>
              <w:tab/>
              <w:t>64</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93">
            <w:r>
              <w:rPr>
                <w:webHidden/>
                <w:iCs/>
              </w:rPr>
              <w:t xml:space="preserve">8.7 </w:t>
            </w:r>
            <w:r>
              <w:rPr/>
              <w:t>Трубопроводный транспорт</w:t>
            </w:r>
            <w:r>
              <w:rPr>
                <w:webHidden/>
              </w:rPr>
              <w:fldChar w:fldCharType="begin"/>
            </w:r>
            <w:r>
              <w:rPr>
                <w:webHidden/>
              </w:rPr>
              <w:instrText>PAGEREF _Toc182210493 \h</w:instrText>
            </w:r>
            <w:r>
              <w:rPr>
                <w:webHidden/>
              </w:rPr>
              <w:fldChar w:fldCharType="separate"/>
            </w:r>
            <w:r>
              <w:rPr>
                <w:vanish w:val="false"/>
              </w:rPr>
              <w:tab/>
              <w:t>69</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494">
            <w:r>
              <w:rPr>
                <w:webHidden/>
              </w:rPr>
              <w:t>8.8 Электроснабжение</w:t>
            </w:r>
            <w:r>
              <w:rPr>
                <w:webHidden/>
              </w:rPr>
              <w:fldChar w:fldCharType="begin"/>
            </w:r>
            <w:r>
              <w:rPr>
                <w:webHidden/>
              </w:rPr>
              <w:instrText>PAGEREF _Toc182210494 \h</w:instrText>
            </w:r>
            <w:r>
              <w:rPr>
                <w:webHidden/>
              </w:rPr>
              <w:fldChar w:fldCharType="separate"/>
            </w:r>
            <w:r>
              <w:rPr>
                <w:vanish w:val="false"/>
              </w:rPr>
              <w:tab/>
              <w:t>69</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495">
            <w:r>
              <w:rPr>
                <w:webHidden/>
              </w:rPr>
              <w:t>8.9 Связь</w:t>
            </w:r>
            <w:r>
              <w:rPr>
                <w:webHidden/>
              </w:rPr>
              <w:fldChar w:fldCharType="begin"/>
            </w:r>
            <w:r>
              <w:rPr>
                <w:webHidden/>
              </w:rPr>
              <w:instrText>PAGEREF _Toc182210495 \h</w:instrText>
            </w:r>
            <w:r>
              <w:rPr>
                <w:webHidden/>
              </w:rPr>
              <w:fldChar w:fldCharType="separate"/>
            </w:r>
            <w:r>
              <w:rPr>
                <w:vanish w:val="false"/>
              </w:rPr>
              <w:tab/>
              <w:t>76</w:t>
            </w:r>
            <w:r>
              <w:rPr>
                <w:webHidden/>
              </w:rPr>
              <w:fldChar w:fldCharType="end"/>
            </w:r>
          </w:hyperlink>
        </w:p>
        <w:p>
          <w:pPr>
            <w:pStyle w:val="21"/>
            <w:tabs>
              <w:tab w:val="clear" w:pos="708"/>
              <w:tab w:val="right" w:pos="9911" w:leader="dot"/>
            </w:tabs>
            <w:rPr>
              <w:rFonts w:ascii="Calibri" w:hAnsi="Calibri" w:eastAsia="" w:cs="" w:asciiTheme="minorHAnsi" w:cstheme="minorBidi" w:eastAsiaTheme="minorEastAsia" w:hAnsiTheme="minorHAnsi"/>
              <w:caps w:val="false"/>
              <w:smallCaps w:val="false"/>
              <w:sz w:val="22"/>
              <w:szCs w:val="22"/>
            </w:rPr>
          </w:pPr>
          <w:hyperlink w:anchor="_Toc182210496">
            <w:r>
              <w:rPr>
                <w:webHidden/>
              </w:rPr>
              <w:t>ГЛАВА 9. ИНЖЕНЕРНАЯ ПОДГОТОВКА ТЕРРИТОРИИ. БЛАГОУСТРОЙСТВО ТЕРРИТОРИИ</w:t>
            </w:r>
            <w:r>
              <w:rPr>
                <w:webHidden/>
              </w:rPr>
              <w:fldChar w:fldCharType="begin"/>
            </w:r>
            <w:r>
              <w:rPr>
                <w:webHidden/>
              </w:rPr>
              <w:instrText>PAGEREF _Toc182210496 \h</w:instrText>
            </w:r>
            <w:r>
              <w:rPr>
                <w:webHidden/>
              </w:rPr>
              <w:fldChar w:fldCharType="separate"/>
            </w:r>
            <w:r>
              <w:rPr>
                <w:vanish w:val="false"/>
              </w:rPr>
              <w:tab/>
              <w:t>77</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497">
            <w:r>
              <w:rPr>
                <w:webHidden/>
              </w:rPr>
              <w:t>9.1 Анализ строительных ограничений</w:t>
            </w:r>
            <w:r>
              <w:rPr>
                <w:webHidden/>
              </w:rPr>
              <w:fldChar w:fldCharType="begin"/>
            </w:r>
            <w:r>
              <w:rPr>
                <w:webHidden/>
              </w:rPr>
              <w:instrText>PAGEREF _Toc182210497 \h</w:instrText>
            </w:r>
            <w:r>
              <w:rPr>
                <w:webHidden/>
              </w:rPr>
              <w:fldChar w:fldCharType="separate"/>
            </w:r>
            <w:r>
              <w:rPr>
                <w:vanish w:val="false"/>
              </w:rPr>
              <w:tab/>
              <w:t>77</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498">
            <w:r>
              <w:rPr>
                <w:webHidden/>
              </w:rPr>
              <w:t>9.2 Инженерная подготовка территории</w:t>
            </w:r>
            <w:r>
              <w:rPr>
                <w:webHidden/>
              </w:rPr>
              <w:fldChar w:fldCharType="begin"/>
            </w:r>
            <w:r>
              <w:rPr>
                <w:webHidden/>
              </w:rPr>
              <w:instrText>PAGEREF _Toc182210498 \h</w:instrText>
            </w:r>
            <w:r>
              <w:rPr>
                <w:webHidden/>
              </w:rPr>
              <w:fldChar w:fldCharType="separate"/>
            </w:r>
            <w:r>
              <w:rPr>
                <w:vanish w:val="false"/>
              </w:rPr>
              <w:tab/>
              <w:t>77</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499">
            <w:r>
              <w:rPr>
                <w:webHidden/>
              </w:rPr>
              <w:t>9.3 Благоустройство территории</w:t>
            </w:r>
            <w:r>
              <w:rPr>
                <w:webHidden/>
              </w:rPr>
              <w:fldChar w:fldCharType="begin"/>
            </w:r>
            <w:r>
              <w:rPr>
                <w:webHidden/>
              </w:rPr>
              <w:instrText>PAGEREF _Toc182210499 \h</w:instrText>
            </w:r>
            <w:r>
              <w:rPr>
                <w:webHidden/>
              </w:rPr>
              <w:fldChar w:fldCharType="separate"/>
            </w:r>
            <w:r>
              <w:rPr>
                <w:vanish w:val="false"/>
              </w:rPr>
              <w:tab/>
              <w:t>78</w:t>
            </w:r>
            <w:r>
              <w:rPr>
                <w:webHidden/>
              </w:rPr>
              <w:fldChar w:fldCharType="end"/>
            </w:r>
          </w:hyperlink>
        </w:p>
        <w:p>
          <w:pPr>
            <w:pStyle w:val="21"/>
            <w:tabs>
              <w:tab w:val="clear" w:pos="708"/>
              <w:tab w:val="right" w:pos="9911" w:leader="dot"/>
            </w:tabs>
            <w:rPr>
              <w:rFonts w:ascii="Calibri" w:hAnsi="Calibri" w:eastAsia="" w:cs="" w:asciiTheme="minorHAnsi" w:cstheme="minorBidi" w:eastAsiaTheme="minorEastAsia" w:hAnsiTheme="minorHAnsi"/>
              <w:caps w:val="false"/>
              <w:smallCaps w:val="false"/>
              <w:sz w:val="22"/>
              <w:szCs w:val="22"/>
            </w:rPr>
          </w:pPr>
          <w:hyperlink w:anchor="_Toc182210500">
            <w:r>
              <w:rPr>
                <w:webHidden/>
              </w:rPr>
              <w:t>ГЛАВА 10. ЭКОЛОГИЧЕСКОЕ СОСТОЯНИЕ ТЕРРИТОРИИ</w:t>
            </w:r>
            <w:r>
              <w:rPr>
                <w:webHidden/>
              </w:rPr>
              <w:fldChar w:fldCharType="begin"/>
            </w:r>
            <w:r>
              <w:rPr>
                <w:webHidden/>
              </w:rPr>
              <w:instrText>PAGEREF _Toc182210500 \h</w:instrText>
            </w:r>
            <w:r>
              <w:rPr>
                <w:webHidden/>
              </w:rPr>
              <w:fldChar w:fldCharType="separate"/>
            </w:r>
            <w:r>
              <w:rPr>
                <w:vanish w:val="false"/>
              </w:rPr>
              <w:tab/>
              <w:t>80</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501">
            <w:r>
              <w:rPr>
                <w:webHidden/>
              </w:rPr>
              <w:t>10.1 Экологическое состояние территории</w:t>
            </w:r>
            <w:r>
              <w:rPr>
                <w:webHidden/>
              </w:rPr>
              <w:fldChar w:fldCharType="begin"/>
            </w:r>
            <w:r>
              <w:rPr>
                <w:webHidden/>
              </w:rPr>
              <w:instrText>PAGEREF _Toc182210501 \h</w:instrText>
            </w:r>
            <w:r>
              <w:rPr>
                <w:webHidden/>
              </w:rPr>
              <w:fldChar w:fldCharType="separate"/>
            </w:r>
            <w:r>
              <w:rPr>
                <w:vanish w:val="false"/>
              </w:rPr>
              <w:tab/>
              <w:t>80</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502">
            <w:r>
              <w:rPr>
                <w:webHidden/>
              </w:rPr>
              <w:t>10.2 Обращение с отходами</w:t>
            </w:r>
            <w:r>
              <w:rPr>
                <w:webHidden/>
              </w:rPr>
              <w:fldChar w:fldCharType="begin"/>
            </w:r>
            <w:r>
              <w:rPr>
                <w:webHidden/>
              </w:rPr>
              <w:instrText>PAGEREF _Toc182210502 \h</w:instrText>
            </w:r>
            <w:r>
              <w:rPr>
                <w:webHidden/>
              </w:rPr>
              <w:fldChar w:fldCharType="separate"/>
            </w:r>
            <w:r>
              <w:rPr>
                <w:vanish w:val="false"/>
              </w:rPr>
              <w:tab/>
              <w:t>80</w:t>
            </w:r>
            <w:r>
              <w:rPr>
                <w:webHidden/>
              </w:rPr>
              <w:fldChar w:fldCharType="end"/>
            </w:r>
          </w:hyperlink>
        </w:p>
        <w:p>
          <w:pPr>
            <w:pStyle w:val="21"/>
            <w:tabs>
              <w:tab w:val="clear" w:pos="708"/>
              <w:tab w:val="right" w:pos="9911" w:leader="dot"/>
            </w:tabs>
            <w:rPr>
              <w:rFonts w:ascii="Calibri" w:hAnsi="Calibri" w:eastAsia="" w:cs="" w:asciiTheme="minorHAnsi" w:cstheme="minorBidi" w:eastAsiaTheme="minorEastAsia" w:hAnsiTheme="minorHAnsi"/>
              <w:caps w:val="false"/>
              <w:smallCaps w:val="false"/>
              <w:sz w:val="22"/>
              <w:szCs w:val="22"/>
            </w:rPr>
          </w:pPr>
          <w:hyperlink w:anchor="_Toc182210503">
            <w:r>
              <w:rPr>
                <w:webHidden/>
              </w:rPr>
              <w:t>ГЛАВА 11. ЗОНЫ С ОСОБЫМИ УСЛОВИЯМИ ИСПОЛЬЗОВАНИЯ ТЕРРИТОРИЙ, ЗА ИСКЛЮЧЕНИЕМ ОХРАННЫХ ЗОН ОБЪЕКТОВ КУЛЬТУРНОГО НАСЛЕДИЯ</w:t>
            </w:r>
            <w:r>
              <w:rPr>
                <w:webHidden/>
              </w:rPr>
              <w:fldChar w:fldCharType="begin"/>
            </w:r>
            <w:r>
              <w:rPr>
                <w:webHidden/>
              </w:rPr>
              <w:instrText>PAGEREF _Toc182210503 \h</w:instrText>
            </w:r>
            <w:r>
              <w:rPr>
                <w:webHidden/>
              </w:rPr>
              <w:fldChar w:fldCharType="separate"/>
            </w:r>
            <w:r>
              <w:rPr>
                <w:vanish w:val="false"/>
              </w:rPr>
              <w:tab/>
              <w:t>83</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504">
            <w:r>
              <w:rPr>
                <w:webHidden/>
                <w:rFonts w:eastAsia="Tahoma"/>
              </w:rPr>
              <w:t xml:space="preserve">11.1 </w:t>
            </w:r>
            <w:r>
              <w:rPr/>
              <w:t>Санитарно-защитная зона</w:t>
            </w:r>
            <w:r>
              <w:rPr>
                <w:webHidden/>
              </w:rPr>
              <w:fldChar w:fldCharType="begin"/>
            </w:r>
            <w:r>
              <w:rPr>
                <w:webHidden/>
              </w:rPr>
              <w:instrText>PAGEREF _Toc182210504 \h</w:instrText>
            </w:r>
            <w:r>
              <w:rPr>
                <w:webHidden/>
              </w:rPr>
              <w:fldChar w:fldCharType="separate"/>
            </w:r>
            <w:r>
              <w:rPr>
                <w:vanish w:val="false"/>
              </w:rPr>
              <w:tab/>
              <w:t>83</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505">
            <w:r>
              <w:rPr>
                <w:webHidden/>
              </w:rPr>
              <w:t>11</w:t>
            </w:r>
            <w:r>
              <w:rPr>
                <w:rFonts w:eastAsia="Tahoma"/>
              </w:rPr>
              <w:t xml:space="preserve">.2 </w:t>
            </w:r>
            <w:r>
              <w:rPr/>
              <w:t>Водоохранная зона, прибрежная защитная полоса</w:t>
            </w:r>
            <w:r>
              <w:rPr>
                <w:webHidden/>
              </w:rPr>
              <w:fldChar w:fldCharType="begin"/>
            </w:r>
            <w:r>
              <w:rPr>
                <w:webHidden/>
              </w:rPr>
              <w:instrText>PAGEREF _Toc182210505 \h</w:instrText>
            </w:r>
            <w:r>
              <w:rPr>
                <w:webHidden/>
              </w:rPr>
              <w:fldChar w:fldCharType="separate"/>
            </w:r>
            <w:r>
              <w:rPr>
                <w:vanish w:val="false"/>
              </w:rPr>
              <w:tab/>
              <w:t>84</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506">
            <w:r>
              <w:rPr>
                <w:webHidden/>
              </w:rPr>
              <w:t>11.3 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r>
              <w:rPr>
                <w:webHidden/>
              </w:rPr>
              <w:fldChar w:fldCharType="begin"/>
            </w:r>
            <w:r>
              <w:rPr>
                <w:webHidden/>
              </w:rPr>
              <w:instrText>PAGEREF _Toc182210506 \h</w:instrText>
            </w:r>
            <w:r>
              <w:rPr>
                <w:webHidden/>
              </w:rPr>
              <w:fldChar w:fldCharType="separate"/>
            </w:r>
            <w:r>
              <w:rPr>
                <w:vanish w:val="false"/>
              </w:rPr>
              <w:tab/>
              <w:t>86</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507">
            <w:r>
              <w:rPr>
                <w:webHidden/>
              </w:rPr>
              <w:t>11.4 Охранная зона объектов электроэнергетики (объектов электросетевого хозяйства и объектов по производству электрической энергии), охранная зона трубопроводов (газопроводов, нефтепроводов и нефтепродуктопроводов, аммиакопроводов), охранная зона линий и сооружений связи, охранная зона тепловых сетей</w:t>
            </w:r>
            <w:r>
              <w:rPr>
                <w:webHidden/>
              </w:rPr>
              <w:fldChar w:fldCharType="begin"/>
            </w:r>
            <w:r>
              <w:rPr>
                <w:webHidden/>
              </w:rPr>
              <w:instrText>PAGEREF _Toc182210507 \h</w:instrText>
            </w:r>
            <w:r>
              <w:rPr>
                <w:webHidden/>
              </w:rPr>
              <w:fldChar w:fldCharType="separate"/>
            </w:r>
            <w:r>
              <w:rPr>
                <w:vanish w:val="false"/>
              </w:rPr>
              <w:tab/>
              <w:t>90</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508">
            <w:r>
              <w:rPr>
                <w:webHidden/>
              </w:rPr>
              <w:t>11.5 Придорожные полосы автомобильных дорог</w:t>
            </w:r>
            <w:r>
              <w:rPr>
                <w:webHidden/>
              </w:rPr>
              <w:fldChar w:fldCharType="begin"/>
            </w:r>
            <w:r>
              <w:rPr>
                <w:webHidden/>
              </w:rPr>
              <w:instrText>PAGEREF _Toc182210508 \h</w:instrText>
            </w:r>
            <w:r>
              <w:rPr>
                <w:webHidden/>
              </w:rPr>
              <w:fldChar w:fldCharType="separate"/>
            </w:r>
            <w:r>
              <w:rPr>
                <w:vanish w:val="false"/>
              </w:rPr>
              <w:tab/>
              <w:t>93</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509">
            <w:r>
              <w:rPr>
                <w:webHidden/>
              </w:rPr>
              <w:t xml:space="preserve">11.6 </w:t>
            </w:r>
            <w:r>
              <w:rPr>
                <w:bCs/>
              </w:rPr>
              <w:t>Охранная зона геодезических пунктов государственной геодезической сети, нивелирных пунктов государственной нивелирной сети и гравиметрических пунктов государственной гравиметрической сети</w:t>
            </w:r>
            <w:r>
              <w:rPr>
                <w:webHidden/>
              </w:rPr>
              <w:fldChar w:fldCharType="begin"/>
            </w:r>
            <w:r>
              <w:rPr>
                <w:webHidden/>
              </w:rPr>
              <w:instrText>PAGEREF _Toc182210509 \h</w:instrText>
            </w:r>
            <w:r>
              <w:rPr>
                <w:webHidden/>
              </w:rPr>
              <w:fldChar w:fldCharType="separate"/>
            </w:r>
            <w:r>
              <w:rPr>
                <w:vanish w:val="false"/>
              </w:rPr>
              <w:tab/>
              <w:t>93</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510">
            <w:r>
              <w:rPr>
                <w:webHidden/>
                <w:rFonts w:eastAsia="Tahoma"/>
              </w:rPr>
              <w:t xml:space="preserve">11.6 </w:t>
            </w:r>
            <w:r>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r>
              <w:rPr>
                <w:webHidden/>
              </w:rPr>
              <w:fldChar w:fldCharType="begin"/>
            </w:r>
            <w:r>
              <w:rPr>
                <w:webHidden/>
              </w:rPr>
              <w:instrText>PAGEREF _Toc182210510 \h</w:instrText>
            </w:r>
            <w:r>
              <w:rPr>
                <w:webHidden/>
              </w:rPr>
              <w:fldChar w:fldCharType="separate"/>
            </w:r>
            <w:r>
              <w:rPr>
                <w:vanish w:val="false"/>
              </w:rPr>
              <w:tab/>
              <w:t>94</w:t>
            </w:r>
            <w:r>
              <w:rPr>
                <w:webHidden/>
              </w:rPr>
              <w:fldChar w:fldCharType="end"/>
            </w:r>
          </w:hyperlink>
        </w:p>
        <w:p>
          <w:pPr>
            <w:pStyle w:val="21"/>
            <w:tabs>
              <w:tab w:val="clear" w:pos="708"/>
              <w:tab w:val="right" w:pos="9911" w:leader="dot"/>
            </w:tabs>
            <w:rPr>
              <w:rFonts w:ascii="Calibri" w:hAnsi="Calibri" w:eastAsia="" w:cs="" w:asciiTheme="minorHAnsi" w:cstheme="minorBidi" w:eastAsiaTheme="minorEastAsia" w:hAnsiTheme="minorHAnsi"/>
              <w:caps w:val="false"/>
              <w:smallCaps w:val="false"/>
              <w:sz w:val="22"/>
              <w:szCs w:val="22"/>
            </w:rPr>
          </w:pPr>
          <w:hyperlink w:anchor="_Toc182210511">
            <w:r>
              <w:rPr>
                <w:webHidden/>
              </w:rPr>
              <w:t>ГЛАВА 12. ОСОБО ОХРАНЯЕМЫЕ ПРИРОДНЫЕ ТЕРРИТОРИИ И ОБЪЕКТЫ КУЛЬТУРНОГО НАСЛЕДИЯ. ЗОНЫ С ОСОБЫМИ УСЛОВИЯМИ ИСПОЛЬЗОВАНИЯ ТЕРРИТОРИЙ, УСТАНАВЛИВАЕМЫЕ В СООТВЕТСТВИИ С ЗАКОНОДАТЕЛЬСТВОМ РОССИЙСКОЙ ФЕДЕРАЦИИ ПО УСЛОВИЯМ ОХРАНЫ ОБЪЕКТОВ КУЛЬТУРНОГО НАСЛЕДИЯ</w:t>
            </w:r>
            <w:r>
              <w:rPr>
                <w:webHidden/>
              </w:rPr>
              <w:fldChar w:fldCharType="begin"/>
            </w:r>
            <w:r>
              <w:rPr>
                <w:webHidden/>
              </w:rPr>
              <w:instrText>PAGEREF _Toc182210511 \h</w:instrText>
            </w:r>
            <w:r>
              <w:rPr>
                <w:webHidden/>
              </w:rPr>
              <w:fldChar w:fldCharType="separate"/>
            </w:r>
            <w:r>
              <w:rPr>
                <w:vanish w:val="false"/>
              </w:rPr>
              <w:tab/>
              <w:t>96</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512">
            <w:r>
              <w:rPr>
                <w:webHidden/>
              </w:rPr>
              <w:t>12.1 Особо охраняемые природные территории</w:t>
            </w:r>
            <w:r>
              <w:rPr>
                <w:webHidden/>
              </w:rPr>
              <w:fldChar w:fldCharType="begin"/>
            </w:r>
            <w:r>
              <w:rPr>
                <w:webHidden/>
              </w:rPr>
              <w:instrText>PAGEREF _Toc182210512 \h</w:instrText>
            </w:r>
            <w:r>
              <w:rPr>
                <w:webHidden/>
              </w:rPr>
              <w:fldChar w:fldCharType="separate"/>
            </w:r>
            <w:r>
              <w:rPr>
                <w:vanish w:val="false"/>
              </w:rPr>
              <w:tab/>
              <w:t>96</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513">
            <w:r>
              <w:rPr>
                <w:webHidden/>
              </w:rPr>
              <w:t>12.2 Объекты культурного наследия</w:t>
            </w:r>
            <w:r>
              <w:rPr>
                <w:webHidden/>
              </w:rPr>
              <w:fldChar w:fldCharType="begin"/>
            </w:r>
            <w:r>
              <w:rPr>
                <w:webHidden/>
              </w:rPr>
              <w:instrText>PAGEREF _Toc182210513 \h</w:instrText>
            </w:r>
            <w:r>
              <w:rPr>
                <w:webHidden/>
              </w:rPr>
              <w:fldChar w:fldCharType="separate"/>
            </w:r>
            <w:r>
              <w:rPr>
                <w:vanish w:val="false"/>
              </w:rPr>
              <w:tab/>
              <w:t>96</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514">
            <w:r>
              <w:rPr>
                <w:webHidden/>
              </w:rPr>
              <w:t>12.3 Мероприятия, направленные на сохранение объектов культурного наследия</w:t>
            </w:r>
            <w:r>
              <w:rPr>
                <w:webHidden/>
              </w:rPr>
              <w:fldChar w:fldCharType="begin"/>
            </w:r>
            <w:r>
              <w:rPr>
                <w:webHidden/>
              </w:rPr>
              <w:instrText>PAGEREF _Toc182210514 \h</w:instrText>
            </w:r>
            <w:r>
              <w:rPr>
                <w:webHidden/>
              </w:rPr>
              <w:fldChar w:fldCharType="separate"/>
            </w:r>
            <w:r>
              <w:rPr>
                <w:vanish w:val="false"/>
              </w:rPr>
              <w:tab/>
              <w:t>100</w:t>
            </w:r>
            <w:r>
              <w:rPr>
                <w:webHidden/>
              </w:rPr>
              <w:fldChar w:fldCharType="end"/>
            </w:r>
          </w:hyperlink>
        </w:p>
        <w:p>
          <w:pPr>
            <w:pStyle w:val="21"/>
            <w:tabs>
              <w:tab w:val="clear" w:pos="708"/>
              <w:tab w:val="right" w:pos="9911" w:leader="dot"/>
            </w:tabs>
            <w:rPr>
              <w:rFonts w:ascii="Calibri" w:hAnsi="Calibri" w:eastAsia="" w:cs="" w:asciiTheme="minorHAnsi" w:cstheme="minorBidi" w:eastAsiaTheme="minorEastAsia" w:hAnsiTheme="minorHAnsi"/>
              <w:caps w:val="false"/>
              <w:smallCaps w:val="false"/>
              <w:sz w:val="22"/>
              <w:szCs w:val="22"/>
            </w:rPr>
          </w:pPr>
          <w:hyperlink w:anchor="_Toc182210515">
            <w:r>
              <w:rPr>
                <w:webHidden/>
              </w:rPr>
              <w:t>ГЛАВА 13. МЕСТОРОЖДЕНИЯ И ПРОЯВЛЕНИЯ ПОЛЕЗНЫХ ИСКОПАЕМЫХ</w:t>
            </w:r>
            <w:r>
              <w:rPr>
                <w:webHidden/>
              </w:rPr>
              <w:fldChar w:fldCharType="begin"/>
            </w:r>
            <w:r>
              <w:rPr>
                <w:webHidden/>
              </w:rPr>
              <w:instrText>PAGEREF _Toc182210515 \h</w:instrText>
            </w:r>
            <w:r>
              <w:rPr>
                <w:webHidden/>
              </w:rPr>
              <w:fldChar w:fldCharType="separate"/>
            </w:r>
            <w:r>
              <w:rPr>
                <w:vanish w:val="false"/>
              </w:rPr>
              <w:tab/>
              <w:t>102</w:t>
            </w:r>
            <w:r>
              <w:rPr>
                <w:webHidden/>
              </w:rPr>
              <w:fldChar w:fldCharType="end"/>
            </w:r>
          </w:hyperlink>
        </w:p>
        <w:p>
          <w:pPr>
            <w:pStyle w:val="41"/>
            <w:tabs>
              <w:tab w:val="clear" w:pos="708"/>
              <w:tab w:val="right" w:pos="9911" w:leader="dot"/>
            </w:tabs>
            <w:rPr>
              <w:rFonts w:ascii="Calibri" w:hAnsi="Calibri" w:eastAsia="" w:cs="" w:asciiTheme="minorHAnsi" w:cstheme="minorBidi" w:eastAsiaTheme="minorEastAsia" w:hAnsiTheme="minorHAnsi"/>
              <w:sz w:val="22"/>
              <w:szCs w:val="22"/>
              <w:lang w:eastAsia="ru-RU"/>
            </w:rPr>
          </w:pPr>
          <w:hyperlink w:anchor="_Toc182210516">
            <w:r>
              <w:rPr>
                <w:webHidden/>
              </w:rPr>
              <w:t>13.1 Участки недр, предоставленных для добычи полезных ископаемых, а также в целях, не связанных с их добычей</w:t>
            </w:r>
            <w:r>
              <w:rPr>
                <w:webHidden/>
              </w:rPr>
              <w:fldChar w:fldCharType="begin"/>
            </w:r>
            <w:r>
              <w:rPr>
                <w:webHidden/>
              </w:rPr>
              <w:instrText>PAGEREF _Toc182210516 \h</w:instrText>
            </w:r>
            <w:r>
              <w:rPr>
                <w:webHidden/>
              </w:rPr>
              <w:fldChar w:fldCharType="separate"/>
            </w:r>
            <w:r>
              <w:rPr>
                <w:vanish w:val="false"/>
              </w:rPr>
              <w:tab/>
              <w:t>102</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517">
            <w:r>
              <w:rPr>
                <w:webHidden/>
              </w:rPr>
              <w:t>13.2 Месторождения и проявления полезных ископаемых</w:t>
            </w:r>
            <w:r>
              <w:rPr>
                <w:webHidden/>
              </w:rPr>
              <w:fldChar w:fldCharType="begin"/>
            </w:r>
            <w:r>
              <w:rPr>
                <w:webHidden/>
              </w:rPr>
              <w:instrText>PAGEREF _Toc182210517 \h</w:instrText>
            </w:r>
            <w:r>
              <w:rPr>
                <w:webHidden/>
              </w:rPr>
              <w:fldChar w:fldCharType="separate"/>
            </w:r>
            <w:r>
              <w:rPr>
                <w:vanish w:val="false"/>
              </w:rPr>
              <w:tab/>
              <w:t>102</w:t>
            </w:r>
            <w:r>
              <w:rPr>
                <w:webHidden/>
              </w:rPr>
              <w:fldChar w:fldCharType="end"/>
            </w:r>
          </w:hyperlink>
        </w:p>
        <w:p>
          <w:pPr>
            <w:pStyle w:val="21"/>
            <w:tabs>
              <w:tab w:val="clear" w:pos="708"/>
              <w:tab w:val="right" w:pos="9911" w:leader="dot"/>
            </w:tabs>
            <w:rPr>
              <w:rFonts w:ascii="Calibri" w:hAnsi="Calibri" w:eastAsia="" w:cs="" w:asciiTheme="minorHAnsi" w:cstheme="minorBidi" w:eastAsiaTheme="minorEastAsia" w:hAnsiTheme="minorHAnsi"/>
              <w:caps w:val="false"/>
              <w:smallCaps w:val="false"/>
              <w:sz w:val="22"/>
              <w:szCs w:val="22"/>
            </w:rPr>
          </w:pPr>
          <w:hyperlink w:anchor="_Toc182210518">
            <w:r>
              <w:rPr>
                <w:webHidden/>
              </w:rPr>
              <w:t>ГЛАВА 14. ПЕРЕЧЕНЬ МЕРОПРИЯТИЙ ПО ОХРАНЕ ОКРУЖАЮЩЕЙ СРЕДЫ</w:t>
            </w:r>
            <w:r>
              <w:rPr>
                <w:webHidden/>
              </w:rPr>
              <w:fldChar w:fldCharType="begin"/>
            </w:r>
            <w:r>
              <w:rPr>
                <w:webHidden/>
              </w:rPr>
              <w:instrText>PAGEREF _Toc182210518 \h</w:instrText>
            </w:r>
            <w:r>
              <w:rPr>
                <w:webHidden/>
              </w:rPr>
              <w:fldChar w:fldCharType="separate"/>
            </w:r>
            <w:r>
              <w:rPr>
                <w:vanish w:val="false"/>
              </w:rPr>
              <w:tab/>
              <w:t>104</w:t>
            </w:r>
            <w:r>
              <w:rPr>
                <w:webHidden/>
              </w:rPr>
              <w:fldChar w:fldCharType="end"/>
            </w:r>
          </w:hyperlink>
        </w:p>
        <w:p>
          <w:pPr>
            <w:pStyle w:val="1"/>
            <w:tabs>
              <w:tab w:val="clear" w:pos="708"/>
              <w:tab w:val="right" w:pos="9911" w:leader="dot"/>
            </w:tabs>
            <w:rPr>
              <w:rFonts w:ascii="Calibri" w:hAnsi="Calibri" w:eastAsia="" w:cs="" w:asciiTheme="minorHAnsi" w:cstheme="minorBidi" w:eastAsiaTheme="minorEastAsia" w:hAnsiTheme="minorHAnsi"/>
              <w:bCs w:val="false"/>
              <w:caps w:val="false"/>
              <w:smallCaps w:val="false"/>
              <w:sz w:val="22"/>
              <w:szCs w:val="22"/>
            </w:rPr>
          </w:pPr>
          <w:hyperlink w:anchor="_Toc182210519">
            <w:r>
              <w:rPr>
                <w:webHidden/>
              </w:rPr>
              <w:t>РАЗДЕЛ 4. МЕРОПРИЯТИЯ ПО УСТАНОВЛЕНИЮ ИЛИ ИЗМЕНЕНИЮ ГРАНИЦ НАСЕЛЕННЫХ ПУНКТОВ, ВХОДЯЩИХ В СОСТАВ ПОСЕЛЕНИЯ ИЛИ ГОРОДСКОГО ОКРУГА</w:t>
            </w:r>
            <w:r>
              <w:rPr>
                <w:webHidden/>
              </w:rPr>
              <w:fldChar w:fldCharType="begin"/>
            </w:r>
            <w:r>
              <w:rPr>
                <w:webHidden/>
              </w:rPr>
              <w:instrText>PAGEREF _Toc182210519 \h</w:instrText>
            </w:r>
            <w:r>
              <w:rPr>
                <w:webHidden/>
              </w:rPr>
              <w:fldChar w:fldCharType="separate"/>
            </w:r>
            <w:r>
              <w:rPr>
                <w:vanish w:val="false"/>
              </w:rPr>
              <w:tab/>
              <w:t>106</w:t>
            </w:r>
            <w:r>
              <w:rPr>
                <w:webHidden/>
              </w:rPr>
              <w:fldChar w:fldCharType="end"/>
            </w:r>
          </w:hyperlink>
        </w:p>
        <w:p>
          <w:pPr>
            <w:pStyle w:val="21"/>
            <w:tabs>
              <w:tab w:val="clear" w:pos="708"/>
              <w:tab w:val="right" w:pos="9911" w:leader="dot"/>
            </w:tabs>
            <w:rPr>
              <w:rFonts w:ascii="Calibri" w:hAnsi="Calibri" w:eastAsia="" w:cs="" w:asciiTheme="minorHAnsi" w:cstheme="minorBidi" w:eastAsiaTheme="minorEastAsia" w:hAnsiTheme="minorHAnsi"/>
              <w:caps w:val="false"/>
              <w:smallCaps w:val="false"/>
              <w:sz w:val="22"/>
              <w:szCs w:val="22"/>
            </w:rPr>
          </w:pPr>
          <w:hyperlink w:anchor="_Toc182210520">
            <w:r>
              <w:rPr>
                <w:webHidden/>
              </w:rPr>
              <w:t>ГЛАВА 1. УСТАНОВЛЕНИЕ ИЛИ ИЗМЕНЕНИЕ ГРАНИЦ НАСЕЛЕННЫХ ПУНКТОВ</w:t>
            </w:r>
            <w:r>
              <w:rPr>
                <w:webHidden/>
              </w:rPr>
              <w:fldChar w:fldCharType="begin"/>
            </w:r>
            <w:r>
              <w:rPr>
                <w:webHidden/>
              </w:rPr>
              <w:instrText>PAGEREF _Toc182210520 \h</w:instrText>
            </w:r>
            <w:r>
              <w:rPr>
                <w:webHidden/>
              </w:rPr>
              <w:fldChar w:fldCharType="separate"/>
            </w:r>
            <w:r>
              <w:rPr>
                <w:vanish w:val="false"/>
              </w:rPr>
              <w:tab/>
              <w:t>106</w:t>
            </w:r>
            <w:r>
              <w:rPr>
                <w:webHidden/>
              </w:rPr>
              <w:fldChar w:fldCharType="end"/>
            </w:r>
          </w:hyperlink>
        </w:p>
        <w:p>
          <w:pPr>
            <w:pStyle w:val="21"/>
            <w:tabs>
              <w:tab w:val="clear" w:pos="708"/>
              <w:tab w:val="right" w:pos="9911" w:leader="dot"/>
            </w:tabs>
            <w:rPr>
              <w:rFonts w:ascii="Calibri" w:hAnsi="Calibri" w:eastAsia="" w:cs="" w:asciiTheme="minorHAnsi" w:cstheme="minorBidi" w:eastAsiaTheme="minorEastAsia" w:hAnsiTheme="minorHAnsi"/>
              <w:caps w:val="false"/>
              <w:smallCaps w:val="false"/>
              <w:sz w:val="22"/>
              <w:szCs w:val="22"/>
            </w:rPr>
          </w:pPr>
          <w:hyperlink w:anchor="_Toc182210521">
            <w:r>
              <w:rPr>
                <w:webHidden/>
              </w:rPr>
              <w:t>ГЛАВА 2. ПЕРЕЧЕНЬ ЗЕМЕЛЬНЫХ УЧАСТКОВ, КОТОРЫЕ ВКЛЮЧАЮТСЯ В ГРАНИЦЫ НАСЕЛЕННЫХ ПУНКТОВ, ВХОДЯЩИХ В СОСТАВ ПОСЕЛЕНИЯ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r>
              <w:rPr>
                <w:webHidden/>
              </w:rPr>
              <w:fldChar w:fldCharType="begin"/>
            </w:r>
            <w:r>
              <w:rPr>
                <w:webHidden/>
              </w:rPr>
              <w:instrText>PAGEREF _Toc182210521 \h</w:instrText>
            </w:r>
            <w:r>
              <w:rPr>
                <w:webHidden/>
              </w:rPr>
              <w:fldChar w:fldCharType="separate"/>
            </w:r>
            <w:r>
              <w:rPr>
                <w:vanish w:val="false"/>
              </w:rPr>
              <w:tab/>
              <w:t>109</w:t>
            </w:r>
            <w:r>
              <w:rPr>
                <w:webHidden/>
              </w:rPr>
              <w:fldChar w:fldCharType="end"/>
            </w:r>
          </w:hyperlink>
        </w:p>
        <w:p>
          <w:pPr>
            <w:pStyle w:val="1"/>
            <w:tabs>
              <w:tab w:val="clear" w:pos="708"/>
              <w:tab w:val="right" w:pos="9911" w:leader="dot"/>
            </w:tabs>
            <w:rPr>
              <w:rFonts w:ascii="Calibri" w:hAnsi="Calibri" w:eastAsia="" w:cs="" w:asciiTheme="minorHAnsi" w:cstheme="minorBidi" w:eastAsiaTheme="minorEastAsia" w:hAnsiTheme="minorHAnsi"/>
              <w:bCs w:val="false"/>
              <w:caps w:val="false"/>
              <w:smallCaps w:val="false"/>
              <w:sz w:val="22"/>
              <w:szCs w:val="22"/>
            </w:rPr>
          </w:pPr>
          <w:hyperlink w:anchor="_Toc182210522">
            <w:r>
              <w:rPr>
                <w:webHidden/>
              </w:rPr>
              <w:t>РАЗДЕЛ 5. ПЕРЕЧЕНЬ И ХАРАКТЕРИСТИКА ОСНОВНЫХ ФАКТОРОВ РИСКА ВОЗНИКНОВЕНИЯ ЧРЕЗВЫЧАЙНЫХ СИТУАЦИЙ ПРИРОДНОГО И ТЕХНОГЕННОГО ХАРАКТЕРА</w:t>
            </w:r>
            <w:r>
              <w:rPr>
                <w:webHidden/>
              </w:rPr>
              <w:fldChar w:fldCharType="begin"/>
            </w:r>
            <w:r>
              <w:rPr>
                <w:webHidden/>
              </w:rPr>
              <w:instrText>PAGEREF _Toc182210522 \h</w:instrText>
            </w:r>
            <w:r>
              <w:rPr>
                <w:webHidden/>
              </w:rPr>
              <w:fldChar w:fldCharType="separate"/>
            </w:r>
            <w:r>
              <w:rPr>
                <w:vanish w:val="false"/>
              </w:rPr>
              <w:tab/>
              <w:t>111</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523">
            <w:r>
              <w:rPr>
                <w:webHidden/>
                <w:bCs/>
              </w:rPr>
              <w:t xml:space="preserve">5.1 </w:t>
            </w:r>
            <w:r>
              <w:rPr/>
              <w:t>Перечень</w:t>
            </w:r>
            <w:r>
              <w:rPr>
                <w:bCs/>
              </w:rPr>
              <w:t xml:space="preserve"> возможных источников чрезвычайных ситуаций природного характера</w:t>
            </w:r>
            <w:r>
              <w:rPr>
                <w:webHidden/>
              </w:rPr>
              <w:fldChar w:fldCharType="begin"/>
            </w:r>
            <w:r>
              <w:rPr>
                <w:webHidden/>
              </w:rPr>
              <w:instrText>PAGEREF _Toc182210523 \h</w:instrText>
            </w:r>
            <w:r>
              <w:rPr>
                <w:webHidden/>
              </w:rPr>
              <w:fldChar w:fldCharType="separate"/>
            </w:r>
            <w:r>
              <w:rPr>
                <w:vanish w:val="false"/>
              </w:rPr>
              <w:tab/>
              <w:t>112</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524">
            <w:r>
              <w:rPr>
                <w:webHidden/>
                <w:bCs/>
              </w:rPr>
              <w:t>5.2 Перечень возможных источников чрезвычайных ситуаций техногенного характера</w:t>
            </w:r>
            <w:r>
              <w:rPr>
                <w:webHidden/>
              </w:rPr>
              <w:fldChar w:fldCharType="begin"/>
            </w:r>
            <w:r>
              <w:rPr>
                <w:webHidden/>
              </w:rPr>
              <w:instrText>PAGEREF _Toc182210524 \h</w:instrText>
            </w:r>
            <w:r>
              <w:rPr>
                <w:webHidden/>
              </w:rPr>
              <w:fldChar w:fldCharType="separate"/>
            </w:r>
            <w:r>
              <w:rPr>
                <w:vanish w:val="false"/>
              </w:rPr>
              <w:tab/>
              <w:t>115</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525">
            <w:r>
              <w:rPr>
                <w:webHidden/>
                <w:bCs/>
              </w:rPr>
              <w:t>5.3 Перечень возможных источников чрезвычайных ситуаций биолого-социального характера</w:t>
            </w:r>
            <w:r>
              <w:rPr>
                <w:webHidden/>
              </w:rPr>
              <w:fldChar w:fldCharType="begin"/>
            </w:r>
            <w:r>
              <w:rPr>
                <w:webHidden/>
              </w:rPr>
              <w:instrText>PAGEREF _Toc182210525 \h</w:instrText>
            </w:r>
            <w:r>
              <w:rPr>
                <w:webHidden/>
              </w:rPr>
              <w:fldChar w:fldCharType="separate"/>
            </w:r>
            <w:r>
              <w:rPr>
                <w:vanish w:val="false"/>
              </w:rPr>
              <w:tab/>
              <w:t>124</w:t>
            </w:r>
            <w:r>
              <w:rPr>
                <w:webHidden/>
              </w:rPr>
              <w:fldChar w:fldCharType="end"/>
            </w:r>
          </w:hyperlink>
        </w:p>
        <w:p>
          <w:pPr>
            <w:pStyle w:val="31"/>
            <w:tabs>
              <w:tab w:val="clear" w:pos="708"/>
              <w:tab w:val="right" w:pos="9911" w:leader="dot"/>
            </w:tabs>
            <w:rPr>
              <w:rFonts w:ascii="Calibri" w:hAnsi="Calibri" w:eastAsia="" w:cs="" w:asciiTheme="minorHAnsi" w:cstheme="minorBidi" w:eastAsiaTheme="minorEastAsia" w:hAnsiTheme="minorHAnsi"/>
              <w:iCs w:val="false"/>
              <w:sz w:val="22"/>
              <w:szCs w:val="22"/>
            </w:rPr>
          </w:pPr>
          <w:hyperlink w:anchor="_Toc182210526">
            <w:r>
              <w:rPr>
                <w:webHidden/>
                <w:bCs/>
              </w:rPr>
              <w:t>5.4 Перечень мероприятий по обеспечению пожарной безопасности</w:t>
            </w:r>
            <w:r>
              <w:rPr>
                <w:webHidden/>
              </w:rPr>
              <w:fldChar w:fldCharType="begin"/>
            </w:r>
            <w:r>
              <w:rPr>
                <w:webHidden/>
              </w:rPr>
              <w:instrText>PAGEREF _Toc182210526 \h</w:instrText>
            </w:r>
            <w:r>
              <w:rPr>
                <w:webHidden/>
              </w:rPr>
              <w:fldChar w:fldCharType="separate"/>
            </w:r>
            <w:r>
              <w:rPr>
                <w:vanish w:val="false"/>
              </w:rPr>
              <w:tab/>
              <w:t>124</w:t>
            </w:r>
            <w:r>
              <w:rPr>
                <w:webHidden/>
              </w:rPr>
              <w:fldChar w:fldCharType="end"/>
            </w:r>
          </w:hyperlink>
        </w:p>
        <w:p>
          <w:pPr>
            <w:pStyle w:val="1"/>
            <w:tabs>
              <w:tab w:val="clear" w:pos="708"/>
              <w:tab w:val="right" w:pos="9911" w:leader="dot"/>
            </w:tabs>
            <w:rPr>
              <w:rFonts w:ascii="Calibri" w:hAnsi="Calibri" w:eastAsia="" w:cs="" w:asciiTheme="minorHAnsi" w:cstheme="minorBidi" w:eastAsiaTheme="minorEastAsia" w:hAnsiTheme="minorHAnsi"/>
              <w:bCs w:val="false"/>
              <w:caps w:val="false"/>
              <w:smallCaps w:val="false"/>
              <w:sz w:val="22"/>
              <w:szCs w:val="22"/>
            </w:rPr>
          </w:pPr>
          <w:hyperlink w:anchor="_Toc182210527">
            <w:r>
              <w:rPr>
                <w:webHidden/>
              </w:rPr>
              <w:t>РАЗДЕЛ 6. ОЦЕНКА ВОЗМОЖНОГО ВЛИЯНИЯ ПЛАНИРУЕМЫХ ДЛЯ РАЗМЕЩЕНИЯ ОБЪЕКТОВ МЕСТНОГО ЗНАЧЕНИЯ ПОСЕЛЕНИЯ НА КОМПЛЕКСНОЕ РАЗВИТИЕ ТЕРРИТОРИИ</w:t>
            </w:r>
            <w:r>
              <w:rPr>
                <w:webHidden/>
              </w:rPr>
              <w:fldChar w:fldCharType="begin"/>
            </w:r>
            <w:r>
              <w:rPr>
                <w:webHidden/>
              </w:rPr>
              <w:instrText>PAGEREF _Toc182210527 \h</w:instrText>
            </w:r>
            <w:r>
              <w:rPr>
                <w:webHidden/>
              </w:rPr>
              <w:fldChar w:fldCharType="separate"/>
            </w:r>
            <w:r>
              <w:rPr>
                <w:vanish w:val="false"/>
              </w:rPr>
              <w:tab/>
              <w:t>135</w:t>
            </w:r>
            <w:r>
              <w:rPr>
                <w:webHidden/>
              </w:rPr>
              <w:fldChar w:fldCharType="end"/>
            </w:r>
          </w:hyperlink>
        </w:p>
        <w:p>
          <w:pPr>
            <w:pStyle w:val="1"/>
            <w:tabs>
              <w:tab w:val="clear" w:pos="708"/>
              <w:tab w:val="right" w:pos="9911" w:leader="dot"/>
            </w:tabs>
            <w:rPr>
              <w:rFonts w:ascii="Calibri" w:hAnsi="Calibri" w:eastAsia="" w:cs="" w:asciiTheme="minorHAnsi" w:cstheme="minorBidi" w:eastAsiaTheme="minorEastAsia" w:hAnsiTheme="minorHAnsi"/>
              <w:bCs w:val="false"/>
              <w:caps w:val="false"/>
              <w:smallCaps w:val="false"/>
              <w:sz w:val="22"/>
              <w:szCs w:val="22"/>
            </w:rPr>
          </w:pPr>
          <w:hyperlink w:anchor="_Toc182210528">
            <w:r>
              <w:rPr>
                <w:webHidden/>
              </w:rPr>
              <w:t xml:space="preserve">РАЗДЕЛ 7. ОСНОВНЫЕ ТЕХНИКО-ЭКОНОМИЧЕСКИЕ ПОКАЗАТЕЛИ ГЕНЕРАЛЬНОГО ПЛАНА </w:t>
            </w:r>
            <w:r>
              <w:rPr>
                <w:rFonts w:eastAsia="Calibri" w:eastAsiaTheme="minorHAnsi"/>
              </w:rPr>
              <w:t>ПОСЕЛЕНИЯ</w:t>
            </w:r>
            <w:r>
              <w:rPr>
                <w:webHidden/>
              </w:rPr>
              <w:fldChar w:fldCharType="begin"/>
            </w:r>
            <w:r>
              <w:rPr>
                <w:webHidden/>
              </w:rPr>
              <w:instrText>PAGEREF _Toc182210528 \h</w:instrText>
            </w:r>
            <w:r>
              <w:rPr>
                <w:webHidden/>
              </w:rPr>
              <w:fldChar w:fldCharType="separate"/>
            </w:r>
            <w:r>
              <w:rPr>
                <w:vanish w:val="false"/>
              </w:rPr>
              <w:tab/>
              <w:t>136</w:t>
            </w:r>
            <w:r>
              <w:rPr>
                <w:webHidden/>
              </w:rPr>
              <w:fldChar w:fldCharType="end"/>
            </w:r>
          </w:hyperlink>
        </w:p>
        <w:p>
          <w:pPr>
            <w:pStyle w:val="1"/>
            <w:tabs>
              <w:tab w:val="clear" w:pos="708"/>
              <w:tab w:val="right" w:pos="9911" w:leader="dot"/>
            </w:tabs>
            <w:rPr>
              <w:szCs w:val="24"/>
            </w:rPr>
          </w:pPr>
          <w:r>
            <w:rPr>
              <w:szCs w:val="24"/>
            </w:rPr>
          </w:r>
          <w:r>
            <w:rPr>
              <w:szCs w:val="24"/>
            </w:rPr>
            <w:fldChar w:fldCharType="end"/>
          </w:r>
        </w:p>
        <w:p>
          <w:pPr>
            <w:sectPr>
              <w:headerReference w:type="default" r:id="rId16"/>
              <w:footerReference w:type="default" r:id="rId17"/>
              <w:type w:val="nextPage"/>
              <w:pgSz w:w="11906" w:h="16838"/>
              <w:pgMar w:left="1418" w:right="567" w:header="567" w:top="1134" w:footer="567" w:bottom="1134" w:gutter="0"/>
              <w:pgNumType w:fmt="decimal"/>
              <w:formProt w:val="false"/>
              <w:textDirection w:val="lrTb"/>
              <w:docGrid w:type="default" w:linePitch="600" w:charSpace="32768"/>
            </w:sectPr>
          </w:pPr>
        </w:p>
      </w:sdtContent>
    </w:sdt>
    <w:p>
      <w:pPr>
        <w:sectPr>
          <w:headerReference w:type="default" r:id="rId18"/>
          <w:footerReference w:type="default" r:id="rId19"/>
          <w:type w:val="continuous"/>
          <w:pgSz w:w="11906" w:h="16838"/>
          <w:pgMar w:left="1418" w:right="567" w:header="567" w:top="1134" w:footer="567" w:bottom="1134" w:gutter="0"/>
          <w:pgNumType w:fmt="decimal"/>
          <w:formProt w:val="false"/>
          <w:textDirection w:val="lrTb"/>
          <w:docGrid w:type="default" w:linePitch="600" w:charSpace="32768"/>
        </w:sectPr>
        <w:pStyle w:val="Normal"/>
        <w:rPr/>
      </w:pPr>
      <w:r>
        <w:rPr/>
      </w:r>
    </w:p>
    <w:p>
      <w:pPr>
        <w:pStyle w:val="021216"/>
        <w:rPr/>
      </w:pPr>
      <w:bookmarkStart w:id="9" w:name="_Toc529883694"/>
      <w:bookmarkStart w:id="10" w:name="_Toc182210439"/>
      <w:bookmarkStart w:id="11" w:name="_Toc69297512"/>
      <w:bookmarkStart w:id="12" w:name="_Toc464044820"/>
      <w:bookmarkStart w:id="13" w:name="_Toc463611219"/>
      <w:bookmarkStart w:id="14" w:name="_Toc463606271"/>
      <w:bookmarkEnd w:id="9"/>
      <w:r>
        <w:rPr/>
        <w:t>ВВЕДЕНИЕ</w:t>
      </w:r>
      <w:bookmarkEnd w:id="10"/>
      <w:bookmarkEnd w:id="11"/>
      <w:bookmarkEnd w:id="12"/>
      <w:bookmarkEnd w:id="13"/>
      <w:bookmarkEnd w:id="14"/>
    </w:p>
    <w:p>
      <w:pPr>
        <w:pStyle w:val="Normal"/>
        <w:tabs>
          <w:tab w:val="clear" w:pos="708"/>
          <w:tab w:val="left" w:pos="825" w:leader="none"/>
          <w:tab w:val="center" w:pos="4677" w:leader="none"/>
        </w:tabs>
        <w:spacing w:lineRule="auto" w:line="276"/>
        <w:ind w:firstLine="709"/>
        <w:rPr>
          <w:szCs w:val="24"/>
        </w:rPr>
      </w:pPr>
      <w:r>
        <w:rPr>
          <w:szCs w:val="24"/>
        </w:rPr>
        <w:t>Действующий генеральный план Катенинского сельского поселения утвержден Решением собрание депутатов Варненского муниципального района Челябинской области от 11.11.2022 № 93, предусмотренном Градостроительным кодексом Российской Федерации от 29.12.2004 № 190-ФЗ.</w:t>
      </w:r>
    </w:p>
    <w:p>
      <w:pPr>
        <w:pStyle w:val="Normal"/>
        <w:tabs>
          <w:tab w:val="clear" w:pos="708"/>
          <w:tab w:val="left" w:pos="825" w:leader="none"/>
          <w:tab w:val="center" w:pos="4677" w:leader="none"/>
        </w:tabs>
        <w:spacing w:lineRule="auto" w:line="276"/>
        <w:ind w:firstLine="709"/>
        <w:rPr>
          <w:szCs w:val="24"/>
        </w:rPr>
      </w:pPr>
      <w:r>
        <w:rPr>
          <w:szCs w:val="24"/>
        </w:rPr>
        <w:t>Генеральный план Катенинского сельского поселения разработан Обществом с ограниченной ответственностью Научно-исследовательским институтом «Земля и город» в соответствии с муниципальным контрактом № 0369300207124000111 от 10.09.2024 по заданию Муниципального казенного учреждения «Управление строительства и жилищно-коммунального хозяйства Варненского муниципального района».</w:t>
      </w:r>
    </w:p>
    <w:p>
      <w:pPr>
        <w:pStyle w:val="Normal"/>
        <w:tabs>
          <w:tab w:val="clear" w:pos="708"/>
          <w:tab w:val="left" w:pos="825" w:leader="none"/>
          <w:tab w:val="center" w:pos="4677" w:leader="none"/>
        </w:tabs>
        <w:spacing w:lineRule="auto" w:line="276"/>
        <w:ind w:firstLine="709"/>
        <w:rPr>
          <w:szCs w:val="24"/>
        </w:rPr>
      </w:pPr>
      <w:r>
        <w:rPr>
          <w:szCs w:val="24"/>
        </w:rPr>
        <w:t>Проект подготовлен в соответствии со статьями 23, 24 Градостроительного кодекса Российской Федерации, а также действующей нормативной правовой базой в сфере территориального планирования на территории Российской Федерации и Челябинской области.</w:t>
      </w:r>
    </w:p>
    <w:p>
      <w:pPr>
        <w:pStyle w:val="Annotationtext"/>
        <w:spacing w:lineRule="auto" w:line="276"/>
        <w:rPr/>
      </w:pPr>
      <w:r>
        <w:rPr>
          <w:sz w:val="24"/>
        </w:rPr>
        <w:t xml:space="preserve">Графические материалы Проекта выполнены в геоинформационном программном продукте MapInfo с использованием подосновы М 1:25000 и 1:5000. Описание и отображение объектов федерального, регионального, местного значения, а также перечень слоев пространственных данных (объектов), структура атрибутивных данных и справочников в графических материалах Проекта соответствуют </w:t>
      </w:r>
      <w:r>
        <w:rPr>
          <w:sz w:val="24"/>
          <w:szCs w:val="24"/>
        </w:rPr>
        <w:t>требованиям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утвержденным приказом Министерства экономического развития Российской Федерации от 09.01.2018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 793»</w:t>
      </w:r>
      <w:r>
        <w:rPr>
          <w:sz w:val="24"/>
        </w:rPr>
        <w:t>.</w:t>
      </w:r>
    </w:p>
    <w:p>
      <w:pPr>
        <w:pStyle w:val="Normal"/>
        <w:spacing w:lineRule="auto" w:line="276"/>
        <w:ind w:firstLine="709"/>
        <w:rPr>
          <w:szCs w:val="24"/>
        </w:rPr>
      </w:pPr>
      <w:r>
        <w:rPr>
          <w:szCs w:val="24"/>
        </w:rPr>
        <w:t>Основные этапы проектирования:</w:t>
      </w:r>
    </w:p>
    <w:p>
      <w:pPr>
        <w:pStyle w:val="ListBullet"/>
        <w:widowControl w:val="false"/>
        <w:numPr>
          <w:ilvl w:val="0"/>
          <w:numId w:val="1"/>
        </w:numPr>
        <w:tabs>
          <w:tab w:val="clear" w:pos="708"/>
          <w:tab w:val="left" w:pos="709" w:leader="none"/>
        </w:tabs>
        <w:spacing w:lineRule="auto" w:line="276" w:before="0" w:after="200"/>
        <w:ind w:left="0" w:firstLine="426"/>
        <w:rPr>
          <w:szCs w:val="24"/>
        </w:rPr>
      </w:pPr>
      <w:r>
        <w:rPr>
          <w:szCs w:val="24"/>
        </w:rPr>
        <w:t>первая очередь — 2034 год;</w:t>
      </w:r>
    </w:p>
    <w:p>
      <w:pPr>
        <w:pStyle w:val="ListBullet"/>
        <w:widowControl w:val="false"/>
        <w:numPr>
          <w:ilvl w:val="0"/>
          <w:numId w:val="1"/>
        </w:numPr>
        <w:tabs>
          <w:tab w:val="clear" w:pos="708"/>
          <w:tab w:val="left" w:pos="709" w:leader="none"/>
          <w:tab w:val="left" w:pos="851" w:leader="none"/>
        </w:tabs>
        <w:spacing w:lineRule="auto" w:line="276" w:before="0" w:after="200"/>
        <w:ind w:left="0" w:firstLine="426"/>
        <w:rPr>
          <w:szCs w:val="24"/>
        </w:rPr>
      </w:pPr>
      <w:r>
        <w:rPr>
          <w:szCs w:val="24"/>
        </w:rPr>
        <w:t>расчетный срок — 2044 год.</w:t>
      </w:r>
    </w:p>
    <w:p>
      <w:pPr>
        <w:pStyle w:val="S"/>
        <w:spacing w:lineRule="auto" w:line="276"/>
        <w:jc w:val="both"/>
        <w:rPr>
          <w:sz w:val="24"/>
        </w:rPr>
      </w:pPr>
      <w:r>
        <w:rPr>
          <w:sz w:val="24"/>
        </w:rPr>
        <w:t xml:space="preserve">В соответствии с </w:t>
      </w:r>
      <w:r>
        <w:rPr>
          <w:sz w:val="24"/>
          <w:szCs w:val="22"/>
        </w:rPr>
        <w:t xml:space="preserve">Градостроительным кодексом Российской Федерации от 29.12.2004 </w:t>
        <w:br/>
        <w:t>№ 190-ФЗ</w:t>
      </w:r>
      <w:r>
        <w:rPr>
          <w:sz w:val="24"/>
        </w:rPr>
        <w:t>, разработка документа территориального планирования направлена на определение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территорий, развития инженерной, транспортной и социальной инфраструктур, обеспечения учета интересов граждан и объединений.</w:t>
      </w:r>
    </w:p>
    <w:p>
      <w:pPr>
        <w:pStyle w:val="S"/>
        <w:spacing w:lineRule="auto" w:line="276"/>
        <w:jc w:val="both"/>
        <w:rPr>
          <w:sz w:val="24"/>
        </w:rPr>
      </w:pPr>
      <w:r>
        <w:rPr>
          <w:sz w:val="24"/>
        </w:rPr>
        <w:t>Исходя из этого, главная цель территориального планирования Катенинского сельского поселения Варненского муниципального района заключается в создании комфортных условий жизнедеятельности населения и условий для привлечения инвестиций на основе рационального использования природно-ресурсного и социально-экономического потенциала территории поселения.</w:t>
      </w:r>
    </w:p>
    <w:p>
      <w:pPr>
        <w:pStyle w:val="Normal"/>
        <w:spacing w:lineRule="auto" w:line="276"/>
        <w:ind w:firstLine="709"/>
        <w:rPr>
          <w:szCs w:val="24"/>
        </w:rPr>
      </w:pPr>
      <w:r>
        <w:rPr>
          <w:szCs w:val="24"/>
        </w:rPr>
        <w:t>Исходя из специфики муниципального образования, анализа позитивных и негативных сторон современного состояния экономики поселения, сформулированы основные задачи Проекта:</w:t>
      </w:r>
    </w:p>
    <w:p>
      <w:pPr>
        <w:pStyle w:val="Normal"/>
        <w:numPr>
          <w:ilvl w:val="0"/>
          <w:numId w:val="2"/>
        </w:numPr>
        <w:spacing w:lineRule="auto" w:line="276"/>
        <w:ind w:left="0" w:firstLine="426"/>
        <w:rPr>
          <w:szCs w:val="24"/>
        </w:rPr>
      </w:pPr>
      <w:r>
        <w:rPr>
          <w:szCs w:val="24"/>
        </w:rPr>
        <w:t>функциональное зонирование территории сельского поселения;</w:t>
      </w:r>
    </w:p>
    <w:p>
      <w:pPr>
        <w:pStyle w:val="Normal"/>
        <w:numPr>
          <w:ilvl w:val="0"/>
          <w:numId w:val="2"/>
        </w:numPr>
        <w:spacing w:lineRule="auto" w:line="276"/>
        <w:ind w:left="0" w:firstLine="426"/>
        <w:rPr>
          <w:szCs w:val="24"/>
        </w:rPr>
      </w:pPr>
      <w:r>
        <w:rPr>
          <w:szCs w:val="24"/>
        </w:rPr>
        <w:t>определение видов, назначения, наименования и основных характеристик, и местоположения планируемых к размещению объектов местного значения сельского поселения (в том числе линейных), характеристик зон с особыми условиями использования территорий в случае, если установление таких зон требуется в связи с размещением данных объектов;</w:t>
      </w:r>
    </w:p>
    <w:p>
      <w:pPr>
        <w:sectPr>
          <w:headerReference w:type="default" r:id="rId20"/>
          <w:footerReference w:type="default" r:id="rId21"/>
          <w:type w:val="nextPage"/>
          <w:pgSz w:w="11906" w:h="16838"/>
          <w:pgMar w:left="1418" w:right="567" w:header="567" w:top="1134" w:footer="567" w:bottom="1134" w:gutter="0"/>
          <w:pgNumType w:fmt="decimal"/>
          <w:formProt w:val="false"/>
          <w:textDirection w:val="lrTb"/>
          <w:docGrid w:type="default" w:linePitch="600" w:charSpace="32768"/>
        </w:sectPr>
        <w:pStyle w:val="Normal"/>
        <w:numPr>
          <w:ilvl w:val="0"/>
          <w:numId w:val="2"/>
        </w:numPr>
        <w:spacing w:lineRule="auto" w:line="276"/>
        <w:ind w:left="0" w:firstLine="426"/>
        <w:rPr>
          <w:szCs w:val="24"/>
          <w:lang w:eastAsia="ru-RU"/>
        </w:rPr>
      </w:pPr>
      <w:r>
        <w:rPr>
          <w:szCs w:val="24"/>
        </w:rPr>
        <w:t>уточнение местоположения планируемых к размещению объектов федерального и регионального значения (в том числе линейных).</w:t>
      </w:r>
    </w:p>
    <w:p>
      <w:pPr>
        <w:pStyle w:val="021216"/>
        <w:rPr/>
      </w:pPr>
      <w:bookmarkStart w:id="15" w:name="_Toc182210440"/>
      <w:r>
        <w:rPr/>
        <w:t>РАЗДЕЛ 1.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15"/>
      <w:r>
        <w:rPr/>
        <w:t xml:space="preserve"> </w:t>
      </w:r>
    </w:p>
    <w:p>
      <w:pPr>
        <w:pStyle w:val="Normal"/>
        <w:spacing w:lineRule="auto" w:line="276"/>
        <w:ind w:firstLine="709"/>
        <w:rPr>
          <w:rFonts w:eastAsia="Calibri" w:eastAsiaTheme="minorHAnsi"/>
        </w:rPr>
      </w:pPr>
      <w:r>
        <w:rPr>
          <w:rFonts w:eastAsia="Times New Roman"/>
          <w:iCs/>
          <w:szCs w:val="28"/>
          <w:lang w:eastAsia="ru-RU"/>
        </w:rPr>
        <w:t xml:space="preserve">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 </w:t>
      </w:r>
      <w:r>
        <w:rPr>
          <w:szCs w:val="28"/>
        </w:rPr>
        <w:t>Катенинского</w:t>
      </w:r>
      <w:r>
        <w:rPr>
          <w:rFonts w:eastAsia="Times New Roman"/>
          <w:iCs/>
          <w:szCs w:val="28"/>
          <w:lang w:eastAsia="ru-RU"/>
        </w:rPr>
        <w:t xml:space="preserve"> сельского поселения </w:t>
      </w:r>
      <w:r>
        <w:rPr/>
        <w:t>представлены в таблице 1.1.</w:t>
      </w:r>
    </w:p>
    <w:p>
      <w:pPr>
        <w:pStyle w:val="Normal"/>
        <w:spacing w:lineRule="auto" w:line="276"/>
        <w:jc w:val="right"/>
        <w:rPr>
          <w:rFonts w:eastAsia="Calibri" w:eastAsiaTheme="minorHAnsi"/>
        </w:rPr>
      </w:pPr>
      <w:r>
        <w:rPr>
          <w:rFonts w:eastAsia="Calibri" w:eastAsiaTheme="minorHAnsi"/>
        </w:rPr>
        <w:t>Таблица 1.1</w:t>
      </w:r>
    </w:p>
    <w:p>
      <w:pPr>
        <w:pStyle w:val="Normal"/>
        <w:spacing w:lineRule="auto" w:line="276"/>
        <w:jc w:val="center"/>
        <w:rPr>
          <w:rFonts w:eastAsia="Calibri" w:eastAsiaTheme="minorHAnsi"/>
        </w:rPr>
      </w:pPr>
      <w:r>
        <w:rPr>
          <w:rFonts w:eastAsia="Times New Roman"/>
          <w:iCs/>
          <w:szCs w:val="28"/>
          <w:lang w:eastAsia="ru-RU"/>
        </w:rPr>
        <w:t xml:space="preserve">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 </w:t>
      </w:r>
      <w:r>
        <w:rPr>
          <w:szCs w:val="28"/>
        </w:rPr>
        <w:t>Катенинского сельского поселения</w:t>
      </w:r>
    </w:p>
    <w:tbl>
      <w:tblPr>
        <w:tblStyle w:val="TableGridReport31"/>
        <w:tblW w:w="5000" w:type="pct"/>
        <w:jc w:val="left"/>
        <w:tblInd w:w="-108" w:type="dxa"/>
        <w:tblCellMar>
          <w:top w:w="0" w:type="dxa"/>
          <w:left w:w="108" w:type="dxa"/>
          <w:bottom w:w="0" w:type="dxa"/>
          <w:right w:w="108" w:type="dxa"/>
        </w:tblCellMar>
        <w:tblLook w:firstRow="1" w:noVBand="1" w:lastRow="0" w:firstColumn="1" w:lastColumn="0" w:noHBand="0" w:val="04a0"/>
      </w:tblPr>
      <w:tblGrid>
        <w:gridCol w:w="563"/>
        <w:gridCol w:w="2978"/>
        <w:gridCol w:w="6380"/>
      </w:tblGrid>
      <w:tr>
        <w:trPr/>
        <w:tc>
          <w:tcPr>
            <w:tcW w:w="563" w:type="dxa"/>
            <w:tcBorders>
              <w:bottom w:val="nil"/>
            </w:tcBorders>
            <w:vAlign w:val="center"/>
          </w:tcPr>
          <w:p>
            <w:pPr>
              <w:pStyle w:val="Normal"/>
              <w:spacing w:lineRule="auto" w:line="240"/>
              <w:jc w:val="center"/>
              <w:rPr>
                <w:sz w:val="20"/>
                <w:szCs w:val="20"/>
              </w:rPr>
            </w:pPr>
            <w:r>
              <w:rPr>
                <w:rFonts w:eastAsia="Calibri" w:cs="" w:cstheme="minorBidi" w:eastAsiaTheme="minorHAnsi" w:ascii="Calibri" w:hAnsi="Calibri"/>
                <w:b/>
                <w:sz w:val="20"/>
                <w:szCs w:val="20"/>
                <w:lang w:eastAsia="en-US"/>
              </w:rPr>
              <w:t>№</w:t>
            </w:r>
          </w:p>
        </w:tc>
        <w:tc>
          <w:tcPr>
            <w:tcW w:w="2978" w:type="dxa"/>
            <w:tcBorders>
              <w:bottom w:val="nil"/>
            </w:tcBorders>
            <w:vAlign w:val="center"/>
          </w:tcPr>
          <w:p>
            <w:pPr>
              <w:pStyle w:val="Normal"/>
              <w:spacing w:lineRule="auto" w:line="240"/>
              <w:jc w:val="center"/>
              <w:rPr>
                <w:sz w:val="20"/>
                <w:szCs w:val="20"/>
              </w:rPr>
            </w:pPr>
            <w:r>
              <w:rPr>
                <w:rFonts w:eastAsia="Calibri" w:cs="" w:cstheme="minorBidi" w:eastAsiaTheme="minorHAnsi" w:ascii="Calibri" w:hAnsi="Calibri"/>
                <w:b/>
                <w:sz w:val="20"/>
                <w:szCs w:val="20"/>
                <w:lang w:eastAsia="en-US"/>
              </w:rPr>
              <w:t>Наименование документа</w:t>
            </w:r>
          </w:p>
        </w:tc>
        <w:tc>
          <w:tcPr>
            <w:tcW w:w="6380" w:type="dxa"/>
            <w:tcBorders>
              <w:bottom w:val="nil"/>
            </w:tcBorders>
          </w:tcPr>
          <w:p>
            <w:pPr>
              <w:pStyle w:val="Normal"/>
              <w:spacing w:lineRule="auto" w:line="240"/>
              <w:jc w:val="center"/>
              <w:rPr>
                <w:b/>
                <w:b/>
                <w:sz w:val="20"/>
                <w:szCs w:val="20"/>
              </w:rPr>
            </w:pPr>
            <w:r>
              <w:rPr>
                <w:rFonts w:eastAsia="Calibri" w:cs="" w:cstheme="minorBidi" w:eastAsiaTheme="minorHAnsi" w:ascii="Calibri" w:hAnsi="Calibri"/>
                <w:b/>
                <w:sz w:val="20"/>
                <w:szCs w:val="20"/>
                <w:lang w:eastAsia="en-US"/>
              </w:rPr>
              <w:t>Наименование планируемого объекта</w:t>
            </w:r>
          </w:p>
        </w:tc>
      </w:tr>
    </w:tbl>
    <w:p>
      <w:pPr>
        <w:pStyle w:val="Normal"/>
        <w:spacing w:lineRule="auto" w:line="12"/>
        <w:jc w:val="left"/>
        <w:rPr>
          <w:rFonts w:ascii="Calibri" w:hAnsi="Calibri" w:eastAsia="Calibri" w:cs="" w:asciiTheme="minorHAnsi" w:cstheme="minorBidi" w:eastAsiaTheme="minorHAnsi" w:hAnsiTheme="minorHAnsi"/>
          <w:sz w:val="20"/>
          <w:szCs w:val="20"/>
        </w:rPr>
      </w:pPr>
      <w:r>
        <w:rPr>
          <w:rFonts w:eastAsia="Calibri" w:cs="" w:cstheme="minorBidi" w:eastAsiaTheme="minorHAnsi" w:ascii="Calibri" w:hAnsi="Calibri"/>
          <w:sz w:val="20"/>
          <w:szCs w:val="20"/>
        </w:rPr>
      </w:r>
    </w:p>
    <w:tbl>
      <w:tblPr>
        <w:tblStyle w:val="TableGridReport31"/>
        <w:tblW w:w="5000" w:type="pct"/>
        <w:jc w:val="left"/>
        <w:tblInd w:w="-108" w:type="dxa"/>
        <w:tblCellMar>
          <w:top w:w="0" w:type="dxa"/>
          <w:left w:w="108" w:type="dxa"/>
          <w:bottom w:w="0" w:type="dxa"/>
          <w:right w:w="108" w:type="dxa"/>
        </w:tblCellMar>
        <w:tblLook w:firstRow="1" w:noVBand="1" w:lastRow="0" w:firstColumn="1" w:lastColumn="0" w:noHBand="0" w:val="04a0"/>
      </w:tblPr>
      <w:tblGrid>
        <w:gridCol w:w="563"/>
        <w:gridCol w:w="2980"/>
        <w:gridCol w:w="6378"/>
      </w:tblGrid>
      <w:tr>
        <w:trPr>
          <w:tblHeader w:val="true"/>
        </w:trPr>
        <w:tc>
          <w:tcPr>
            <w:tcW w:w="563" w:type="dxa"/>
            <w:tcBorders/>
            <w:vAlign w:val="center"/>
          </w:tcPr>
          <w:p>
            <w:pPr>
              <w:pStyle w:val="Normal"/>
              <w:spacing w:lineRule="auto" w:line="240"/>
              <w:jc w:val="center"/>
              <w:rPr>
                <w:b/>
                <w:b/>
                <w:sz w:val="20"/>
                <w:szCs w:val="20"/>
              </w:rPr>
            </w:pPr>
            <w:r>
              <w:rPr>
                <w:rFonts w:eastAsia="Calibri" w:cs="" w:cstheme="minorBidi" w:eastAsiaTheme="minorHAnsi" w:ascii="Calibri" w:hAnsi="Calibri"/>
                <w:b/>
                <w:sz w:val="20"/>
                <w:szCs w:val="20"/>
                <w:lang w:eastAsia="en-US"/>
              </w:rPr>
              <w:t>1</w:t>
            </w:r>
          </w:p>
        </w:tc>
        <w:tc>
          <w:tcPr>
            <w:tcW w:w="2980" w:type="dxa"/>
            <w:tcBorders/>
            <w:vAlign w:val="center"/>
          </w:tcPr>
          <w:p>
            <w:pPr>
              <w:pStyle w:val="Normal"/>
              <w:spacing w:lineRule="auto" w:line="240"/>
              <w:jc w:val="center"/>
              <w:rPr>
                <w:b/>
                <w:b/>
                <w:sz w:val="20"/>
                <w:szCs w:val="20"/>
              </w:rPr>
            </w:pPr>
            <w:r>
              <w:rPr>
                <w:rFonts w:eastAsia="Calibri" w:cs="" w:cstheme="minorBidi" w:eastAsiaTheme="minorHAnsi" w:ascii="Calibri" w:hAnsi="Calibri"/>
                <w:b/>
                <w:sz w:val="20"/>
                <w:szCs w:val="20"/>
                <w:lang w:eastAsia="en-US"/>
              </w:rPr>
              <w:t>2</w:t>
            </w:r>
          </w:p>
        </w:tc>
        <w:tc>
          <w:tcPr>
            <w:tcW w:w="6378" w:type="dxa"/>
            <w:tcBorders/>
          </w:tcPr>
          <w:p>
            <w:pPr>
              <w:pStyle w:val="Normal"/>
              <w:spacing w:lineRule="auto" w:line="240"/>
              <w:jc w:val="center"/>
              <w:rPr>
                <w:b/>
                <w:b/>
                <w:sz w:val="20"/>
                <w:szCs w:val="20"/>
              </w:rPr>
            </w:pPr>
            <w:r>
              <w:rPr>
                <w:rFonts w:eastAsia="Calibri" w:cs="" w:cstheme="minorBidi" w:eastAsiaTheme="minorHAnsi" w:ascii="Calibri" w:hAnsi="Calibri"/>
                <w:b/>
                <w:sz w:val="20"/>
                <w:szCs w:val="20"/>
                <w:lang w:eastAsia="en-US"/>
              </w:rPr>
              <w:t>3</w:t>
            </w:r>
          </w:p>
        </w:tc>
      </w:tr>
      <w:tr>
        <w:trPr/>
        <w:tc>
          <w:tcPr>
            <w:tcW w:w="9921" w:type="dxa"/>
            <w:gridSpan w:val="3"/>
            <w:tcBorders/>
          </w:tcPr>
          <w:p>
            <w:pPr>
              <w:pStyle w:val="Normal"/>
              <w:spacing w:lineRule="auto" w:line="240"/>
              <w:jc w:val="center"/>
              <w:rPr>
                <w:b/>
                <w:b/>
                <w:sz w:val="20"/>
                <w:szCs w:val="20"/>
              </w:rPr>
            </w:pPr>
            <w:r>
              <w:rPr>
                <w:rFonts w:eastAsia="Calibri" w:cs="" w:cstheme="minorBidi" w:eastAsiaTheme="minorHAnsi" w:ascii="Calibri" w:hAnsi="Calibri"/>
                <w:b/>
                <w:sz w:val="20"/>
                <w:szCs w:val="20"/>
                <w:lang w:eastAsia="en-US"/>
              </w:rPr>
              <w:t>Стратегии</w:t>
            </w:r>
          </w:p>
        </w:tc>
      </w:tr>
      <w:tr>
        <w:trPr>
          <w:trHeight w:val="1876" w:hRule="atLeast"/>
        </w:trPr>
        <w:tc>
          <w:tcPr>
            <w:tcW w:w="563" w:type="dxa"/>
            <w:tcBorders>
              <w:right w:val="nil"/>
            </w:tcBorders>
          </w:tcPr>
          <w:p>
            <w:pPr>
              <w:pStyle w:val="Normal"/>
              <w:spacing w:lineRule="auto" w:line="240"/>
              <w:jc w:val="center"/>
              <w:rPr>
                <w:sz w:val="20"/>
                <w:szCs w:val="20"/>
              </w:rPr>
            </w:pPr>
            <w:r>
              <w:rPr>
                <w:rFonts w:eastAsia="Calibri" w:cs="" w:cstheme="minorBidi" w:eastAsiaTheme="minorHAnsi" w:ascii="Calibri" w:hAnsi="Calibri"/>
                <w:sz w:val="20"/>
                <w:szCs w:val="20"/>
                <w:lang w:eastAsia="en-US"/>
              </w:rPr>
              <w:t>1</w:t>
            </w:r>
          </w:p>
        </w:tc>
        <w:tc>
          <w:tcPr>
            <w:tcW w:w="2980" w:type="dxa"/>
            <w:tcBorders>
              <w:left w:val="nil"/>
              <w:right w:val="nil"/>
            </w:tcBorders>
          </w:tcPr>
          <w:p>
            <w:pPr>
              <w:pStyle w:val="Normal"/>
              <w:spacing w:lineRule="auto" w:line="240"/>
              <w:jc w:val="left"/>
              <w:rPr>
                <w:sz w:val="20"/>
                <w:szCs w:val="20"/>
              </w:rPr>
            </w:pPr>
            <w:r>
              <w:rPr>
                <w:rFonts w:eastAsia="Calibri" w:cs="" w:cstheme="minorBidi" w:eastAsiaTheme="minorHAnsi" w:ascii="Calibri" w:hAnsi="Calibri"/>
                <w:sz w:val="20"/>
                <w:szCs w:val="20"/>
                <w:lang w:eastAsia="en-US"/>
              </w:rPr>
              <w:t xml:space="preserve">Стратегия социально-экономического развития Челябинской области на период до 2035 г., утвержденная распоряжением Правительства Челябинской области от </w:t>
            </w:r>
          </w:p>
          <w:p>
            <w:pPr>
              <w:pStyle w:val="Normal"/>
              <w:spacing w:lineRule="auto" w:line="240"/>
              <w:jc w:val="left"/>
              <w:rPr>
                <w:sz w:val="20"/>
                <w:szCs w:val="20"/>
              </w:rPr>
            </w:pPr>
            <w:r>
              <w:rPr>
                <w:rFonts w:eastAsia="Calibri" w:cs="" w:cstheme="minorBidi" w:eastAsiaTheme="minorHAnsi" w:ascii="Calibri" w:hAnsi="Calibri"/>
                <w:sz w:val="20"/>
                <w:szCs w:val="20"/>
                <w:lang w:eastAsia="en-US"/>
              </w:rPr>
              <w:t>06.03.2017 года № 89-рп</w:t>
            </w:r>
          </w:p>
        </w:tc>
        <w:tc>
          <w:tcPr>
            <w:tcW w:w="6378" w:type="dxa"/>
            <w:tcBorders>
              <w:left w:val="nil"/>
            </w:tcBorders>
          </w:tcPr>
          <w:p>
            <w:pPr>
              <w:pStyle w:val="Normal"/>
              <w:spacing w:lineRule="auto" w:line="240"/>
              <w:jc w:val="left"/>
              <w:rPr>
                <w:sz w:val="20"/>
                <w:szCs w:val="20"/>
              </w:rPr>
            </w:pPr>
            <w:r>
              <w:rPr>
                <w:rFonts w:eastAsia="Calibri" w:cs="" w:cstheme="minorBidi" w:eastAsiaTheme="minorHAnsi" w:ascii="Calibri" w:hAnsi="Calibri"/>
                <w:sz w:val="20"/>
                <w:szCs w:val="20"/>
                <w:lang w:eastAsia="en-US"/>
              </w:rPr>
              <w:t>Строительство крытого плавательного бассейна 25 м., (срок реализации – 2030-2032 годы)</w:t>
            </w:r>
          </w:p>
        </w:tc>
      </w:tr>
    </w:tbl>
    <w:p>
      <w:pPr>
        <w:sectPr>
          <w:headerReference w:type="default" r:id="rId22"/>
          <w:footerReference w:type="default" r:id="rId23"/>
          <w:type w:val="nextPage"/>
          <w:pgSz w:w="11906" w:h="16838"/>
          <w:pgMar w:left="1418" w:right="567" w:header="567" w:top="1134" w:footer="567" w:bottom="1134" w:gutter="0"/>
          <w:pgNumType w:fmt="decimal"/>
          <w:formProt w:val="false"/>
          <w:textDirection w:val="lrTb"/>
          <w:docGrid w:type="default" w:linePitch="600" w:charSpace="32768"/>
        </w:sectPr>
      </w:pPr>
    </w:p>
    <w:p>
      <w:pPr>
        <w:pStyle w:val="021216"/>
        <w:rPr>
          <w:rFonts w:eastAsia="Times New Roman"/>
          <w:iCs/>
          <w:szCs w:val="28"/>
          <w:lang w:eastAsia="ru-RU"/>
        </w:rPr>
      </w:pPr>
      <w:bookmarkStart w:id="16" w:name="_Toc182210441"/>
      <w:bookmarkStart w:id="17" w:name="_Toc69231551"/>
      <w:bookmarkStart w:id="18" w:name="_Toc69064762"/>
      <w:r>
        <w:rPr/>
        <w:t xml:space="preserve">РАЗДЕЛ 2. </w:t>
      </w:r>
      <w:bookmarkEnd w:id="17"/>
      <w:bookmarkEnd w:id="18"/>
      <w:r>
        <w:rPr/>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ДОКУМЕНТОМ ТЕРРИТОРИАЛЬНОГО ПЛАНИРОВАНИЯ МУНИЦИПАЛЬНОГО РАЙОНА СВЕДЕНИЯ О ВИДАХ, НАЗНАЧЕНИИ И НАИМЕНОВАНИЯХ ПЛАНИРУЕМЫХ ДЛЯ РАЗМЕЩЕНИЯ НА ТЕРРИТОРИЯХ ПОСЕЛЕНИЯ, ГОРОДСКОГО ОКРУГА ОБЪЕКТОВ ФЕДЕРАЛЬНОГО ЗНАЧЕНИЯ, ОБЪЕКТОВ РЕГИОНАЛЬНОГО ЗНАЧЕНИЯ,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ИСПОЛЬЗОВАНИИ</w:t>
      </w:r>
      <w:bookmarkEnd w:id="16"/>
      <w:r>
        <w:rPr/>
        <w:t xml:space="preserve"> </w:t>
      </w:r>
    </w:p>
    <w:p>
      <w:pPr>
        <w:pStyle w:val="0212161"/>
        <w:rPr>
          <w:rFonts w:eastAsia="Times New Roman"/>
          <w:iCs/>
          <w:szCs w:val="28"/>
          <w:lang w:eastAsia="ru-RU"/>
        </w:rPr>
      </w:pPr>
      <w:bookmarkStart w:id="19" w:name="_Toc182210442"/>
      <w:bookmarkStart w:id="20" w:name="_Toc85802408"/>
      <w:r>
        <w:rPr/>
        <w:t>2.1 Объекты федерального значения</w:t>
      </w:r>
      <w:bookmarkEnd w:id="19"/>
      <w:bookmarkEnd w:id="20"/>
      <w:r>
        <w:rPr/>
        <w:t xml:space="preserve"> </w:t>
      </w:r>
    </w:p>
    <w:p>
      <w:pPr>
        <w:sectPr>
          <w:headerReference w:type="default" r:id="rId24"/>
          <w:footerReference w:type="default" r:id="rId25"/>
          <w:type w:val="nextPage"/>
          <w:pgSz w:w="11906" w:h="16838"/>
          <w:pgMar w:left="1134" w:right="567" w:header="567" w:top="1134" w:footer="567" w:bottom="1134" w:gutter="0"/>
          <w:pgNumType w:fmt="decimal"/>
          <w:formProt w:val="false"/>
          <w:textDirection w:val="lrTb"/>
          <w:docGrid w:type="default" w:linePitch="600" w:charSpace="32768"/>
        </w:sectPr>
        <w:pStyle w:val="Normal"/>
        <w:spacing w:lineRule="auto" w:line="276"/>
        <w:ind w:firstLine="709"/>
        <w:rPr>
          <w:szCs w:val="24"/>
        </w:rPr>
      </w:pPr>
      <w:r>
        <w:rPr>
          <w:szCs w:val="24"/>
        </w:rPr>
        <w:t>Сведения о видах, назначении и наименовании планируемых для размещения на территории муниципального района объектов федерального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представлены в таблице 2.1.</w:t>
      </w:r>
    </w:p>
    <w:p>
      <w:pPr>
        <w:pStyle w:val="Normal"/>
        <w:spacing w:lineRule="auto" w:line="276"/>
        <w:ind w:firstLine="709"/>
        <w:jc w:val="right"/>
        <w:rPr>
          <w:rFonts w:eastAsia="Calibri" w:eastAsiaTheme="minorHAnsi"/>
          <w:szCs w:val="24"/>
        </w:rPr>
      </w:pPr>
      <w:r>
        <w:rPr>
          <w:rFonts w:eastAsia="Calibri" w:eastAsiaTheme="minorHAnsi"/>
          <w:szCs w:val="24"/>
        </w:rPr>
        <w:t>Таблица 2.1</w:t>
      </w:r>
    </w:p>
    <w:p>
      <w:pPr>
        <w:pStyle w:val="Normal"/>
        <w:spacing w:lineRule="auto" w:line="276"/>
        <w:ind w:firstLine="709"/>
        <w:jc w:val="center"/>
        <w:rPr>
          <w:rFonts w:eastAsia="Calibri" w:eastAsiaTheme="minorHAnsi"/>
          <w:szCs w:val="24"/>
        </w:rPr>
      </w:pPr>
      <w:r>
        <w:rPr>
          <w:rFonts w:eastAsia="Calibri" w:eastAsiaTheme="minorHAnsi"/>
          <w:szCs w:val="24"/>
        </w:rPr>
        <w:t>Сведения о видах, назначении и наименовании планируемых для размещения на территории муниципального района объектов федерального значения, их основные характеристики, местоположение, характеристики зон с особыми условиями использования территорий</w:t>
      </w:r>
    </w:p>
    <w:tbl>
      <w:tblPr>
        <w:tblW w:w="5000" w:type="pct"/>
        <w:jc w:val="left"/>
        <w:tblInd w:w="-57" w:type="dxa"/>
        <w:tblCellMar>
          <w:top w:w="0" w:type="dxa"/>
          <w:left w:w="57" w:type="dxa"/>
          <w:bottom w:w="0" w:type="dxa"/>
          <w:right w:w="57" w:type="dxa"/>
        </w:tblCellMar>
        <w:tblLook w:firstRow="1" w:noVBand="1" w:lastRow="0" w:firstColumn="1" w:lastColumn="0" w:noHBand="0" w:val="04a0"/>
      </w:tblPr>
      <w:tblGrid>
        <w:gridCol w:w="557"/>
        <w:gridCol w:w="1411"/>
        <w:gridCol w:w="1549"/>
        <w:gridCol w:w="4357"/>
        <w:gridCol w:w="1409"/>
        <w:gridCol w:w="2253"/>
        <w:gridCol w:w="3033"/>
      </w:tblGrid>
      <w:tr>
        <w:trPr>
          <w:trHeight w:val="711" w:hRule="atLeast"/>
        </w:trPr>
        <w:tc>
          <w:tcPr>
            <w:tcW w:w="5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Calibri" w:eastAsiaTheme="minorHAnsi"/>
                <w:b/>
                <w:b/>
                <w:bCs/>
                <w:sz w:val="20"/>
                <w:szCs w:val="20"/>
              </w:rPr>
            </w:pPr>
            <w:r>
              <w:rPr>
                <w:rFonts w:eastAsia="Calibri" w:eastAsiaTheme="minorHAnsi"/>
                <w:b/>
                <w:bCs/>
                <w:sz w:val="20"/>
                <w:szCs w:val="20"/>
              </w:rPr>
              <w:t xml:space="preserve">№ </w:t>
            </w:r>
            <w:r>
              <w:rPr>
                <w:rFonts w:eastAsia="Calibri" w:eastAsiaTheme="minorHAnsi"/>
                <w:b/>
                <w:bCs/>
                <w:sz w:val="20"/>
                <w:szCs w:val="20"/>
              </w:rPr>
              <w:t>п/п</w:t>
            </w:r>
          </w:p>
        </w:tc>
        <w:tc>
          <w:tcPr>
            <w:tcW w:w="141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Calibri" w:eastAsiaTheme="minorHAnsi"/>
                <w:b/>
                <w:b/>
                <w:bCs/>
                <w:sz w:val="20"/>
                <w:szCs w:val="20"/>
              </w:rPr>
            </w:pPr>
            <w:r>
              <w:rPr>
                <w:rFonts w:eastAsia="Calibri" w:eastAsiaTheme="minorHAnsi"/>
                <w:b/>
                <w:bCs/>
                <w:sz w:val="20"/>
                <w:szCs w:val="20"/>
              </w:rPr>
              <w:t>Вид, назначение объекта</w:t>
            </w:r>
          </w:p>
        </w:tc>
        <w:tc>
          <w:tcPr>
            <w:tcW w:w="154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ind w:left="-106" w:right="-107" w:hanging="0"/>
              <w:jc w:val="center"/>
              <w:rPr>
                <w:rFonts w:eastAsia="Calibri" w:eastAsiaTheme="minorHAnsi"/>
                <w:b/>
                <w:b/>
                <w:bCs/>
                <w:sz w:val="20"/>
                <w:szCs w:val="20"/>
              </w:rPr>
            </w:pPr>
            <w:r>
              <w:rPr>
                <w:rFonts w:eastAsia="Calibri" w:eastAsiaTheme="minorHAnsi"/>
                <w:b/>
                <w:bCs/>
                <w:sz w:val="20"/>
                <w:szCs w:val="20"/>
              </w:rPr>
              <w:t>Наименование объекта</w:t>
            </w:r>
          </w:p>
        </w:tc>
        <w:tc>
          <w:tcPr>
            <w:tcW w:w="43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Calibri" w:eastAsiaTheme="minorHAnsi"/>
                <w:b/>
                <w:b/>
                <w:bCs/>
                <w:sz w:val="20"/>
                <w:szCs w:val="20"/>
              </w:rPr>
            </w:pPr>
            <w:r>
              <w:rPr>
                <w:rFonts w:eastAsia="Calibri" w:eastAsiaTheme="minorHAnsi"/>
                <w:b/>
                <w:bCs/>
                <w:sz w:val="20"/>
                <w:szCs w:val="20"/>
              </w:rPr>
              <w:t>Местоположение объекта</w:t>
            </w:r>
          </w:p>
        </w:tc>
        <w:tc>
          <w:tcPr>
            <w:tcW w:w="140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Calibri" w:eastAsiaTheme="minorHAnsi"/>
                <w:b/>
                <w:b/>
                <w:bCs/>
                <w:sz w:val="20"/>
                <w:szCs w:val="20"/>
              </w:rPr>
            </w:pPr>
            <w:r>
              <w:rPr>
                <w:rFonts w:eastAsia="Calibri" w:eastAsiaTheme="minorHAnsi"/>
                <w:b/>
                <w:bCs/>
                <w:sz w:val="20"/>
                <w:szCs w:val="20"/>
              </w:rPr>
              <w:t xml:space="preserve">Срок реализации </w:t>
              <w:br/>
              <w:t>(по годам)</w:t>
            </w:r>
          </w:p>
        </w:tc>
        <w:tc>
          <w:tcPr>
            <w:tcW w:w="2253"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rFonts w:eastAsia="Calibri" w:eastAsiaTheme="minorHAnsi"/>
                <w:b/>
                <w:b/>
                <w:bCs/>
                <w:sz w:val="20"/>
                <w:szCs w:val="20"/>
              </w:rPr>
            </w:pPr>
            <w:r>
              <w:rPr>
                <w:rFonts w:eastAsia="Calibri" w:eastAsiaTheme="minorHAnsi"/>
                <w:b/>
                <w:bCs/>
                <w:sz w:val="20"/>
                <w:szCs w:val="20"/>
              </w:rPr>
              <w:t>Основные характеристики объекта</w:t>
            </w:r>
          </w:p>
        </w:tc>
        <w:tc>
          <w:tcPr>
            <w:tcW w:w="303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ind w:left="-104" w:right="-2" w:hanging="0"/>
              <w:jc w:val="center"/>
              <w:rPr>
                <w:rFonts w:eastAsia="Calibri" w:eastAsiaTheme="minorHAnsi"/>
                <w:b/>
                <w:b/>
                <w:bCs/>
                <w:sz w:val="20"/>
                <w:szCs w:val="20"/>
              </w:rPr>
            </w:pPr>
            <w:r>
              <w:rPr>
                <w:rFonts w:eastAsia="Calibri" w:eastAsiaTheme="minorHAnsi"/>
                <w:b/>
                <w:bCs/>
                <w:sz w:val="20"/>
                <w:szCs w:val="20"/>
              </w:rPr>
              <w:t>Характеристики зон с особыми условиями использования территорий</w:t>
            </w:r>
          </w:p>
        </w:tc>
      </w:tr>
      <w:tr>
        <w:trPr>
          <w:trHeight w:val="20" w:hRule="atLeast"/>
        </w:trPr>
        <w:tc>
          <w:tcPr>
            <w:tcW w:w="14569" w:type="dxa"/>
            <w:gridSpan w:val="7"/>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Calibri" w:eastAsiaTheme="minorHAnsi"/>
                <w:bCs/>
                <w:szCs w:val="24"/>
              </w:rPr>
            </w:pPr>
            <w:r>
              <w:rPr>
                <w:rFonts w:eastAsia="Calibri" w:eastAsiaTheme="minorHAnsi"/>
                <w:b/>
                <w:color w:val="000000" w:themeColor="text1"/>
                <w:sz w:val="20"/>
                <w:szCs w:val="20"/>
              </w:rPr>
              <w:t xml:space="preserve">Схема территориального планирования Российской Федерации в области энергетики </w:t>
              <w:br/>
              <w:t>(утверждена распоряжением Правительства Российской Федерации от 01.08.2016 № 1634-р)</w:t>
            </w:r>
          </w:p>
        </w:tc>
      </w:tr>
      <w:tr>
        <w:trPr>
          <w:trHeight w:val="2270" w:hRule="atLeast"/>
        </w:trPr>
        <w:tc>
          <w:tcPr>
            <w:tcW w:w="557" w:type="dxa"/>
            <w:tcBorders>
              <w:top w:val="single" w:sz="4" w:space="0" w:color="000000"/>
              <w:left w:val="single" w:sz="4" w:space="0" w:color="000000"/>
            </w:tcBorders>
            <w:shd w:color="auto" w:fill="auto" w:val="clear"/>
          </w:tcPr>
          <w:p>
            <w:pPr>
              <w:pStyle w:val="Normal"/>
              <w:spacing w:lineRule="auto" w:line="240"/>
              <w:jc w:val="center"/>
              <w:rPr>
                <w:rFonts w:eastAsia="Calibri" w:eastAsiaTheme="minorHAnsi"/>
                <w:szCs w:val="24"/>
              </w:rPr>
            </w:pPr>
            <w:r>
              <w:rPr>
                <w:rFonts w:eastAsia="Calibri" w:eastAsiaTheme="minorHAnsi"/>
                <w:sz w:val="20"/>
                <w:szCs w:val="20"/>
              </w:rPr>
              <w:t>1</w:t>
            </w:r>
            <w:r>
              <w:rPr>
                <w:rFonts w:eastAsia="Calibri" w:eastAsiaTheme="minorHAnsi"/>
                <w:szCs w:val="24"/>
                <w:lang w:val="en-US"/>
              </w:rPr>
              <w:t>.</w:t>
            </w:r>
          </w:p>
        </w:tc>
        <w:tc>
          <w:tcPr>
            <w:tcW w:w="1411" w:type="dxa"/>
            <w:tcBorders>
              <w:top w:val="single" w:sz="4" w:space="0" w:color="000000"/>
            </w:tcBorders>
            <w:shd w:color="auto" w:fill="auto" w:val="clear"/>
          </w:tcPr>
          <w:p>
            <w:pPr>
              <w:pStyle w:val="Normal"/>
              <w:spacing w:lineRule="auto" w:line="240"/>
              <w:jc w:val="left"/>
              <w:rPr>
                <w:rFonts w:eastAsia="Calibri" w:eastAsiaTheme="minorHAnsi"/>
                <w:sz w:val="20"/>
                <w:szCs w:val="20"/>
              </w:rPr>
            </w:pPr>
            <w:r>
              <w:rPr>
                <w:color w:val="000000"/>
                <w:sz w:val="20"/>
                <w:szCs w:val="20"/>
              </w:rPr>
              <w:t>Энергетика</w:t>
            </w:r>
          </w:p>
        </w:tc>
        <w:tc>
          <w:tcPr>
            <w:tcW w:w="1549" w:type="dxa"/>
            <w:tcBorders>
              <w:top w:val="single" w:sz="4" w:space="0" w:color="000000"/>
            </w:tcBorders>
            <w:shd w:color="auto" w:fill="auto" w:val="clear"/>
          </w:tcPr>
          <w:p>
            <w:pPr>
              <w:pStyle w:val="Normal"/>
              <w:spacing w:lineRule="auto" w:line="240"/>
              <w:rPr>
                <w:sz w:val="20"/>
                <w:szCs w:val="20"/>
              </w:rPr>
            </w:pPr>
            <w:r>
              <w:rPr>
                <w:sz w:val="20"/>
                <w:szCs w:val="20"/>
              </w:rPr>
              <w:t>ВЛ 220 кВ Карталы 220 - Обогатительная</w:t>
            </w:r>
          </w:p>
        </w:tc>
        <w:tc>
          <w:tcPr>
            <w:tcW w:w="4357" w:type="dxa"/>
            <w:tcBorders>
              <w:top w:val="single" w:sz="4" w:space="0" w:color="000000"/>
            </w:tcBorders>
            <w:shd w:color="auto" w:fill="auto" w:val="clear"/>
          </w:tcPr>
          <w:p>
            <w:pPr>
              <w:pStyle w:val="Normal"/>
              <w:suppressAutoHyphens w:val="true"/>
              <w:spacing w:lineRule="auto" w:line="240"/>
              <w:jc w:val="left"/>
              <w:rPr>
                <w:rFonts w:eastAsia="Calibri" w:eastAsiaTheme="minorHAnsi"/>
                <w:sz w:val="20"/>
                <w:szCs w:val="20"/>
              </w:rPr>
            </w:pPr>
            <w:r>
              <w:rPr>
                <w:rFonts w:eastAsia="Times New Roman"/>
                <w:sz w:val="20"/>
                <w:szCs w:val="20"/>
                <w:lang w:eastAsia="ru-RU"/>
              </w:rPr>
              <w:t>Варненский муниципальный район, Катенинское сельское поселение</w:t>
            </w:r>
            <w:r>
              <w:rPr>
                <w:rFonts w:eastAsia="Times New Roman"/>
                <w:color w:val="000000"/>
                <w:sz w:val="20"/>
                <w:szCs w:val="20"/>
                <w:lang w:eastAsia="ru-RU"/>
              </w:rPr>
              <w:t>, п. Караоба</w:t>
            </w:r>
          </w:p>
        </w:tc>
        <w:tc>
          <w:tcPr>
            <w:tcW w:w="1409" w:type="dxa"/>
            <w:tcBorders>
              <w:top w:val="single" w:sz="4" w:space="0" w:color="000000"/>
            </w:tcBorders>
            <w:shd w:color="auto" w:fill="auto" w:val="clear"/>
          </w:tcPr>
          <w:p>
            <w:pPr>
              <w:pStyle w:val="Normal"/>
              <w:spacing w:lineRule="auto" w:line="240"/>
              <w:jc w:val="center"/>
              <w:rPr>
                <w:rFonts w:eastAsia="Calibri" w:eastAsiaTheme="minorHAnsi"/>
                <w:sz w:val="20"/>
                <w:szCs w:val="20"/>
              </w:rPr>
            </w:pPr>
            <w:r>
              <w:rPr>
                <w:sz w:val="20"/>
                <w:szCs w:val="20"/>
              </w:rPr>
              <w:t>до 2042</w:t>
              <w:br/>
              <w:t xml:space="preserve">года </w:t>
            </w:r>
          </w:p>
        </w:tc>
        <w:tc>
          <w:tcPr>
            <w:tcW w:w="2253" w:type="dxa"/>
            <w:tcBorders>
              <w:top w:val="single" w:sz="4" w:space="0" w:color="000000"/>
            </w:tcBorders>
            <w:shd w:color="auto" w:fill="auto" w:val="clear"/>
          </w:tcPr>
          <w:p>
            <w:pPr>
              <w:pStyle w:val="Normal"/>
              <w:spacing w:lineRule="auto" w:line="240"/>
              <w:jc w:val="left"/>
              <w:rPr>
                <w:sz w:val="20"/>
                <w:szCs w:val="20"/>
              </w:rPr>
            </w:pPr>
            <w:r>
              <w:rPr>
                <w:sz w:val="20"/>
                <w:szCs w:val="20"/>
              </w:rPr>
              <w:t>1. Строительство</w:t>
            </w:r>
          </w:p>
          <w:p>
            <w:pPr>
              <w:pStyle w:val="Normal"/>
              <w:spacing w:lineRule="auto" w:line="240"/>
              <w:jc w:val="left"/>
              <w:rPr>
                <w:sz w:val="20"/>
                <w:szCs w:val="20"/>
              </w:rPr>
            </w:pPr>
            <w:r>
              <w:rPr>
                <w:sz w:val="20"/>
                <w:szCs w:val="20"/>
              </w:rPr>
              <w:t>2. Протяженность – 5,72 км.</w:t>
            </w:r>
          </w:p>
        </w:tc>
        <w:tc>
          <w:tcPr>
            <w:tcW w:w="3033" w:type="dxa"/>
            <w:tcBorders>
              <w:top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w:t>
            </w:r>
          </w:p>
        </w:tc>
      </w:tr>
    </w:tbl>
    <w:p>
      <w:pPr>
        <w:sectPr>
          <w:headerReference w:type="default" r:id="rId26"/>
          <w:footerReference w:type="default" r:id="rId27"/>
          <w:type w:val="nextPage"/>
          <w:pgSz w:orient="landscape" w:w="16838" w:h="11906"/>
          <w:pgMar w:left="1134" w:right="1134" w:header="567" w:top="1134" w:footer="567" w:bottom="624" w:gutter="0"/>
          <w:pgNumType w:fmt="decimal"/>
          <w:formProt w:val="false"/>
          <w:textDirection w:val="lrTb"/>
          <w:docGrid w:type="default" w:linePitch="600" w:charSpace="32768"/>
        </w:sectPr>
      </w:pPr>
    </w:p>
    <w:p>
      <w:pPr>
        <w:pStyle w:val="0212161"/>
        <w:rPr>
          <w:rFonts w:eastAsia="Times New Roman"/>
          <w:sz w:val="20"/>
          <w:szCs w:val="20"/>
          <w:lang w:eastAsia="ru-RU"/>
        </w:rPr>
      </w:pPr>
      <w:bookmarkStart w:id="21" w:name="_Toc182210443"/>
      <w:bookmarkStart w:id="22" w:name="_Toc69231553"/>
      <w:bookmarkStart w:id="23" w:name="_Toc69064764"/>
      <w:r>
        <w:rPr/>
        <w:t>2.2 Объекты регионального значения</w:t>
      </w:r>
      <w:bookmarkEnd w:id="21"/>
      <w:bookmarkEnd w:id="22"/>
      <w:bookmarkEnd w:id="23"/>
      <w:r>
        <w:rPr/>
        <w:t xml:space="preserve"> </w:t>
      </w:r>
    </w:p>
    <w:p>
      <w:pPr>
        <w:sectPr>
          <w:headerReference w:type="default" r:id="rId28"/>
          <w:footerReference w:type="default" r:id="rId29"/>
          <w:type w:val="nextPage"/>
          <w:pgSz w:w="11906" w:h="16838"/>
          <w:pgMar w:left="1418" w:right="567" w:header="567" w:top="1134" w:footer="567" w:bottom="1134" w:gutter="0"/>
          <w:pgNumType w:fmt="decimal"/>
          <w:formProt w:val="false"/>
          <w:textDirection w:val="lrTb"/>
          <w:docGrid w:type="default" w:linePitch="600" w:charSpace="32768"/>
        </w:sectPr>
        <w:pStyle w:val="Normal"/>
        <w:spacing w:lineRule="auto" w:line="276"/>
        <w:ind w:firstLine="709"/>
        <w:rPr>
          <w:szCs w:val="24"/>
        </w:rPr>
      </w:pPr>
      <w:r>
        <w:rPr>
          <w:szCs w:val="24"/>
        </w:rPr>
        <w:t>Сведения о видах, назначении и наименовании планируемых для размещения на территории Катенинского сельского поселения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представлены в таблице 2.1.</w:t>
      </w:r>
    </w:p>
    <w:p>
      <w:pPr>
        <w:pStyle w:val="Normal"/>
        <w:spacing w:lineRule="auto" w:line="276"/>
        <w:ind w:firstLine="709"/>
        <w:jc w:val="right"/>
        <w:rPr>
          <w:rFonts w:eastAsia="Calibri" w:eastAsiaTheme="minorHAnsi"/>
          <w:szCs w:val="24"/>
          <w:lang w:eastAsia="ru-RU"/>
        </w:rPr>
      </w:pPr>
      <w:r>
        <w:rPr>
          <w:rFonts w:eastAsia="Calibri" w:eastAsiaTheme="minorHAnsi"/>
          <w:szCs w:val="24"/>
        </w:rPr>
        <w:t>Таблица 2.1</w:t>
      </w:r>
    </w:p>
    <w:p>
      <w:pPr>
        <w:pStyle w:val="Normal"/>
        <w:spacing w:lineRule="auto" w:line="276"/>
        <w:jc w:val="center"/>
        <w:rPr>
          <w:rFonts w:eastAsia="Times New Roman"/>
          <w:szCs w:val="24"/>
        </w:rPr>
      </w:pPr>
      <w:r>
        <w:rPr>
          <w:szCs w:val="24"/>
        </w:rPr>
        <w:t>Сведения о видах, назначении и наименовании планируемых для размещения на территории сельского поселения объектов регионального значения, их основные характеристики, местоположение, характеристики зон с особыми условиями использования территорий</w:t>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368"/>
        <w:gridCol w:w="1981"/>
        <w:gridCol w:w="2106"/>
        <w:gridCol w:w="2226"/>
        <w:gridCol w:w="1113"/>
        <w:gridCol w:w="1857"/>
        <w:gridCol w:w="2118"/>
        <w:gridCol w:w="2799"/>
      </w:tblGrid>
      <w:tr>
        <w:trPr>
          <w:trHeight w:val="711" w:hRule="atLeast"/>
          <w:cantSplit w:val="true"/>
        </w:trPr>
        <w:tc>
          <w:tcPr>
            <w:tcW w:w="368"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Calibri" w:eastAsiaTheme="minorHAnsi"/>
                <w:b/>
                <w:b/>
                <w:bCs/>
                <w:sz w:val="20"/>
                <w:szCs w:val="20"/>
              </w:rPr>
            </w:pPr>
            <w:r>
              <w:rPr>
                <w:rFonts w:eastAsia="Calibri" w:eastAsiaTheme="minorHAnsi"/>
                <w:b/>
                <w:bCs/>
                <w:sz w:val="20"/>
                <w:szCs w:val="20"/>
              </w:rPr>
              <w:t>№</w:t>
            </w:r>
          </w:p>
        </w:tc>
        <w:tc>
          <w:tcPr>
            <w:tcW w:w="1981"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Calibri" w:eastAsiaTheme="minorHAnsi"/>
                <w:b/>
                <w:b/>
                <w:bCs/>
                <w:sz w:val="20"/>
                <w:szCs w:val="20"/>
              </w:rPr>
            </w:pPr>
            <w:r>
              <w:rPr>
                <w:rFonts w:eastAsia="Calibri" w:eastAsiaTheme="minorHAnsi"/>
                <w:b/>
                <w:bCs/>
                <w:sz w:val="20"/>
                <w:szCs w:val="20"/>
              </w:rPr>
              <w:t>Вид, назначение объекта</w:t>
            </w:r>
          </w:p>
        </w:tc>
        <w:tc>
          <w:tcPr>
            <w:tcW w:w="2106"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Calibri" w:eastAsiaTheme="minorHAnsi"/>
                <w:sz w:val="20"/>
                <w:szCs w:val="20"/>
              </w:rPr>
            </w:pPr>
            <w:r>
              <w:rPr>
                <w:rFonts w:eastAsia="Calibri" w:eastAsiaTheme="minorHAnsi"/>
                <w:b/>
                <w:bCs/>
                <w:sz w:val="20"/>
                <w:szCs w:val="20"/>
              </w:rPr>
              <w:t>Наименование объекта</w:t>
            </w:r>
          </w:p>
        </w:tc>
        <w:tc>
          <w:tcPr>
            <w:tcW w:w="2226" w:type="dxa"/>
            <w:tcBorders>
              <w:top w:val="single" w:sz="4" w:space="0" w:color="000000"/>
              <w:left w:val="single" w:sz="4" w:space="0" w:color="000000"/>
              <w:right w:val="single" w:sz="4" w:space="0" w:color="000000"/>
            </w:tcBorders>
            <w:vAlign w:val="center"/>
          </w:tcPr>
          <w:p>
            <w:pPr>
              <w:pStyle w:val="Normal"/>
              <w:spacing w:lineRule="auto" w:line="240"/>
              <w:ind w:left="-113" w:right="-113" w:hanging="0"/>
              <w:jc w:val="center"/>
              <w:rPr>
                <w:rFonts w:eastAsia="Calibri" w:eastAsiaTheme="minorHAnsi"/>
                <w:b/>
                <w:b/>
                <w:bCs/>
                <w:sz w:val="20"/>
                <w:szCs w:val="20"/>
              </w:rPr>
            </w:pPr>
            <w:r>
              <w:rPr>
                <w:rFonts w:eastAsia="Calibri" w:eastAsiaTheme="minorHAnsi"/>
                <w:b/>
                <w:bCs/>
                <w:sz w:val="20"/>
                <w:szCs w:val="20"/>
              </w:rPr>
              <w:t>Местоположение объекта</w:t>
            </w:r>
          </w:p>
        </w:tc>
        <w:tc>
          <w:tcPr>
            <w:tcW w:w="1113" w:type="dxa"/>
            <w:tcBorders>
              <w:top w:val="single" w:sz="4" w:space="0" w:color="000000"/>
              <w:left w:val="single" w:sz="4" w:space="0" w:color="000000"/>
              <w:right w:val="single" w:sz="4" w:space="0" w:color="000000"/>
            </w:tcBorders>
            <w:vAlign w:val="center"/>
          </w:tcPr>
          <w:p>
            <w:pPr>
              <w:pStyle w:val="Normal"/>
              <w:spacing w:lineRule="auto" w:line="240"/>
              <w:ind w:left="-113" w:right="-113" w:hanging="0"/>
              <w:jc w:val="center"/>
              <w:rPr>
                <w:rFonts w:eastAsia="Calibri" w:eastAsiaTheme="minorHAnsi"/>
                <w:b/>
                <w:b/>
                <w:bCs/>
                <w:sz w:val="20"/>
                <w:szCs w:val="20"/>
              </w:rPr>
            </w:pPr>
            <w:r>
              <w:rPr>
                <w:rFonts w:eastAsia="Calibri" w:eastAsiaTheme="minorHAnsi"/>
                <w:b/>
                <w:bCs/>
                <w:sz w:val="20"/>
                <w:szCs w:val="20"/>
              </w:rPr>
              <w:t>Срок реализации</w:t>
            </w:r>
          </w:p>
        </w:tc>
        <w:tc>
          <w:tcPr>
            <w:tcW w:w="1857" w:type="dxa"/>
            <w:tcBorders>
              <w:top w:val="single" w:sz="4" w:space="0" w:color="000000"/>
              <w:left w:val="single" w:sz="4" w:space="0" w:color="000000"/>
              <w:right w:val="single" w:sz="4" w:space="0" w:color="000000"/>
            </w:tcBorders>
          </w:tcPr>
          <w:p>
            <w:pPr>
              <w:pStyle w:val="Normal"/>
              <w:spacing w:lineRule="auto" w:line="240"/>
              <w:jc w:val="center"/>
              <w:rPr>
                <w:rFonts w:eastAsia="Calibri" w:eastAsiaTheme="minorHAnsi"/>
                <w:b/>
                <w:b/>
                <w:bCs/>
                <w:sz w:val="20"/>
                <w:szCs w:val="20"/>
              </w:rPr>
            </w:pPr>
            <w:r>
              <w:rPr>
                <w:b/>
                <w:sz w:val="20"/>
                <w:szCs w:val="20"/>
              </w:rPr>
              <w:t>Описание планируемых мероприятий</w:t>
            </w:r>
          </w:p>
        </w:tc>
        <w:tc>
          <w:tcPr>
            <w:tcW w:w="2118"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Calibri" w:eastAsiaTheme="minorHAnsi"/>
                <w:b/>
                <w:b/>
                <w:bCs/>
                <w:sz w:val="20"/>
                <w:szCs w:val="20"/>
              </w:rPr>
            </w:pPr>
            <w:r>
              <w:rPr>
                <w:rFonts w:eastAsia="Calibri" w:eastAsiaTheme="minorHAnsi"/>
                <w:b/>
                <w:bCs/>
                <w:sz w:val="20"/>
                <w:szCs w:val="20"/>
              </w:rPr>
              <w:t>Основные характеристики объекта</w:t>
            </w:r>
          </w:p>
        </w:tc>
        <w:tc>
          <w:tcPr>
            <w:tcW w:w="2799"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Calibri" w:eastAsiaTheme="minorHAnsi"/>
                <w:b/>
                <w:b/>
                <w:bCs/>
                <w:sz w:val="20"/>
                <w:szCs w:val="20"/>
              </w:rPr>
            </w:pPr>
            <w:r>
              <w:rPr>
                <w:rFonts w:eastAsia="Calibri" w:eastAsiaTheme="minorHAnsi"/>
                <w:b/>
                <w:bCs/>
                <w:sz w:val="20"/>
                <w:szCs w:val="20"/>
              </w:rPr>
              <w:t>Характеристики зон с особыми условиями использования территорий</w:t>
            </w:r>
          </w:p>
        </w:tc>
      </w:tr>
    </w:tbl>
    <w:p>
      <w:pPr>
        <w:pStyle w:val="Normal"/>
        <w:spacing w:lineRule="auto" w:line="9"/>
        <w:jc w:val="center"/>
        <w:rPr>
          <w:rFonts w:eastAsia="Calibri" w:eastAsiaTheme="minorHAnsi"/>
          <w:color w:val="000000"/>
          <w:szCs w:val="24"/>
        </w:rPr>
      </w:pPr>
      <w:r>
        <w:rPr>
          <w:rFonts w:eastAsia="Calibri" w:eastAsiaTheme="minorHAnsi"/>
          <w:color w:val="000000"/>
          <w:szCs w:val="24"/>
        </w:rPr>
      </w:r>
    </w:p>
    <w:tbl>
      <w:tblPr>
        <w:tblW w:w="5000" w:type="pct"/>
        <w:jc w:val="center"/>
        <w:tblInd w:w="0" w:type="dxa"/>
        <w:tblCellMar>
          <w:top w:w="0" w:type="dxa"/>
          <w:left w:w="108" w:type="dxa"/>
          <w:bottom w:w="0" w:type="dxa"/>
          <w:right w:w="108" w:type="dxa"/>
        </w:tblCellMar>
        <w:tblLook w:firstRow="1" w:noVBand="1" w:lastRow="0" w:firstColumn="1" w:lastColumn="0" w:noHBand="0" w:val="04a0"/>
      </w:tblPr>
      <w:tblGrid>
        <w:gridCol w:w="367"/>
        <w:gridCol w:w="1978"/>
        <w:gridCol w:w="2104"/>
        <w:gridCol w:w="2225"/>
        <w:gridCol w:w="1115"/>
        <w:gridCol w:w="1856"/>
        <w:gridCol w:w="2124"/>
        <w:gridCol w:w="2799"/>
      </w:tblGrid>
      <w:tr>
        <w:trPr>
          <w:tblHeader w:val="true"/>
          <w:trHeight w:val="20" w:hRule="atLeast"/>
        </w:trPr>
        <w:tc>
          <w:tcPr>
            <w:tcW w:w="36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b/>
                <w:b/>
                <w:bCs/>
                <w:sz w:val="20"/>
                <w:szCs w:val="20"/>
              </w:rPr>
            </w:pPr>
            <w:r>
              <w:rPr>
                <w:rFonts w:eastAsia="Calibri" w:eastAsiaTheme="minorHAnsi"/>
                <w:b/>
                <w:bCs/>
                <w:sz w:val="20"/>
                <w:szCs w:val="20"/>
              </w:rPr>
              <w:t>1</w:t>
            </w:r>
          </w:p>
        </w:tc>
        <w:tc>
          <w:tcPr>
            <w:tcW w:w="197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b/>
                <w:b/>
                <w:sz w:val="20"/>
                <w:szCs w:val="20"/>
              </w:rPr>
            </w:pPr>
            <w:r>
              <w:rPr>
                <w:rFonts w:eastAsia="Calibri" w:eastAsiaTheme="minorHAnsi"/>
                <w:b/>
                <w:sz w:val="20"/>
                <w:szCs w:val="20"/>
              </w:rPr>
              <w:t>2</w:t>
            </w:r>
          </w:p>
        </w:tc>
        <w:tc>
          <w:tcPr>
            <w:tcW w:w="2104" w:type="dxa"/>
            <w:tcBorders>
              <w:top w:val="single" w:sz="4" w:space="0" w:color="000000"/>
              <w:left w:val="single" w:sz="4" w:space="0" w:color="000000"/>
              <w:bottom w:val="single" w:sz="4" w:space="0" w:color="000000"/>
              <w:right w:val="single" w:sz="4" w:space="0" w:color="000000"/>
            </w:tcBorders>
          </w:tcPr>
          <w:p>
            <w:pPr>
              <w:pStyle w:val="Normal"/>
              <w:spacing w:lineRule="auto" w:line="240"/>
              <w:ind w:left="-113" w:right="-113" w:hanging="0"/>
              <w:jc w:val="center"/>
              <w:rPr>
                <w:rFonts w:eastAsia="Calibri" w:eastAsiaTheme="minorHAnsi"/>
                <w:b/>
                <w:b/>
                <w:bCs/>
                <w:sz w:val="20"/>
                <w:szCs w:val="20"/>
              </w:rPr>
            </w:pPr>
            <w:r>
              <w:rPr>
                <w:rFonts w:eastAsia="Calibri" w:eastAsiaTheme="minorHAnsi"/>
                <w:b/>
                <w:bCs/>
                <w:sz w:val="20"/>
                <w:szCs w:val="20"/>
              </w:rPr>
              <w:t>3</w:t>
            </w:r>
          </w:p>
        </w:tc>
        <w:tc>
          <w:tcPr>
            <w:tcW w:w="2225" w:type="dxa"/>
            <w:tcBorders>
              <w:top w:val="single" w:sz="4" w:space="0" w:color="000000"/>
              <w:left w:val="single" w:sz="4" w:space="0" w:color="000000"/>
              <w:bottom w:val="single" w:sz="4" w:space="0" w:color="000000"/>
              <w:right w:val="single" w:sz="4" w:space="0" w:color="000000"/>
            </w:tcBorders>
          </w:tcPr>
          <w:p>
            <w:pPr>
              <w:pStyle w:val="Normal"/>
              <w:spacing w:lineRule="auto" w:line="240"/>
              <w:ind w:left="-113" w:right="-113" w:hanging="0"/>
              <w:jc w:val="center"/>
              <w:rPr>
                <w:rFonts w:eastAsia="Calibri" w:eastAsiaTheme="minorHAnsi"/>
                <w:b/>
                <w:b/>
                <w:bCs/>
                <w:sz w:val="20"/>
                <w:szCs w:val="20"/>
              </w:rPr>
            </w:pPr>
            <w:r>
              <w:rPr>
                <w:rFonts w:eastAsia="Calibri" w:eastAsiaTheme="minorHAnsi"/>
                <w:b/>
                <w:bCs/>
                <w:sz w:val="20"/>
                <w:szCs w:val="20"/>
              </w:rPr>
              <w:t>4</w:t>
            </w:r>
          </w:p>
        </w:tc>
        <w:tc>
          <w:tcPr>
            <w:tcW w:w="111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b/>
                <w:b/>
                <w:bCs/>
                <w:sz w:val="20"/>
                <w:szCs w:val="20"/>
              </w:rPr>
            </w:pPr>
            <w:r>
              <w:rPr>
                <w:rFonts w:eastAsia="Calibri" w:eastAsiaTheme="minorHAnsi"/>
                <w:b/>
                <w:bCs/>
                <w:sz w:val="20"/>
                <w:szCs w:val="20"/>
              </w:rPr>
              <w:t>5</w:t>
            </w:r>
          </w:p>
        </w:tc>
        <w:tc>
          <w:tcPr>
            <w:tcW w:w="18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b/>
                <w:b/>
                <w:bCs/>
                <w:sz w:val="20"/>
                <w:szCs w:val="20"/>
              </w:rPr>
            </w:pPr>
            <w:r>
              <w:rPr>
                <w:rFonts w:eastAsia="Calibri" w:eastAsiaTheme="minorHAnsi"/>
                <w:b/>
                <w:bCs/>
                <w:sz w:val="20"/>
                <w:szCs w:val="20"/>
              </w:rPr>
              <w:t>6</w:t>
            </w:r>
          </w:p>
        </w:tc>
        <w:tc>
          <w:tcPr>
            <w:tcW w:w="212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b/>
                <w:b/>
                <w:bCs/>
                <w:sz w:val="20"/>
                <w:szCs w:val="20"/>
              </w:rPr>
            </w:pPr>
            <w:r>
              <w:rPr>
                <w:rFonts w:eastAsia="Calibri" w:eastAsiaTheme="minorHAnsi"/>
                <w:b/>
                <w:bCs/>
                <w:sz w:val="20"/>
                <w:szCs w:val="20"/>
              </w:rPr>
              <w:t>7</w:t>
            </w:r>
          </w:p>
        </w:tc>
        <w:tc>
          <w:tcPr>
            <w:tcW w:w="27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b/>
                <w:b/>
                <w:bCs/>
                <w:sz w:val="20"/>
                <w:szCs w:val="20"/>
              </w:rPr>
            </w:pPr>
            <w:r>
              <w:rPr>
                <w:rFonts w:eastAsia="Calibri" w:eastAsiaTheme="minorHAnsi"/>
                <w:b/>
                <w:bCs/>
                <w:sz w:val="20"/>
                <w:szCs w:val="20"/>
              </w:rPr>
              <w:t>8</w:t>
            </w:r>
          </w:p>
        </w:tc>
      </w:tr>
      <w:tr>
        <w:trPr>
          <w:trHeight w:val="20" w:hRule="atLeast"/>
        </w:trPr>
        <w:tc>
          <w:tcPr>
            <w:tcW w:w="14568" w:type="dxa"/>
            <w:gridSpan w:val="8"/>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b/>
                <w:b/>
                <w:color w:val="000000" w:themeColor="text1"/>
                <w:sz w:val="20"/>
                <w:szCs w:val="20"/>
              </w:rPr>
            </w:pPr>
            <w:r>
              <w:rPr>
                <w:rFonts w:eastAsia="Calibri" w:eastAsiaTheme="minorHAnsi"/>
                <w:b/>
                <w:color w:val="000000" w:themeColor="text1"/>
                <w:sz w:val="20"/>
                <w:szCs w:val="20"/>
              </w:rPr>
              <w:t>Схема территориального планирования Челябинской области</w:t>
            </w:r>
          </w:p>
          <w:p>
            <w:pPr>
              <w:pStyle w:val="Normal"/>
              <w:spacing w:lineRule="auto" w:line="240"/>
              <w:jc w:val="center"/>
              <w:rPr>
                <w:rFonts w:eastAsia="Calibri" w:eastAsiaTheme="minorHAnsi"/>
                <w:b/>
                <w:b/>
                <w:sz w:val="20"/>
                <w:szCs w:val="20"/>
              </w:rPr>
            </w:pPr>
            <w:r>
              <w:rPr>
                <w:b/>
                <w:sz w:val="20"/>
                <w:szCs w:val="20"/>
              </w:rPr>
              <w:t>(утверждена постановлением Правительства Челябинской области от 30 апреля 2021 г. №172-п)</w:t>
            </w:r>
          </w:p>
        </w:tc>
      </w:tr>
      <w:tr>
        <w:trPr>
          <w:trHeight w:val="1219" w:hRule="atLeast"/>
        </w:trPr>
        <w:tc>
          <w:tcPr>
            <w:tcW w:w="36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Calibri" w:eastAsiaTheme="minorHAnsi"/>
                <w:sz w:val="20"/>
                <w:szCs w:val="20"/>
              </w:rPr>
              <w:t>1</w:t>
            </w:r>
          </w:p>
        </w:tc>
        <w:tc>
          <w:tcPr>
            <w:tcW w:w="197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Times New Roman"/>
                <w:sz w:val="20"/>
                <w:szCs w:val="20"/>
                <w:lang w:eastAsia="ru-RU"/>
              </w:rPr>
              <w:t>Организация транспортной инфраструктуры</w:t>
            </w:r>
          </w:p>
        </w:tc>
        <w:tc>
          <w:tcPr>
            <w:tcW w:w="210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Times New Roman"/>
                <w:sz w:val="20"/>
                <w:szCs w:val="20"/>
                <w:lang w:eastAsia="ru-RU"/>
              </w:rPr>
              <w:t>Автодорога «Новониколаевка – Катенино»</w:t>
            </w:r>
          </w:p>
        </w:tc>
        <w:tc>
          <w:tcPr>
            <w:tcW w:w="222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Times New Roman"/>
                <w:sz w:val="20"/>
                <w:szCs w:val="20"/>
                <w:lang w:eastAsia="ru-RU"/>
              </w:rPr>
              <w:t>Варненский муниципальный район, Катенинское сельское поселение</w:t>
            </w:r>
          </w:p>
        </w:tc>
        <w:tc>
          <w:tcPr>
            <w:tcW w:w="111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sz w:val="20"/>
                <w:szCs w:val="20"/>
              </w:rPr>
            </w:pPr>
            <w:r>
              <w:rPr>
                <w:rFonts w:eastAsia="Calibri" w:eastAsiaTheme="minorHAnsi"/>
                <w:color w:val="000000" w:themeColor="text1"/>
                <w:sz w:val="20"/>
                <w:szCs w:val="20"/>
              </w:rPr>
              <w:t>До 2043 года</w:t>
            </w:r>
          </w:p>
        </w:tc>
        <w:tc>
          <w:tcPr>
            <w:tcW w:w="18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Calibri" w:eastAsiaTheme="minorHAnsi"/>
                <w:sz w:val="20"/>
                <w:szCs w:val="20"/>
              </w:rPr>
              <w:t>Строительство</w:t>
            </w:r>
          </w:p>
        </w:tc>
        <w:tc>
          <w:tcPr>
            <w:tcW w:w="212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Протяженность — 12,38 км;</w:t>
            </w:r>
          </w:p>
          <w:p>
            <w:pPr>
              <w:pStyle w:val="Normal"/>
              <w:spacing w:lineRule="auto" w:line="240"/>
              <w:jc w:val="left"/>
              <w:rPr>
                <w:rFonts w:eastAsia="Calibri" w:eastAsiaTheme="minorHAnsi"/>
                <w:sz w:val="20"/>
                <w:szCs w:val="20"/>
              </w:rPr>
            </w:pPr>
            <w:r>
              <w:rPr>
                <w:rFonts w:eastAsia="Times New Roman"/>
                <w:sz w:val="20"/>
                <w:szCs w:val="20"/>
                <w:lang w:eastAsia="ru-RU"/>
              </w:rPr>
              <w:t>категория автомобильной дороги — IV</w:t>
            </w:r>
          </w:p>
        </w:tc>
        <w:tc>
          <w:tcPr>
            <w:tcW w:w="27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Times New Roman"/>
                <w:sz w:val="20"/>
                <w:szCs w:val="20"/>
                <w:lang w:eastAsia="ru-RU"/>
              </w:rPr>
              <w:t>Организация транспортной инфраструктуры</w:t>
            </w:r>
          </w:p>
        </w:tc>
      </w:tr>
      <w:tr>
        <w:trPr>
          <w:trHeight w:val="1219" w:hRule="atLeast"/>
        </w:trPr>
        <w:tc>
          <w:tcPr>
            <w:tcW w:w="36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Calibri" w:eastAsiaTheme="minorHAnsi"/>
                <w:sz w:val="20"/>
                <w:szCs w:val="20"/>
              </w:rPr>
              <w:t>2</w:t>
            </w:r>
          </w:p>
        </w:tc>
        <w:tc>
          <w:tcPr>
            <w:tcW w:w="197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Times New Roman"/>
                <w:sz w:val="20"/>
                <w:szCs w:val="20"/>
                <w:lang w:eastAsia="ru-RU"/>
              </w:rPr>
              <w:t>Организация транспортной инфраструктуры</w:t>
            </w:r>
          </w:p>
        </w:tc>
        <w:tc>
          <w:tcPr>
            <w:tcW w:w="210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Times New Roman"/>
                <w:sz w:val="20"/>
                <w:szCs w:val="20"/>
                <w:lang w:eastAsia="ru-RU"/>
              </w:rPr>
              <w:t>Автодорога «Караоба – Кулевчи»</w:t>
            </w:r>
          </w:p>
        </w:tc>
        <w:tc>
          <w:tcPr>
            <w:tcW w:w="222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Times New Roman"/>
                <w:sz w:val="20"/>
                <w:szCs w:val="20"/>
                <w:lang w:eastAsia="ru-RU"/>
              </w:rPr>
              <w:t>Варненский муниципальный район, Катенинское сельское поселение</w:t>
            </w:r>
          </w:p>
        </w:tc>
        <w:tc>
          <w:tcPr>
            <w:tcW w:w="111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sz w:val="20"/>
                <w:szCs w:val="20"/>
              </w:rPr>
            </w:pPr>
            <w:r>
              <w:rPr>
                <w:rFonts w:eastAsia="Calibri" w:eastAsiaTheme="minorHAnsi"/>
                <w:color w:val="000000" w:themeColor="text1"/>
                <w:sz w:val="20"/>
                <w:szCs w:val="20"/>
              </w:rPr>
              <w:t>До 2043 года</w:t>
            </w:r>
          </w:p>
        </w:tc>
        <w:tc>
          <w:tcPr>
            <w:tcW w:w="18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Calibri" w:eastAsiaTheme="minorHAnsi"/>
                <w:color w:val="000000" w:themeColor="text1"/>
                <w:sz w:val="20"/>
                <w:szCs w:val="20"/>
              </w:rPr>
              <w:t>Строительство</w:t>
            </w:r>
          </w:p>
        </w:tc>
        <w:tc>
          <w:tcPr>
            <w:tcW w:w="212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rPr>
            </w:pPr>
            <w:r>
              <w:rPr>
                <w:rFonts w:eastAsia="Arial Unicode MS"/>
                <w:sz w:val="20"/>
                <w:szCs w:val="20"/>
              </w:rPr>
              <w:t xml:space="preserve">Протяженность — </w:t>
            </w:r>
            <w:r>
              <w:rPr>
                <w:rFonts w:eastAsia="Times New Roman"/>
                <w:sz w:val="20"/>
                <w:szCs w:val="20"/>
                <w:lang w:eastAsia="ru-RU"/>
              </w:rPr>
              <w:t>2,95 км;</w:t>
            </w:r>
          </w:p>
          <w:p>
            <w:pPr>
              <w:pStyle w:val="Normal"/>
              <w:spacing w:lineRule="auto" w:line="240"/>
              <w:jc w:val="left"/>
              <w:rPr>
                <w:rFonts w:eastAsia="Calibri" w:eastAsiaTheme="minorHAnsi"/>
                <w:sz w:val="20"/>
                <w:szCs w:val="20"/>
              </w:rPr>
            </w:pPr>
            <w:r>
              <w:rPr>
                <w:rFonts w:eastAsia="Arial Unicode MS"/>
                <w:sz w:val="20"/>
                <w:szCs w:val="20"/>
              </w:rPr>
              <w:t xml:space="preserve">категория автомобильной дороги — </w:t>
            </w:r>
            <w:r>
              <w:rPr>
                <w:rFonts w:eastAsia="Times New Roman"/>
                <w:sz w:val="20"/>
                <w:szCs w:val="20"/>
                <w:lang w:val="en-US"/>
              </w:rPr>
              <w:t>IV</w:t>
            </w:r>
          </w:p>
        </w:tc>
        <w:tc>
          <w:tcPr>
            <w:tcW w:w="27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Times New Roman"/>
                <w:sz w:val="20"/>
                <w:szCs w:val="20"/>
                <w:lang w:eastAsia="ru-RU"/>
              </w:rPr>
              <w:t>Организация транспортной инфраструктуры</w:t>
            </w:r>
          </w:p>
        </w:tc>
      </w:tr>
      <w:tr>
        <w:trPr>
          <w:trHeight w:val="20" w:hRule="atLeast"/>
        </w:trPr>
        <w:tc>
          <w:tcPr>
            <w:tcW w:w="36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Calibri" w:eastAsiaTheme="minorHAnsi"/>
                <w:sz w:val="20"/>
                <w:szCs w:val="20"/>
              </w:rPr>
              <w:t>3</w:t>
            </w:r>
          </w:p>
        </w:tc>
        <w:tc>
          <w:tcPr>
            <w:tcW w:w="1978" w:type="dxa"/>
            <w:tcBorders>
              <w:top w:val="single" w:sz="4" w:space="0" w:color="000000"/>
              <w:left w:val="single" w:sz="4" w:space="0" w:color="000000"/>
              <w:bottom w:val="single" w:sz="4" w:space="0" w:color="000000"/>
              <w:right w:val="single" w:sz="4" w:space="0" w:color="000000"/>
            </w:tcBorders>
          </w:tcPr>
          <w:p>
            <w:pPr>
              <w:pStyle w:val="Normal"/>
              <w:spacing w:lineRule="auto" w:line="240"/>
              <w:ind w:right="-26" w:hanging="0"/>
              <w:jc w:val="left"/>
              <w:rPr>
                <w:rFonts w:eastAsia="Calibri" w:eastAsiaTheme="minorHAnsi"/>
                <w:sz w:val="20"/>
                <w:szCs w:val="20"/>
              </w:rPr>
            </w:pPr>
            <w:r>
              <w:rPr>
                <w:rFonts w:eastAsia="Times New Roman"/>
                <w:sz w:val="20"/>
                <w:szCs w:val="20"/>
                <w:lang w:eastAsia="ru-RU"/>
              </w:rPr>
              <w:t>Организация транспортной инфраструктуры</w:t>
            </w:r>
          </w:p>
        </w:tc>
        <w:tc>
          <w:tcPr>
            <w:tcW w:w="210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Times New Roman"/>
                <w:sz w:val="20"/>
                <w:szCs w:val="20"/>
                <w:lang w:eastAsia="ru-RU"/>
              </w:rPr>
              <w:t>Автодорога «Комсомольский – Новопокровка»</w:t>
            </w:r>
          </w:p>
        </w:tc>
        <w:tc>
          <w:tcPr>
            <w:tcW w:w="222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color w:val="000000" w:themeColor="text1"/>
                <w:sz w:val="20"/>
                <w:szCs w:val="20"/>
              </w:rPr>
            </w:pPr>
            <w:r>
              <w:rPr>
                <w:rFonts w:eastAsia="Times New Roman"/>
                <w:sz w:val="20"/>
                <w:szCs w:val="20"/>
                <w:lang w:eastAsia="ru-RU"/>
              </w:rPr>
              <w:t>Варненский муниципальный район, Катенинское сельское поселение</w:t>
            </w:r>
          </w:p>
        </w:tc>
        <w:tc>
          <w:tcPr>
            <w:tcW w:w="111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sz w:val="20"/>
                <w:szCs w:val="20"/>
              </w:rPr>
            </w:pPr>
            <w:r>
              <w:rPr>
                <w:rFonts w:eastAsia="Calibri" w:eastAsiaTheme="minorHAnsi"/>
                <w:color w:val="000000" w:themeColor="text1"/>
                <w:sz w:val="20"/>
                <w:szCs w:val="20"/>
              </w:rPr>
              <w:t>До 2043 года</w:t>
            </w:r>
          </w:p>
        </w:tc>
        <w:tc>
          <w:tcPr>
            <w:tcW w:w="18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Строительство</w:t>
            </w:r>
          </w:p>
        </w:tc>
        <w:tc>
          <w:tcPr>
            <w:tcW w:w="212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rPr>
            </w:pPr>
            <w:r>
              <w:rPr>
                <w:rFonts w:eastAsia="Arial Unicode MS"/>
                <w:sz w:val="20"/>
                <w:szCs w:val="20"/>
              </w:rPr>
              <w:t xml:space="preserve">Протяженность — </w:t>
            </w:r>
            <w:r>
              <w:rPr>
                <w:rFonts w:eastAsia="Times New Roman"/>
                <w:sz w:val="20"/>
                <w:szCs w:val="20"/>
                <w:lang w:eastAsia="ru-RU"/>
              </w:rPr>
              <w:t>4,66 км;</w:t>
            </w:r>
          </w:p>
          <w:p>
            <w:pPr>
              <w:pStyle w:val="Normal"/>
              <w:spacing w:lineRule="auto" w:line="240"/>
              <w:jc w:val="left"/>
              <w:rPr>
                <w:rFonts w:eastAsia="Calibri" w:eastAsiaTheme="minorHAnsi"/>
                <w:sz w:val="20"/>
                <w:szCs w:val="20"/>
              </w:rPr>
            </w:pPr>
            <w:r>
              <w:rPr>
                <w:rFonts w:eastAsia="Arial Unicode MS"/>
                <w:sz w:val="20"/>
                <w:szCs w:val="20"/>
              </w:rPr>
              <w:t xml:space="preserve">категория автомобильной дороги — </w:t>
            </w:r>
            <w:r>
              <w:rPr>
                <w:rFonts w:eastAsia="Times New Roman"/>
                <w:sz w:val="20"/>
                <w:szCs w:val="20"/>
                <w:lang w:val="en-US"/>
              </w:rPr>
              <w:t>IV</w:t>
            </w:r>
          </w:p>
        </w:tc>
        <w:tc>
          <w:tcPr>
            <w:tcW w:w="27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Times New Roman"/>
                <w:sz w:val="20"/>
                <w:szCs w:val="20"/>
                <w:lang w:eastAsia="ru-RU"/>
              </w:rPr>
              <w:t>Организация транспортной инфраструктуры</w:t>
            </w:r>
          </w:p>
        </w:tc>
      </w:tr>
      <w:tr>
        <w:trPr>
          <w:trHeight w:val="20" w:hRule="atLeast"/>
        </w:trPr>
        <w:tc>
          <w:tcPr>
            <w:tcW w:w="36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Calibri" w:eastAsiaTheme="minorHAnsi"/>
                <w:sz w:val="20"/>
                <w:szCs w:val="20"/>
              </w:rPr>
              <w:t>4</w:t>
            </w:r>
          </w:p>
        </w:tc>
        <w:tc>
          <w:tcPr>
            <w:tcW w:w="1978" w:type="dxa"/>
            <w:tcBorders>
              <w:top w:val="single" w:sz="4" w:space="0" w:color="000000"/>
              <w:left w:val="single" w:sz="4" w:space="0" w:color="000000"/>
              <w:bottom w:val="single" w:sz="4" w:space="0" w:color="000000"/>
              <w:right w:val="single" w:sz="4" w:space="0" w:color="000000"/>
            </w:tcBorders>
          </w:tcPr>
          <w:p>
            <w:pPr>
              <w:pStyle w:val="Normal"/>
              <w:spacing w:lineRule="auto" w:line="240"/>
              <w:ind w:right="-26" w:hanging="0"/>
              <w:jc w:val="left"/>
              <w:rPr>
                <w:rFonts w:eastAsia="Times New Roman"/>
                <w:sz w:val="20"/>
                <w:szCs w:val="20"/>
                <w:lang w:eastAsia="ru-RU"/>
              </w:rPr>
            </w:pPr>
            <w:r>
              <w:rPr>
                <w:rFonts w:eastAsia="Times New Roman"/>
                <w:sz w:val="20"/>
                <w:szCs w:val="20"/>
                <w:lang w:eastAsia="ru-RU"/>
              </w:rPr>
              <w:t>Организация транспортной инфраструктуры</w:t>
            </w:r>
          </w:p>
        </w:tc>
        <w:tc>
          <w:tcPr>
            <w:tcW w:w="210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 xml:space="preserve">Автодорога «Кызыл – Маяк – Красноармейский» </w:t>
            </w:r>
          </w:p>
        </w:tc>
        <w:tc>
          <w:tcPr>
            <w:tcW w:w="222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Варненский муниципальный район, Катенинское сельское поселение</w:t>
            </w:r>
          </w:p>
        </w:tc>
        <w:tc>
          <w:tcPr>
            <w:tcW w:w="111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color w:val="000000" w:themeColor="text1"/>
                <w:sz w:val="20"/>
                <w:szCs w:val="20"/>
              </w:rPr>
            </w:pPr>
            <w:r>
              <w:rPr>
                <w:rFonts w:eastAsia="Calibri" w:eastAsiaTheme="minorHAnsi"/>
                <w:color w:val="000000" w:themeColor="text1"/>
                <w:sz w:val="20"/>
                <w:szCs w:val="20"/>
              </w:rPr>
              <w:t>До 2043 года</w:t>
            </w:r>
          </w:p>
        </w:tc>
        <w:tc>
          <w:tcPr>
            <w:tcW w:w="18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Строительство</w:t>
            </w:r>
          </w:p>
        </w:tc>
        <w:tc>
          <w:tcPr>
            <w:tcW w:w="212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Arial Unicode MS"/>
                <w:sz w:val="20"/>
                <w:szCs w:val="20"/>
              </w:rPr>
            </w:pPr>
            <w:r>
              <w:rPr>
                <w:rFonts w:eastAsia="Arial Unicode MS"/>
                <w:sz w:val="20"/>
                <w:szCs w:val="20"/>
              </w:rPr>
              <w:t>Протяженность — 3,71 км;</w:t>
            </w:r>
          </w:p>
          <w:p>
            <w:pPr>
              <w:pStyle w:val="Normal"/>
              <w:spacing w:lineRule="auto" w:line="240"/>
              <w:jc w:val="left"/>
              <w:rPr>
                <w:rFonts w:eastAsia="Arial Unicode MS"/>
                <w:sz w:val="20"/>
                <w:szCs w:val="20"/>
              </w:rPr>
            </w:pPr>
            <w:r>
              <w:rPr>
                <w:rFonts w:eastAsia="Arial Unicode MS"/>
                <w:sz w:val="20"/>
                <w:szCs w:val="20"/>
              </w:rPr>
              <w:t>категория автомобильной дороги — IV</w:t>
            </w:r>
          </w:p>
        </w:tc>
        <w:tc>
          <w:tcPr>
            <w:tcW w:w="27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Организация транспортной инфраструктуры</w:t>
            </w:r>
          </w:p>
        </w:tc>
      </w:tr>
      <w:tr>
        <w:trPr>
          <w:trHeight w:val="20" w:hRule="atLeast"/>
        </w:trPr>
        <w:tc>
          <w:tcPr>
            <w:tcW w:w="36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Calibri" w:eastAsiaTheme="minorHAnsi"/>
                <w:sz w:val="20"/>
                <w:szCs w:val="20"/>
              </w:rPr>
              <w:t>6</w:t>
            </w:r>
          </w:p>
        </w:tc>
        <w:tc>
          <w:tcPr>
            <w:tcW w:w="1978" w:type="dxa"/>
            <w:tcBorders>
              <w:top w:val="single" w:sz="4" w:space="0" w:color="000000"/>
              <w:left w:val="single" w:sz="4" w:space="0" w:color="000000"/>
              <w:bottom w:val="single" w:sz="4" w:space="0" w:color="000000"/>
              <w:right w:val="single" w:sz="4" w:space="0" w:color="000000"/>
            </w:tcBorders>
          </w:tcPr>
          <w:p>
            <w:pPr>
              <w:pStyle w:val="Normal"/>
              <w:spacing w:lineRule="auto" w:line="240"/>
              <w:ind w:right="-26" w:hanging="0"/>
              <w:jc w:val="left"/>
              <w:rPr>
                <w:rFonts w:eastAsia="Times New Roman"/>
                <w:sz w:val="20"/>
                <w:szCs w:val="20"/>
                <w:lang w:eastAsia="ru-RU"/>
              </w:rPr>
            </w:pPr>
            <w:r>
              <w:rPr>
                <w:rFonts w:eastAsia="Times New Roman"/>
                <w:sz w:val="20"/>
                <w:szCs w:val="20"/>
                <w:lang w:eastAsia="ru-RU"/>
              </w:rPr>
              <w:t>Организация транспортной инфраструктуры</w:t>
            </w:r>
          </w:p>
        </w:tc>
        <w:tc>
          <w:tcPr>
            <w:tcW w:w="210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 xml:space="preserve">Транспортная развязка </w:t>
              <w:br/>
              <w:t xml:space="preserve">в разных уровнях </w:t>
            </w:r>
          </w:p>
        </w:tc>
        <w:tc>
          <w:tcPr>
            <w:tcW w:w="222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Варненский муниципальный район, Катенинское сельское поселение</w:t>
            </w:r>
          </w:p>
        </w:tc>
        <w:tc>
          <w:tcPr>
            <w:tcW w:w="111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color w:val="000000" w:themeColor="text1"/>
                <w:sz w:val="20"/>
                <w:szCs w:val="20"/>
              </w:rPr>
            </w:pPr>
            <w:r>
              <w:rPr>
                <w:rFonts w:eastAsia="Calibri" w:eastAsiaTheme="minorHAnsi"/>
                <w:color w:val="000000" w:themeColor="text1"/>
                <w:sz w:val="20"/>
                <w:szCs w:val="20"/>
              </w:rPr>
              <w:t>До 2033 года</w:t>
            </w:r>
          </w:p>
        </w:tc>
        <w:tc>
          <w:tcPr>
            <w:tcW w:w="18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Calibri" w:eastAsiaTheme="minorHAnsi"/>
                <w:color w:val="000000" w:themeColor="text1"/>
                <w:sz w:val="20"/>
                <w:szCs w:val="20"/>
              </w:rPr>
              <w:t>Строительство</w:t>
            </w:r>
          </w:p>
        </w:tc>
        <w:tc>
          <w:tcPr>
            <w:tcW w:w="212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Тип развязки — полного типа;</w:t>
            </w:r>
          </w:p>
          <w:p>
            <w:pPr>
              <w:pStyle w:val="Normal"/>
              <w:spacing w:lineRule="auto" w:line="240"/>
              <w:jc w:val="left"/>
              <w:rPr>
                <w:rFonts w:eastAsia="Arial Unicode MS"/>
                <w:sz w:val="20"/>
                <w:szCs w:val="20"/>
              </w:rPr>
            </w:pPr>
            <w:r>
              <w:rPr>
                <w:rFonts w:eastAsia="Times New Roman"/>
                <w:sz w:val="20"/>
                <w:szCs w:val="20"/>
                <w:lang w:eastAsia="ru-RU"/>
              </w:rPr>
              <w:t>тип дорожной одежды – капитальный, период функционирования — круглогодично</w:t>
            </w:r>
          </w:p>
        </w:tc>
        <w:tc>
          <w:tcPr>
            <w:tcW w:w="27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Организация транспортной инфраструктуры</w:t>
            </w:r>
          </w:p>
        </w:tc>
      </w:tr>
    </w:tbl>
    <w:p>
      <w:pPr>
        <w:sectPr>
          <w:headerReference w:type="default" r:id="rId30"/>
          <w:footerReference w:type="default" r:id="rId31"/>
          <w:type w:val="nextPage"/>
          <w:pgSz w:orient="landscape" w:w="16838" w:h="11906"/>
          <w:pgMar w:left="1134" w:right="1134" w:header="567" w:top="1418" w:footer="567" w:bottom="624" w:gutter="0"/>
          <w:pgNumType w:fmt="decimal"/>
          <w:formProt w:val="false"/>
          <w:textDirection w:val="lrTb"/>
          <w:docGrid w:type="default" w:linePitch="600" w:charSpace="32768"/>
        </w:sectPr>
      </w:pPr>
    </w:p>
    <w:p>
      <w:pPr>
        <w:pStyle w:val="0212161"/>
        <w:numPr>
          <w:ilvl w:val="1"/>
          <w:numId w:val="3"/>
        </w:numPr>
        <w:rPr>
          <w:rFonts w:eastAsia="Calibri" w:eastAsiaTheme="minorHAnsi"/>
        </w:rPr>
      </w:pPr>
      <w:bookmarkStart w:id="24" w:name="_Toc182210444"/>
      <w:r>
        <w:rPr/>
        <w:t>Объекты местного значения муниципального района</w:t>
      </w:r>
      <w:bookmarkEnd w:id="24"/>
      <w:r>
        <w:rPr/>
        <w:t xml:space="preserve"> </w:t>
      </w:r>
    </w:p>
    <w:p>
      <w:pPr>
        <w:sectPr>
          <w:headerReference w:type="default" r:id="rId32"/>
          <w:footerReference w:type="default" r:id="rId33"/>
          <w:type w:val="nextPage"/>
          <w:pgSz w:w="11906" w:h="16838"/>
          <w:pgMar w:left="1418" w:right="567" w:header="567" w:top="1134" w:footer="567" w:bottom="1134" w:gutter="0"/>
          <w:pgNumType w:fmt="decimal"/>
          <w:formProt w:val="false"/>
          <w:textDirection w:val="lrTb"/>
          <w:docGrid w:type="default" w:linePitch="600" w:charSpace="32768"/>
        </w:sectPr>
        <w:pStyle w:val="Normal"/>
        <w:spacing w:lineRule="auto" w:line="276" w:before="0" w:after="0"/>
        <w:ind w:firstLine="709"/>
        <w:contextualSpacing/>
        <w:rPr>
          <w:szCs w:val="24"/>
        </w:rPr>
      </w:pPr>
      <w:r>
        <w:rPr>
          <w:szCs w:val="24"/>
        </w:rPr>
        <w:t>Сведения о видах, назначении и наименовании планируемых для размещения на территории поселения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представлены в таблице 2.2.</w:t>
      </w:r>
    </w:p>
    <w:p>
      <w:pPr>
        <w:pStyle w:val="Normal"/>
        <w:spacing w:lineRule="auto" w:line="276"/>
        <w:jc w:val="right"/>
        <w:rPr>
          <w:szCs w:val="24"/>
        </w:rPr>
      </w:pPr>
      <w:r>
        <w:rPr>
          <w:rFonts w:eastAsia="Calibri" w:eastAsiaTheme="minorHAnsi"/>
          <w:szCs w:val="24"/>
        </w:rPr>
        <w:t>Таблица 2.2</w:t>
      </w:r>
    </w:p>
    <w:p>
      <w:pPr>
        <w:pStyle w:val="Normal"/>
        <w:spacing w:lineRule="auto" w:line="276"/>
        <w:ind w:left="360" w:hanging="0"/>
        <w:jc w:val="center"/>
        <w:rPr>
          <w:szCs w:val="24"/>
        </w:rPr>
      </w:pPr>
      <w:r>
        <w:rPr>
          <w:szCs w:val="24"/>
        </w:rPr>
        <w:t>Сведения о видах, назначении и наименовании планируемых для размещения на территории поселения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w:t>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422"/>
        <w:gridCol w:w="2695"/>
        <w:gridCol w:w="1559"/>
        <w:gridCol w:w="3690"/>
        <w:gridCol w:w="1701"/>
        <w:gridCol w:w="2270"/>
        <w:gridCol w:w="2232"/>
      </w:tblGrid>
      <w:tr>
        <w:trPr>
          <w:trHeight w:val="711" w:hRule="atLeast"/>
          <w:cantSplit w:val="true"/>
        </w:trPr>
        <w:tc>
          <w:tcPr>
            <w:tcW w:w="422"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Calibri" w:eastAsiaTheme="minorHAnsi"/>
                <w:b/>
                <w:b/>
                <w:bCs/>
                <w:color w:val="000000" w:themeColor="text1"/>
                <w:sz w:val="20"/>
                <w:szCs w:val="20"/>
              </w:rPr>
            </w:pPr>
            <w:r>
              <w:rPr>
                <w:rFonts w:eastAsia="Calibri" w:eastAsiaTheme="minorHAnsi"/>
                <w:b/>
                <w:bCs/>
                <w:color w:val="000000" w:themeColor="text1"/>
                <w:sz w:val="20"/>
                <w:szCs w:val="20"/>
              </w:rPr>
              <w:t>№</w:t>
            </w:r>
          </w:p>
        </w:tc>
        <w:tc>
          <w:tcPr>
            <w:tcW w:w="2695"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Calibri" w:eastAsiaTheme="minorHAnsi"/>
                <w:b/>
                <w:b/>
                <w:bCs/>
                <w:color w:val="000000" w:themeColor="text1"/>
                <w:sz w:val="20"/>
                <w:szCs w:val="20"/>
              </w:rPr>
            </w:pPr>
            <w:r>
              <w:rPr>
                <w:rFonts w:eastAsia="Calibri" w:eastAsiaTheme="minorHAnsi"/>
                <w:b/>
                <w:bCs/>
                <w:color w:val="000000" w:themeColor="text1"/>
                <w:sz w:val="20"/>
                <w:szCs w:val="20"/>
              </w:rPr>
              <w:t>Вид, назначение объекта</w:t>
            </w:r>
          </w:p>
        </w:tc>
        <w:tc>
          <w:tcPr>
            <w:tcW w:w="1559"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Calibri" w:eastAsiaTheme="minorHAnsi"/>
                <w:color w:val="000000" w:themeColor="text1"/>
                <w:sz w:val="20"/>
                <w:szCs w:val="20"/>
              </w:rPr>
            </w:pPr>
            <w:r>
              <w:rPr>
                <w:rFonts w:eastAsia="Calibri" w:eastAsiaTheme="minorHAnsi"/>
                <w:b/>
                <w:bCs/>
                <w:color w:val="000000" w:themeColor="text1"/>
                <w:sz w:val="20"/>
                <w:szCs w:val="20"/>
              </w:rPr>
              <w:t>Наименование объекта</w:t>
            </w:r>
          </w:p>
        </w:tc>
        <w:tc>
          <w:tcPr>
            <w:tcW w:w="3690" w:type="dxa"/>
            <w:tcBorders>
              <w:top w:val="single" w:sz="4" w:space="0" w:color="000000"/>
              <w:left w:val="single" w:sz="4" w:space="0" w:color="000000"/>
              <w:right w:val="single" w:sz="4" w:space="0" w:color="000000"/>
            </w:tcBorders>
            <w:vAlign w:val="center"/>
          </w:tcPr>
          <w:p>
            <w:pPr>
              <w:pStyle w:val="Normal"/>
              <w:spacing w:lineRule="auto" w:line="240"/>
              <w:ind w:left="-113" w:right="-113" w:hanging="0"/>
              <w:jc w:val="center"/>
              <w:rPr>
                <w:rFonts w:eastAsia="Calibri" w:eastAsiaTheme="minorHAnsi"/>
                <w:b/>
                <w:b/>
                <w:bCs/>
                <w:color w:val="000000" w:themeColor="text1"/>
                <w:sz w:val="20"/>
                <w:szCs w:val="20"/>
              </w:rPr>
            </w:pPr>
            <w:r>
              <w:rPr>
                <w:rFonts w:eastAsia="Calibri" w:eastAsiaTheme="minorHAnsi"/>
                <w:b/>
                <w:bCs/>
                <w:color w:val="000000" w:themeColor="text1"/>
                <w:sz w:val="20"/>
                <w:szCs w:val="20"/>
              </w:rPr>
              <w:t>Местоположение объекта</w:t>
            </w:r>
          </w:p>
        </w:tc>
        <w:tc>
          <w:tcPr>
            <w:tcW w:w="1701" w:type="dxa"/>
            <w:tcBorders>
              <w:top w:val="single" w:sz="4" w:space="0" w:color="000000"/>
              <w:left w:val="single" w:sz="4" w:space="0" w:color="000000"/>
              <w:right w:val="single" w:sz="4" w:space="0" w:color="000000"/>
            </w:tcBorders>
            <w:vAlign w:val="center"/>
          </w:tcPr>
          <w:p>
            <w:pPr>
              <w:pStyle w:val="Normal"/>
              <w:spacing w:lineRule="auto" w:line="240"/>
              <w:ind w:left="-113" w:right="-113" w:hanging="0"/>
              <w:jc w:val="center"/>
              <w:rPr>
                <w:rFonts w:eastAsia="Calibri" w:eastAsiaTheme="minorHAnsi"/>
                <w:b/>
                <w:b/>
                <w:bCs/>
                <w:color w:val="000000" w:themeColor="text1"/>
                <w:sz w:val="20"/>
                <w:szCs w:val="20"/>
              </w:rPr>
            </w:pPr>
            <w:r>
              <w:rPr>
                <w:rFonts w:eastAsia="Calibri" w:eastAsiaTheme="minorHAnsi"/>
                <w:b/>
                <w:bCs/>
                <w:color w:val="000000" w:themeColor="text1"/>
                <w:sz w:val="20"/>
                <w:szCs w:val="20"/>
              </w:rPr>
              <w:t xml:space="preserve">Срок реализации </w:t>
            </w:r>
          </w:p>
        </w:tc>
        <w:tc>
          <w:tcPr>
            <w:tcW w:w="2270"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Calibri" w:eastAsiaTheme="minorHAnsi"/>
                <w:b/>
                <w:b/>
                <w:bCs/>
                <w:color w:val="000000" w:themeColor="text1"/>
                <w:sz w:val="20"/>
                <w:szCs w:val="20"/>
              </w:rPr>
            </w:pPr>
            <w:r>
              <w:rPr>
                <w:rFonts w:eastAsia="Calibri" w:eastAsiaTheme="minorHAnsi"/>
                <w:b/>
                <w:bCs/>
                <w:color w:val="000000" w:themeColor="text1"/>
                <w:sz w:val="20"/>
                <w:szCs w:val="20"/>
              </w:rPr>
              <w:t>Основные характеристики объекта</w:t>
            </w:r>
          </w:p>
        </w:tc>
        <w:tc>
          <w:tcPr>
            <w:tcW w:w="2232"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Calibri" w:eastAsiaTheme="minorHAnsi"/>
                <w:b/>
                <w:b/>
                <w:bCs/>
                <w:color w:val="000000" w:themeColor="text1"/>
                <w:sz w:val="20"/>
                <w:szCs w:val="20"/>
              </w:rPr>
            </w:pPr>
            <w:r>
              <w:rPr>
                <w:rFonts w:eastAsia="Calibri" w:eastAsiaTheme="minorHAnsi"/>
                <w:b/>
                <w:bCs/>
                <w:color w:val="000000" w:themeColor="text1"/>
                <w:sz w:val="20"/>
                <w:szCs w:val="20"/>
              </w:rPr>
              <w:t>Характеристики зон с особыми условиями использования территорий</w:t>
            </w:r>
          </w:p>
        </w:tc>
      </w:tr>
    </w:tbl>
    <w:p>
      <w:pPr>
        <w:pStyle w:val="Normal"/>
        <w:spacing w:lineRule="auto" w:line="9"/>
        <w:jc w:val="center"/>
        <w:rPr>
          <w:rFonts w:eastAsia="Calibri" w:eastAsiaTheme="minorHAnsi"/>
          <w:color w:val="000000" w:themeColor="text1"/>
          <w:szCs w:val="24"/>
        </w:rPr>
      </w:pPr>
      <w:r>
        <w:rPr>
          <w:rFonts w:eastAsia="Calibri" w:eastAsiaTheme="minorHAnsi"/>
          <w:color w:val="000000" w:themeColor="text1"/>
          <w:szCs w:val="24"/>
        </w:rPr>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422"/>
        <w:gridCol w:w="2701"/>
        <w:gridCol w:w="1553"/>
        <w:gridCol w:w="3690"/>
        <w:gridCol w:w="1701"/>
        <w:gridCol w:w="2267"/>
        <w:gridCol w:w="2235"/>
      </w:tblGrid>
      <w:tr>
        <w:trPr>
          <w:tblHeader w:val="true"/>
          <w:trHeight w:val="20" w:hRule="atLeast"/>
        </w:trPr>
        <w:tc>
          <w:tcPr>
            <w:tcW w:w="42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b/>
                <w:b/>
                <w:bCs/>
                <w:color w:val="000000" w:themeColor="text1"/>
                <w:sz w:val="20"/>
                <w:szCs w:val="20"/>
              </w:rPr>
            </w:pPr>
            <w:r>
              <w:rPr>
                <w:rFonts w:eastAsia="Calibri" w:eastAsiaTheme="minorHAnsi"/>
                <w:b/>
                <w:bCs/>
                <w:color w:val="000000" w:themeColor="text1"/>
                <w:sz w:val="20"/>
                <w:szCs w:val="20"/>
              </w:rPr>
              <w:t>1</w:t>
            </w:r>
          </w:p>
        </w:tc>
        <w:tc>
          <w:tcPr>
            <w:tcW w:w="270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b/>
                <w:b/>
                <w:color w:val="000000" w:themeColor="text1"/>
                <w:sz w:val="20"/>
                <w:szCs w:val="20"/>
              </w:rPr>
            </w:pPr>
            <w:r>
              <w:rPr>
                <w:rFonts w:eastAsia="Calibri" w:eastAsiaTheme="minorHAnsi"/>
                <w:b/>
                <w:color w:val="000000" w:themeColor="text1"/>
                <w:sz w:val="20"/>
                <w:szCs w:val="20"/>
              </w:rPr>
              <w:t>2</w:t>
            </w:r>
          </w:p>
        </w:tc>
        <w:tc>
          <w:tcPr>
            <w:tcW w:w="1553" w:type="dxa"/>
            <w:tcBorders>
              <w:top w:val="single" w:sz="4" w:space="0" w:color="000000"/>
              <w:left w:val="single" w:sz="4" w:space="0" w:color="000000"/>
              <w:bottom w:val="single" w:sz="4" w:space="0" w:color="000000"/>
              <w:right w:val="single" w:sz="4" w:space="0" w:color="000000"/>
            </w:tcBorders>
          </w:tcPr>
          <w:p>
            <w:pPr>
              <w:pStyle w:val="Normal"/>
              <w:spacing w:lineRule="auto" w:line="240"/>
              <w:ind w:left="-113" w:right="-113" w:hanging="0"/>
              <w:jc w:val="center"/>
              <w:rPr>
                <w:rFonts w:eastAsia="Calibri" w:eastAsiaTheme="minorHAnsi"/>
                <w:b/>
                <w:b/>
                <w:bCs/>
                <w:color w:val="000000" w:themeColor="text1"/>
                <w:sz w:val="20"/>
                <w:szCs w:val="20"/>
              </w:rPr>
            </w:pPr>
            <w:r>
              <w:rPr>
                <w:rFonts w:eastAsia="Calibri" w:eastAsiaTheme="minorHAnsi"/>
                <w:b/>
                <w:bCs/>
                <w:color w:val="000000" w:themeColor="text1"/>
                <w:sz w:val="20"/>
                <w:szCs w:val="20"/>
              </w:rPr>
              <w:t>3</w:t>
            </w:r>
          </w:p>
        </w:tc>
        <w:tc>
          <w:tcPr>
            <w:tcW w:w="3690" w:type="dxa"/>
            <w:tcBorders>
              <w:top w:val="single" w:sz="4" w:space="0" w:color="000000"/>
              <w:left w:val="single" w:sz="4" w:space="0" w:color="000000"/>
              <w:bottom w:val="single" w:sz="4" w:space="0" w:color="000000"/>
              <w:right w:val="single" w:sz="4" w:space="0" w:color="000000"/>
            </w:tcBorders>
          </w:tcPr>
          <w:p>
            <w:pPr>
              <w:pStyle w:val="Normal"/>
              <w:spacing w:lineRule="auto" w:line="240"/>
              <w:ind w:left="-113" w:right="-113" w:hanging="0"/>
              <w:jc w:val="center"/>
              <w:rPr>
                <w:rFonts w:eastAsia="Calibri" w:eastAsiaTheme="minorHAnsi"/>
                <w:b/>
                <w:b/>
                <w:bCs/>
                <w:color w:val="000000" w:themeColor="text1"/>
                <w:sz w:val="20"/>
                <w:szCs w:val="20"/>
              </w:rPr>
            </w:pPr>
            <w:r>
              <w:rPr>
                <w:rFonts w:eastAsia="Calibri" w:eastAsiaTheme="minorHAnsi"/>
                <w:b/>
                <w:bCs/>
                <w:color w:val="000000" w:themeColor="text1"/>
                <w:sz w:val="20"/>
                <w:szCs w:val="20"/>
              </w:rPr>
              <w:t>4</w:t>
            </w:r>
          </w:p>
        </w:tc>
        <w:tc>
          <w:tcPr>
            <w:tcW w:w="170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b/>
                <w:b/>
                <w:bCs/>
                <w:color w:val="000000" w:themeColor="text1"/>
                <w:sz w:val="20"/>
                <w:szCs w:val="20"/>
              </w:rPr>
            </w:pPr>
            <w:r>
              <w:rPr>
                <w:rFonts w:eastAsia="Calibri" w:eastAsiaTheme="minorHAnsi"/>
                <w:b/>
                <w:bCs/>
                <w:color w:val="000000" w:themeColor="text1"/>
                <w:sz w:val="20"/>
                <w:szCs w:val="20"/>
              </w:rPr>
              <w:t>5</w:t>
            </w:r>
          </w:p>
        </w:tc>
        <w:tc>
          <w:tcPr>
            <w:tcW w:w="226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b/>
                <w:b/>
                <w:bCs/>
                <w:color w:val="000000" w:themeColor="text1"/>
                <w:sz w:val="20"/>
                <w:szCs w:val="20"/>
              </w:rPr>
            </w:pPr>
            <w:r>
              <w:rPr>
                <w:rFonts w:eastAsia="Calibri" w:eastAsiaTheme="minorHAnsi"/>
                <w:b/>
                <w:bCs/>
                <w:color w:val="000000" w:themeColor="text1"/>
                <w:sz w:val="20"/>
                <w:szCs w:val="20"/>
              </w:rPr>
              <w:t>6</w:t>
            </w:r>
          </w:p>
        </w:tc>
        <w:tc>
          <w:tcPr>
            <w:tcW w:w="223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b/>
                <w:b/>
                <w:bCs/>
                <w:color w:val="000000" w:themeColor="text1"/>
                <w:sz w:val="20"/>
                <w:szCs w:val="20"/>
              </w:rPr>
            </w:pPr>
            <w:r>
              <w:rPr>
                <w:rFonts w:eastAsia="Calibri" w:eastAsiaTheme="minorHAnsi"/>
                <w:b/>
                <w:bCs/>
                <w:color w:val="000000" w:themeColor="text1"/>
                <w:sz w:val="20"/>
                <w:szCs w:val="20"/>
              </w:rPr>
              <w:t>7</w:t>
            </w:r>
          </w:p>
        </w:tc>
      </w:tr>
      <w:tr>
        <w:trPr>
          <w:trHeight w:val="20" w:hRule="atLeast"/>
        </w:trPr>
        <w:tc>
          <w:tcPr>
            <w:tcW w:w="14569" w:type="dxa"/>
            <w:gridSpan w:val="7"/>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b/>
                <w:b/>
                <w:bCs/>
                <w:color w:val="000000" w:themeColor="text1"/>
                <w:sz w:val="20"/>
                <w:szCs w:val="20"/>
              </w:rPr>
            </w:pPr>
            <w:r>
              <w:rPr>
                <w:rFonts w:eastAsia="Calibri" w:eastAsiaTheme="minorHAnsi"/>
                <w:b/>
                <w:bCs/>
                <w:color w:val="000000" w:themeColor="text1"/>
                <w:sz w:val="20"/>
                <w:szCs w:val="20"/>
              </w:rPr>
              <w:t>Схема территориального планирования Варненского муниципального района (утверждена Администрацией Варненского муниципального района Челябинской области от 26.07.2023 г. № 61)</w:t>
            </w:r>
          </w:p>
        </w:tc>
      </w:tr>
      <w:tr>
        <w:trPr>
          <w:trHeight w:val="20" w:hRule="atLeast"/>
        </w:trPr>
        <w:tc>
          <w:tcPr>
            <w:tcW w:w="422" w:type="dxa"/>
            <w:tcBorders>
              <w:top w:val="single" w:sz="4" w:space="0" w:color="000000"/>
              <w:left w:val="single" w:sz="4" w:space="0" w:color="000000"/>
              <w:bottom w:val="single" w:sz="4" w:space="0" w:color="000000"/>
              <w:right w:val="single" w:sz="4" w:space="0" w:color="000000"/>
            </w:tcBorders>
          </w:tcPr>
          <w:p>
            <w:pPr>
              <w:pStyle w:val="ListParagraph"/>
              <w:numPr>
                <w:ilvl w:val="0"/>
                <w:numId w:val="4"/>
              </w:numPr>
              <w:spacing w:lineRule="auto" w:line="240" w:before="0" w:after="0"/>
              <w:ind w:left="0" w:hanging="0"/>
              <w:contextualSpacing/>
              <w:jc w:val="center"/>
              <w:rPr>
                <w:rFonts w:ascii="Times New Roman" w:hAnsi="Times New Roman" w:eastAsia="Calibri" w:eastAsiaTheme="minorHAnsi"/>
                <w:color w:val="000000" w:themeColor="text1"/>
                <w:sz w:val="20"/>
                <w:szCs w:val="20"/>
              </w:rPr>
            </w:pPr>
            <w:r>
              <w:rPr>
                <w:rFonts w:eastAsia="Calibri" w:eastAsiaTheme="minorHAnsi"/>
                <w:color w:val="000000" w:themeColor="text1"/>
                <w:sz w:val="20"/>
                <w:szCs w:val="20"/>
              </w:rPr>
            </w:r>
          </w:p>
        </w:tc>
        <w:tc>
          <w:tcPr>
            <w:tcW w:w="270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Объект транспортной инфраструктуры</w:t>
            </w:r>
          </w:p>
        </w:tc>
        <w:tc>
          <w:tcPr>
            <w:tcW w:w="155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Улично-дорожная сеть населенных пунктов</w:t>
            </w:r>
          </w:p>
        </w:tc>
        <w:tc>
          <w:tcPr>
            <w:tcW w:w="3690" w:type="dxa"/>
            <w:tcBorders>
              <w:top w:val="single" w:sz="4" w:space="0" w:color="000000"/>
              <w:left w:val="single" w:sz="4" w:space="0" w:color="000000"/>
              <w:bottom w:val="single" w:sz="4" w:space="0" w:color="000000"/>
              <w:right w:val="single" w:sz="4" w:space="0" w:color="000000"/>
            </w:tcBorders>
          </w:tcPr>
          <w:p>
            <w:pPr>
              <w:pStyle w:val="Normal"/>
              <w:spacing w:lineRule="auto" w:line="276"/>
              <w:ind w:right="-2" w:hanging="0"/>
              <w:rPr>
                <w:rFonts w:eastAsia="Calibri" w:eastAsiaTheme="minorHAnsi"/>
                <w:color w:val="000000" w:themeColor="text1"/>
                <w:sz w:val="20"/>
                <w:szCs w:val="20"/>
              </w:rPr>
            </w:pPr>
            <w:r>
              <w:rPr>
                <w:rFonts w:eastAsia="Calibri" w:eastAsiaTheme="minorHAnsi"/>
                <w:color w:val="000000" w:themeColor="text1"/>
                <w:sz w:val="20"/>
                <w:szCs w:val="20"/>
              </w:rPr>
              <w:t xml:space="preserve">с. Катенино, п. Караоба, п.     Комсомольский, п. Красноармейский </w:t>
            </w:r>
          </w:p>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r>
          </w:p>
        </w:tc>
        <w:tc>
          <w:tcPr>
            <w:tcW w:w="170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color w:val="000000" w:themeColor="text1"/>
                <w:sz w:val="20"/>
                <w:szCs w:val="20"/>
              </w:rPr>
            </w:pPr>
            <w:r>
              <w:rPr>
                <w:rFonts w:eastAsia="Calibri" w:eastAsiaTheme="minorHAnsi"/>
                <w:color w:val="000000" w:themeColor="text1"/>
                <w:sz w:val="20"/>
                <w:szCs w:val="20"/>
              </w:rPr>
              <w:t>до 2035 года</w:t>
            </w:r>
          </w:p>
        </w:tc>
        <w:tc>
          <w:tcPr>
            <w:tcW w:w="226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Реконструкция.</w:t>
            </w:r>
          </w:p>
        </w:tc>
        <w:tc>
          <w:tcPr>
            <w:tcW w:w="223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color w:val="000000" w:themeColor="text1"/>
                <w:sz w:val="20"/>
                <w:szCs w:val="20"/>
              </w:rPr>
            </w:pPr>
            <w:r>
              <w:rPr>
                <w:rFonts w:eastAsia="Calibri" w:eastAsiaTheme="minorHAnsi"/>
                <w:color w:val="000000" w:themeColor="text1"/>
                <w:sz w:val="20"/>
                <w:szCs w:val="20"/>
              </w:rPr>
              <w:t>-</w:t>
            </w:r>
          </w:p>
        </w:tc>
      </w:tr>
      <w:tr>
        <w:trPr>
          <w:trHeight w:val="20" w:hRule="atLeast"/>
        </w:trPr>
        <w:tc>
          <w:tcPr>
            <w:tcW w:w="422" w:type="dxa"/>
            <w:tcBorders>
              <w:top w:val="single" w:sz="4" w:space="0" w:color="000000"/>
              <w:left w:val="single" w:sz="4" w:space="0" w:color="000000"/>
              <w:bottom w:val="single" w:sz="4" w:space="0" w:color="000000"/>
              <w:right w:val="single" w:sz="4" w:space="0" w:color="000000"/>
            </w:tcBorders>
          </w:tcPr>
          <w:p>
            <w:pPr>
              <w:pStyle w:val="ListParagraph"/>
              <w:numPr>
                <w:ilvl w:val="0"/>
                <w:numId w:val="4"/>
              </w:numPr>
              <w:spacing w:lineRule="auto" w:line="240" w:before="0" w:after="0"/>
              <w:ind w:left="0" w:hanging="0"/>
              <w:contextualSpacing/>
              <w:rPr>
                <w:rFonts w:ascii="Times New Roman" w:hAnsi="Times New Roman" w:eastAsia="Calibri" w:eastAsiaTheme="minorHAnsi"/>
                <w:color w:val="000000" w:themeColor="text1"/>
                <w:sz w:val="20"/>
                <w:szCs w:val="20"/>
              </w:rPr>
            </w:pPr>
            <w:r>
              <w:rPr>
                <w:rFonts w:eastAsia="Calibri" w:eastAsiaTheme="minorHAnsi"/>
                <w:color w:val="000000" w:themeColor="text1"/>
                <w:sz w:val="20"/>
                <w:szCs w:val="20"/>
              </w:rPr>
            </w:r>
          </w:p>
        </w:tc>
        <w:tc>
          <w:tcPr>
            <w:tcW w:w="270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Объект трубопроводного транспорта и инженерной инфраструктуры</w:t>
            </w:r>
          </w:p>
        </w:tc>
        <w:tc>
          <w:tcPr>
            <w:tcW w:w="155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Водопровод</w:t>
            </w:r>
          </w:p>
        </w:tc>
        <w:tc>
          <w:tcPr>
            <w:tcW w:w="369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с. Катенино, п. Караоба, п. Комсомольский, п. Красноармейский</w:t>
            </w:r>
          </w:p>
        </w:tc>
        <w:tc>
          <w:tcPr>
            <w:tcW w:w="170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color w:val="000000" w:themeColor="text1"/>
                <w:sz w:val="20"/>
                <w:szCs w:val="20"/>
              </w:rPr>
            </w:pPr>
            <w:r>
              <w:rPr>
                <w:rFonts w:eastAsia="Calibri" w:eastAsiaTheme="minorHAnsi"/>
                <w:color w:val="000000" w:themeColor="text1"/>
                <w:sz w:val="20"/>
                <w:szCs w:val="20"/>
              </w:rPr>
              <w:t>до 2035 года</w:t>
            </w:r>
          </w:p>
        </w:tc>
        <w:tc>
          <w:tcPr>
            <w:tcW w:w="226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Строительство/ Реконструкция</w:t>
            </w:r>
          </w:p>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Санитарно-защитная полоса 10 м.</w:t>
            </w:r>
          </w:p>
        </w:tc>
        <w:tc>
          <w:tcPr>
            <w:tcW w:w="223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color w:val="000000" w:themeColor="text1"/>
                <w:sz w:val="20"/>
                <w:szCs w:val="20"/>
              </w:rPr>
            </w:pPr>
            <w:r>
              <w:rPr>
                <w:rFonts w:eastAsia="Calibri" w:eastAsiaTheme="minorHAnsi"/>
                <w:color w:val="000000" w:themeColor="text1"/>
                <w:sz w:val="20"/>
                <w:szCs w:val="20"/>
              </w:rPr>
              <w:t>-</w:t>
            </w:r>
          </w:p>
        </w:tc>
      </w:tr>
      <w:tr>
        <w:trPr>
          <w:trHeight w:val="20" w:hRule="atLeast"/>
        </w:trPr>
        <w:tc>
          <w:tcPr>
            <w:tcW w:w="422" w:type="dxa"/>
            <w:tcBorders>
              <w:top w:val="single" w:sz="4" w:space="0" w:color="000000"/>
              <w:left w:val="single" w:sz="4" w:space="0" w:color="000000"/>
              <w:bottom w:val="single" w:sz="4" w:space="0" w:color="000000"/>
              <w:right w:val="single" w:sz="4" w:space="0" w:color="000000"/>
            </w:tcBorders>
          </w:tcPr>
          <w:p>
            <w:pPr>
              <w:pStyle w:val="ListParagraph"/>
              <w:numPr>
                <w:ilvl w:val="0"/>
                <w:numId w:val="4"/>
              </w:numPr>
              <w:spacing w:lineRule="auto" w:line="240" w:before="0" w:after="0"/>
              <w:ind w:left="0" w:hanging="0"/>
              <w:contextualSpacing/>
              <w:rPr>
                <w:rFonts w:ascii="Times New Roman" w:hAnsi="Times New Roman" w:eastAsia="Calibri" w:eastAsiaTheme="minorHAnsi"/>
                <w:color w:val="000000" w:themeColor="text1"/>
                <w:sz w:val="20"/>
                <w:szCs w:val="20"/>
              </w:rPr>
            </w:pPr>
            <w:r>
              <w:rPr>
                <w:rFonts w:eastAsia="Calibri" w:eastAsiaTheme="minorHAnsi"/>
                <w:color w:val="000000" w:themeColor="text1"/>
                <w:sz w:val="20"/>
                <w:szCs w:val="20"/>
              </w:rPr>
            </w:r>
          </w:p>
        </w:tc>
        <w:tc>
          <w:tcPr>
            <w:tcW w:w="270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Объект трубопроводного транспорта и инженерной инфраструктуры</w:t>
            </w:r>
          </w:p>
        </w:tc>
        <w:tc>
          <w:tcPr>
            <w:tcW w:w="155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Канализационные очистные сооружения</w:t>
            </w:r>
          </w:p>
        </w:tc>
        <w:tc>
          <w:tcPr>
            <w:tcW w:w="369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с. Катенино, п. Караоба, п. Комсомольский, п. Красноармейский</w:t>
            </w:r>
          </w:p>
        </w:tc>
        <w:tc>
          <w:tcPr>
            <w:tcW w:w="170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color w:val="000000" w:themeColor="text1"/>
                <w:sz w:val="20"/>
                <w:szCs w:val="20"/>
              </w:rPr>
            </w:pPr>
            <w:r>
              <w:rPr>
                <w:rFonts w:eastAsia="Calibri" w:eastAsiaTheme="minorHAnsi"/>
                <w:color w:val="000000" w:themeColor="text1"/>
                <w:sz w:val="20"/>
                <w:szCs w:val="20"/>
              </w:rPr>
              <w:t>до 2035 года</w:t>
            </w:r>
          </w:p>
        </w:tc>
        <w:tc>
          <w:tcPr>
            <w:tcW w:w="2267" w:type="dxa"/>
            <w:tcBorders>
              <w:top w:val="single" w:sz="4" w:space="0" w:color="000000"/>
              <w:left w:val="single" w:sz="4" w:space="0" w:color="000000"/>
              <w:bottom w:val="single" w:sz="4" w:space="0" w:color="000000"/>
              <w:right w:val="single" w:sz="4" w:space="0" w:color="000000"/>
            </w:tcBorders>
          </w:tcPr>
          <w:p>
            <w:pPr>
              <w:pStyle w:val="Normal"/>
              <w:spacing w:lineRule="auto" w:line="240"/>
              <w:rPr>
                <w:rFonts w:eastAsia="Calibri" w:eastAsiaTheme="minorHAnsi"/>
                <w:color w:val="000000" w:themeColor="text1"/>
                <w:sz w:val="20"/>
                <w:szCs w:val="20"/>
              </w:rPr>
            </w:pPr>
            <w:r>
              <w:rPr>
                <w:rFonts w:eastAsia="Calibri" w:eastAsiaTheme="minorHAnsi"/>
                <w:color w:val="000000" w:themeColor="text1"/>
                <w:sz w:val="20"/>
                <w:szCs w:val="20"/>
              </w:rPr>
              <w:t xml:space="preserve">Строительство. </w:t>
            </w:r>
          </w:p>
          <w:p>
            <w:pPr>
              <w:pStyle w:val="Normal"/>
              <w:spacing w:lineRule="auto" w:line="240"/>
              <w:rPr>
                <w:rFonts w:eastAsia="Calibri" w:eastAsiaTheme="minorHAnsi"/>
                <w:color w:val="000000" w:themeColor="text1"/>
                <w:sz w:val="20"/>
                <w:szCs w:val="20"/>
              </w:rPr>
            </w:pPr>
            <w:r>
              <w:rPr>
                <w:rFonts w:eastAsia="Calibri" w:eastAsiaTheme="minorHAnsi"/>
                <w:color w:val="000000" w:themeColor="text1"/>
                <w:sz w:val="20"/>
                <w:szCs w:val="20"/>
              </w:rPr>
              <w:t>Необходима организация санитарно-защитной зоны – 50 м</w:t>
            </w:r>
          </w:p>
        </w:tc>
        <w:tc>
          <w:tcPr>
            <w:tcW w:w="223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color w:val="000000" w:themeColor="text1"/>
                <w:sz w:val="20"/>
                <w:szCs w:val="20"/>
              </w:rPr>
            </w:pPr>
            <w:r>
              <w:rPr>
                <w:rFonts w:eastAsia="Calibri" w:eastAsiaTheme="minorHAnsi"/>
                <w:color w:val="000000" w:themeColor="text1"/>
                <w:sz w:val="20"/>
                <w:szCs w:val="20"/>
              </w:rPr>
              <w:t>-</w:t>
            </w:r>
          </w:p>
        </w:tc>
      </w:tr>
      <w:tr>
        <w:trPr>
          <w:trHeight w:val="20" w:hRule="atLeast"/>
        </w:trPr>
        <w:tc>
          <w:tcPr>
            <w:tcW w:w="422" w:type="dxa"/>
            <w:tcBorders>
              <w:top w:val="single" w:sz="4" w:space="0" w:color="000000"/>
              <w:left w:val="single" w:sz="4" w:space="0" w:color="000000"/>
              <w:bottom w:val="single" w:sz="4" w:space="0" w:color="000000"/>
              <w:right w:val="single" w:sz="4" w:space="0" w:color="000000"/>
            </w:tcBorders>
          </w:tcPr>
          <w:p>
            <w:pPr>
              <w:pStyle w:val="ListParagraph"/>
              <w:numPr>
                <w:ilvl w:val="0"/>
                <w:numId w:val="4"/>
              </w:numPr>
              <w:spacing w:lineRule="auto" w:line="240" w:before="0" w:after="0"/>
              <w:ind w:left="0" w:hanging="0"/>
              <w:contextualSpacing/>
              <w:rPr>
                <w:rFonts w:ascii="Times New Roman" w:hAnsi="Times New Roman" w:eastAsia="Calibri" w:eastAsiaTheme="minorHAnsi"/>
                <w:color w:val="000000" w:themeColor="text1"/>
                <w:sz w:val="20"/>
                <w:szCs w:val="20"/>
              </w:rPr>
            </w:pPr>
            <w:r>
              <w:rPr>
                <w:rFonts w:eastAsia="Calibri" w:eastAsiaTheme="minorHAnsi"/>
                <w:color w:val="000000" w:themeColor="text1"/>
                <w:sz w:val="20"/>
                <w:szCs w:val="20"/>
              </w:rPr>
            </w:r>
          </w:p>
        </w:tc>
        <w:tc>
          <w:tcPr>
            <w:tcW w:w="270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Объект трубопроводного транспорта и инженерной инфраструктуры</w:t>
            </w:r>
          </w:p>
        </w:tc>
        <w:tc>
          <w:tcPr>
            <w:tcW w:w="155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Хозяйственно-бытовое водоотведение</w:t>
            </w:r>
          </w:p>
        </w:tc>
        <w:tc>
          <w:tcPr>
            <w:tcW w:w="369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п. Караоба, п. Комсомольский, п. Красноармейский</w:t>
            </w:r>
          </w:p>
        </w:tc>
        <w:tc>
          <w:tcPr>
            <w:tcW w:w="170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color w:val="000000" w:themeColor="text1"/>
                <w:sz w:val="20"/>
                <w:szCs w:val="20"/>
              </w:rPr>
            </w:pPr>
            <w:r>
              <w:rPr>
                <w:rFonts w:eastAsia="Calibri" w:eastAsiaTheme="minorHAnsi"/>
                <w:color w:val="000000" w:themeColor="text1"/>
                <w:sz w:val="20"/>
                <w:szCs w:val="20"/>
              </w:rPr>
              <w:t>до 2035 года</w:t>
            </w:r>
          </w:p>
        </w:tc>
        <w:tc>
          <w:tcPr>
            <w:tcW w:w="2267" w:type="dxa"/>
            <w:tcBorders>
              <w:top w:val="single" w:sz="4" w:space="0" w:color="000000"/>
              <w:left w:val="single" w:sz="4" w:space="0" w:color="000000"/>
              <w:bottom w:val="single" w:sz="4" w:space="0" w:color="000000"/>
              <w:right w:val="single" w:sz="4" w:space="0" w:color="000000"/>
            </w:tcBorders>
          </w:tcPr>
          <w:p>
            <w:pPr>
              <w:pStyle w:val="Normal"/>
              <w:spacing w:lineRule="auto" w:line="240"/>
              <w:rPr>
                <w:rFonts w:eastAsia="Calibri" w:eastAsiaTheme="minorHAnsi"/>
                <w:color w:val="000000" w:themeColor="text1"/>
                <w:sz w:val="20"/>
                <w:szCs w:val="20"/>
              </w:rPr>
            </w:pPr>
            <w:r>
              <w:rPr>
                <w:rFonts w:eastAsia="Calibri" w:eastAsiaTheme="minorHAnsi"/>
                <w:color w:val="000000" w:themeColor="text1"/>
                <w:sz w:val="20"/>
                <w:szCs w:val="20"/>
              </w:rPr>
              <w:t>Строительство</w:t>
            </w:r>
          </w:p>
        </w:tc>
        <w:tc>
          <w:tcPr>
            <w:tcW w:w="223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color w:val="000000" w:themeColor="text1"/>
                <w:sz w:val="20"/>
                <w:szCs w:val="20"/>
              </w:rPr>
            </w:pPr>
            <w:r>
              <w:rPr>
                <w:rFonts w:eastAsia="Calibri" w:eastAsiaTheme="minorHAnsi"/>
                <w:color w:val="000000" w:themeColor="text1"/>
                <w:sz w:val="20"/>
                <w:szCs w:val="20"/>
              </w:rPr>
              <w:t>-</w:t>
            </w:r>
          </w:p>
        </w:tc>
      </w:tr>
      <w:tr>
        <w:trPr>
          <w:trHeight w:val="20" w:hRule="atLeast"/>
        </w:trPr>
        <w:tc>
          <w:tcPr>
            <w:tcW w:w="422" w:type="dxa"/>
            <w:tcBorders>
              <w:top w:val="single" w:sz="4" w:space="0" w:color="000000"/>
              <w:left w:val="single" w:sz="4" w:space="0" w:color="000000"/>
              <w:bottom w:val="single" w:sz="4" w:space="0" w:color="000000"/>
              <w:right w:val="single" w:sz="4" w:space="0" w:color="000000"/>
            </w:tcBorders>
          </w:tcPr>
          <w:p>
            <w:pPr>
              <w:pStyle w:val="ListParagraph"/>
              <w:numPr>
                <w:ilvl w:val="0"/>
                <w:numId w:val="4"/>
              </w:numPr>
              <w:spacing w:lineRule="auto" w:line="240" w:before="0" w:after="0"/>
              <w:ind w:left="0" w:hanging="0"/>
              <w:contextualSpacing/>
              <w:rPr>
                <w:rFonts w:ascii="Times New Roman" w:hAnsi="Times New Roman" w:eastAsia="Calibri" w:eastAsiaTheme="minorHAnsi"/>
                <w:color w:val="000000" w:themeColor="text1"/>
                <w:sz w:val="20"/>
                <w:szCs w:val="20"/>
              </w:rPr>
            </w:pPr>
            <w:r>
              <w:rPr>
                <w:rFonts w:eastAsia="Calibri" w:eastAsiaTheme="minorHAnsi"/>
                <w:color w:val="000000" w:themeColor="text1"/>
                <w:sz w:val="20"/>
                <w:szCs w:val="20"/>
              </w:rPr>
            </w:r>
          </w:p>
        </w:tc>
        <w:tc>
          <w:tcPr>
            <w:tcW w:w="270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Объект образования и науки</w:t>
            </w:r>
          </w:p>
        </w:tc>
        <w:tc>
          <w:tcPr>
            <w:tcW w:w="155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Детский сад</w:t>
            </w:r>
          </w:p>
        </w:tc>
        <w:tc>
          <w:tcPr>
            <w:tcW w:w="369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п. Караоба, п. Комсомольский, п. Красноармейский</w:t>
            </w:r>
          </w:p>
        </w:tc>
        <w:tc>
          <w:tcPr>
            <w:tcW w:w="170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color w:val="000000" w:themeColor="text1"/>
                <w:sz w:val="20"/>
                <w:szCs w:val="20"/>
              </w:rPr>
            </w:pPr>
            <w:r>
              <w:rPr>
                <w:rFonts w:eastAsia="Calibri" w:eastAsiaTheme="minorHAnsi"/>
                <w:color w:val="000000" w:themeColor="text1"/>
                <w:sz w:val="20"/>
                <w:szCs w:val="20"/>
              </w:rPr>
              <w:t>до 2035 года</w:t>
            </w:r>
          </w:p>
        </w:tc>
        <w:tc>
          <w:tcPr>
            <w:tcW w:w="2267" w:type="dxa"/>
            <w:tcBorders>
              <w:top w:val="single" w:sz="4" w:space="0" w:color="000000"/>
              <w:left w:val="single" w:sz="4" w:space="0" w:color="000000"/>
              <w:bottom w:val="single" w:sz="4" w:space="0" w:color="000000"/>
              <w:right w:val="single" w:sz="4" w:space="0" w:color="000000"/>
            </w:tcBorders>
          </w:tcPr>
          <w:p>
            <w:pPr>
              <w:pStyle w:val="Normal"/>
              <w:spacing w:lineRule="auto" w:line="240"/>
              <w:rPr>
                <w:rFonts w:eastAsia="Calibri" w:eastAsiaTheme="minorHAnsi"/>
                <w:color w:val="000000" w:themeColor="text1"/>
                <w:sz w:val="20"/>
                <w:szCs w:val="20"/>
              </w:rPr>
            </w:pPr>
            <w:r>
              <w:rPr>
                <w:rFonts w:eastAsia="Calibri" w:eastAsiaTheme="minorHAnsi"/>
                <w:color w:val="000000" w:themeColor="text1"/>
                <w:sz w:val="20"/>
                <w:szCs w:val="20"/>
              </w:rPr>
              <w:t>Строительство</w:t>
            </w:r>
          </w:p>
        </w:tc>
        <w:tc>
          <w:tcPr>
            <w:tcW w:w="223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color w:val="000000" w:themeColor="text1"/>
                <w:sz w:val="20"/>
                <w:szCs w:val="20"/>
              </w:rPr>
            </w:pPr>
            <w:r>
              <w:rPr>
                <w:rFonts w:eastAsia="Calibri" w:eastAsiaTheme="minorHAnsi"/>
                <w:color w:val="000000" w:themeColor="text1"/>
                <w:sz w:val="20"/>
                <w:szCs w:val="20"/>
              </w:rPr>
              <w:t>-</w:t>
            </w:r>
          </w:p>
        </w:tc>
      </w:tr>
      <w:tr>
        <w:trPr>
          <w:trHeight w:val="20" w:hRule="atLeast"/>
        </w:trPr>
        <w:tc>
          <w:tcPr>
            <w:tcW w:w="422" w:type="dxa"/>
            <w:tcBorders>
              <w:top w:val="single" w:sz="4" w:space="0" w:color="000000"/>
              <w:left w:val="single" w:sz="4" w:space="0" w:color="000000"/>
              <w:bottom w:val="single" w:sz="4" w:space="0" w:color="000000"/>
              <w:right w:val="single" w:sz="4" w:space="0" w:color="000000"/>
            </w:tcBorders>
          </w:tcPr>
          <w:p>
            <w:pPr>
              <w:pStyle w:val="ListParagraph"/>
              <w:numPr>
                <w:ilvl w:val="0"/>
                <w:numId w:val="4"/>
              </w:numPr>
              <w:spacing w:lineRule="auto" w:line="240" w:before="0" w:after="0"/>
              <w:ind w:left="0" w:hanging="0"/>
              <w:contextualSpacing/>
              <w:rPr>
                <w:rFonts w:ascii="Times New Roman" w:hAnsi="Times New Roman" w:eastAsia="Calibri" w:eastAsiaTheme="minorHAnsi"/>
                <w:color w:val="000000" w:themeColor="text1"/>
                <w:sz w:val="20"/>
                <w:szCs w:val="20"/>
              </w:rPr>
            </w:pPr>
            <w:r>
              <w:rPr>
                <w:rFonts w:eastAsia="Calibri" w:eastAsiaTheme="minorHAnsi"/>
                <w:color w:val="000000" w:themeColor="text1"/>
                <w:sz w:val="20"/>
                <w:szCs w:val="20"/>
              </w:rPr>
            </w:r>
          </w:p>
        </w:tc>
        <w:tc>
          <w:tcPr>
            <w:tcW w:w="270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Объекты физической культуры и массового спорта</w:t>
            </w:r>
          </w:p>
        </w:tc>
        <w:tc>
          <w:tcPr>
            <w:tcW w:w="155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Спортивно-тренажерный зал повседневного обслуживания</w:t>
            </w:r>
          </w:p>
        </w:tc>
        <w:tc>
          <w:tcPr>
            <w:tcW w:w="369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п. Караоба, п. Комсомольский, п. Красноармейский</w:t>
            </w:r>
          </w:p>
        </w:tc>
        <w:tc>
          <w:tcPr>
            <w:tcW w:w="170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color w:val="000000" w:themeColor="text1"/>
                <w:sz w:val="20"/>
                <w:szCs w:val="20"/>
              </w:rPr>
            </w:pPr>
            <w:r>
              <w:rPr>
                <w:rFonts w:eastAsia="Calibri" w:eastAsiaTheme="minorHAnsi"/>
                <w:color w:val="000000" w:themeColor="text1"/>
                <w:sz w:val="20"/>
                <w:szCs w:val="20"/>
              </w:rPr>
              <w:t>до 2035 года</w:t>
            </w:r>
          </w:p>
        </w:tc>
        <w:tc>
          <w:tcPr>
            <w:tcW w:w="2267" w:type="dxa"/>
            <w:tcBorders>
              <w:top w:val="single" w:sz="4" w:space="0" w:color="000000"/>
              <w:left w:val="single" w:sz="4" w:space="0" w:color="000000"/>
              <w:bottom w:val="single" w:sz="4" w:space="0" w:color="000000"/>
              <w:right w:val="single" w:sz="4" w:space="0" w:color="000000"/>
            </w:tcBorders>
          </w:tcPr>
          <w:p>
            <w:pPr>
              <w:pStyle w:val="Normal"/>
              <w:spacing w:lineRule="auto" w:line="240"/>
              <w:rPr>
                <w:rFonts w:eastAsia="Calibri" w:eastAsiaTheme="minorHAnsi"/>
                <w:color w:val="000000" w:themeColor="text1"/>
                <w:sz w:val="20"/>
                <w:szCs w:val="20"/>
              </w:rPr>
            </w:pPr>
            <w:r>
              <w:rPr>
                <w:rFonts w:eastAsia="Calibri" w:eastAsiaTheme="minorHAnsi"/>
                <w:color w:val="000000" w:themeColor="text1"/>
                <w:sz w:val="20"/>
                <w:szCs w:val="20"/>
              </w:rPr>
              <w:t>Строительство</w:t>
            </w:r>
          </w:p>
        </w:tc>
        <w:tc>
          <w:tcPr>
            <w:tcW w:w="223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color w:val="000000" w:themeColor="text1"/>
                <w:sz w:val="20"/>
                <w:szCs w:val="20"/>
              </w:rPr>
            </w:pPr>
            <w:r>
              <w:rPr>
                <w:rFonts w:eastAsia="Calibri" w:eastAsiaTheme="minorHAnsi"/>
                <w:color w:val="000000" w:themeColor="text1"/>
                <w:sz w:val="20"/>
                <w:szCs w:val="20"/>
              </w:rPr>
              <w:t>-</w:t>
            </w:r>
          </w:p>
        </w:tc>
      </w:tr>
      <w:tr>
        <w:trPr>
          <w:trHeight w:val="20" w:hRule="atLeast"/>
        </w:trPr>
        <w:tc>
          <w:tcPr>
            <w:tcW w:w="422" w:type="dxa"/>
            <w:tcBorders>
              <w:top w:val="single" w:sz="4" w:space="0" w:color="000000"/>
              <w:left w:val="single" w:sz="4" w:space="0" w:color="000000"/>
              <w:bottom w:val="single" w:sz="4" w:space="0" w:color="000000"/>
              <w:right w:val="single" w:sz="4" w:space="0" w:color="000000"/>
            </w:tcBorders>
          </w:tcPr>
          <w:p>
            <w:pPr>
              <w:pStyle w:val="ListParagraph"/>
              <w:numPr>
                <w:ilvl w:val="0"/>
                <w:numId w:val="4"/>
              </w:numPr>
              <w:spacing w:lineRule="auto" w:line="240" w:before="0" w:after="0"/>
              <w:ind w:left="0" w:hanging="0"/>
              <w:contextualSpacing/>
              <w:rPr>
                <w:rFonts w:ascii="Times New Roman" w:hAnsi="Times New Roman" w:eastAsia="Calibri" w:eastAsiaTheme="minorHAnsi"/>
                <w:color w:val="000000" w:themeColor="text1"/>
                <w:sz w:val="20"/>
                <w:szCs w:val="20"/>
              </w:rPr>
            </w:pPr>
            <w:r>
              <w:rPr>
                <w:rFonts w:eastAsia="Calibri" w:eastAsiaTheme="minorHAnsi"/>
                <w:color w:val="000000" w:themeColor="text1"/>
                <w:sz w:val="20"/>
                <w:szCs w:val="20"/>
              </w:rPr>
            </w:r>
          </w:p>
        </w:tc>
        <w:tc>
          <w:tcPr>
            <w:tcW w:w="270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Объекты физической культуры и массового спорта</w:t>
            </w:r>
          </w:p>
        </w:tc>
        <w:tc>
          <w:tcPr>
            <w:tcW w:w="155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Физкультурно-оздоровительный комплекс</w:t>
            </w:r>
          </w:p>
        </w:tc>
        <w:tc>
          <w:tcPr>
            <w:tcW w:w="369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color w:val="000000" w:themeColor="text1"/>
                <w:sz w:val="20"/>
                <w:szCs w:val="20"/>
              </w:rPr>
            </w:pPr>
            <w:r>
              <w:rPr>
                <w:rFonts w:eastAsia="Calibri" w:eastAsiaTheme="minorHAnsi"/>
                <w:color w:val="000000" w:themeColor="text1"/>
                <w:sz w:val="20"/>
                <w:szCs w:val="20"/>
              </w:rPr>
              <w:t>с. Катенино</w:t>
            </w:r>
          </w:p>
        </w:tc>
        <w:tc>
          <w:tcPr>
            <w:tcW w:w="170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color w:val="000000" w:themeColor="text1"/>
                <w:sz w:val="20"/>
                <w:szCs w:val="20"/>
              </w:rPr>
            </w:pPr>
            <w:r>
              <w:rPr>
                <w:rFonts w:eastAsia="Calibri" w:eastAsiaTheme="minorHAnsi"/>
                <w:color w:val="000000" w:themeColor="text1"/>
                <w:sz w:val="20"/>
                <w:szCs w:val="20"/>
              </w:rPr>
              <w:t>до 2042 года</w:t>
            </w:r>
          </w:p>
        </w:tc>
        <w:tc>
          <w:tcPr>
            <w:tcW w:w="2267" w:type="dxa"/>
            <w:tcBorders>
              <w:top w:val="single" w:sz="4" w:space="0" w:color="000000"/>
              <w:left w:val="single" w:sz="4" w:space="0" w:color="000000"/>
              <w:bottom w:val="single" w:sz="4" w:space="0" w:color="000000"/>
              <w:right w:val="single" w:sz="4" w:space="0" w:color="000000"/>
            </w:tcBorders>
          </w:tcPr>
          <w:p>
            <w:pPr>
              <w:pStyle w:val="Normal"/>
              <w:spacing w:lineRule="auto" w:line="240"/>
              <w:rPr>
                <w:rFonts w:eastAsia="Calibri" w:eastAsiaTheme="minorHAnsi"/>
                <w:color w:val="000000" w:themeColor="text1"/>
                <w:sz w:val="20"/>
                <w:szCs w:val="20"/>
              </w:rPr>
            </w:pPr>
            <w:r>
              <w:rPr>
                <w:rFonts w:eastAsia="Calibri" w:eastAsiaTheme="minorHAnsi"/>
                <w:color w:val="000000" w:themeColor="text1"/>
                <w:sz w:val="20"/>
                <w:szCs w:val="20"/>
              </w:rPr>
              <w:t>Строительство</w:t>
            </w:r>
          </w:p>
        </w:tc>
        <w:tc>
          <w:tcPr>
            <w:tcW w:w="223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color w:val="000000" w:themeColor="text1"/>
                <w:sz w:val="20"/>
                <w:szCs w:val="20"/>
              </w:rPr>
            </w:pPr>
            <w:r>
              <w:rPr>
                <w:rFonts w:eastAsia="Calibri" w:eastAsiaTheme="minorHAnsi"/>
                <w:color w:val="000000" w:themeColor="text1"/>
                <w:sz w:val="20"/>
                <w:szCs w:val="20"/>
              </w:rPr>
              <w:t>-</w:t>
            </w:r>
          </w:p>
        </w:tc>
      </w:tr>
    </w:tbl>
    <w:p>
      <w:pPr>
        <w:sectPr>
          <w:headerReference w:type="default" r:id="rId34"/>
          <w:footerReference w:type="default" r:id="rId35"/>
          <w:type w:val="nextPage"/>
          <w:pgSz w:orient="landscape" w:w="16838" w:h="11906"/>
          <w:pgMar w:left="1134" w:right="1134" w:header="567" w:top="1418" w:footer="567" w:bottom="624" w:gutter="0"/>
          <w:pgNumType w:fmt="decimal"/>
          <w:formProt w:val="false"/>
          <w:textDirection w:val="lrTb"/>
          <w:docGrid w:type="default" w:linePitch="600" w:charSpace="32768"/>
        </w:sectPr>
      </w:pPr>
    </w:p>
    <w:p>
      <w:pPr>
        <w:pStyle w:val="021216"/>
        <w:rPr>
          <w:rFonts w:eastAsia="Calibri" w:eastAsiaTheme="minorHAnsi"/>
          <w:szCs w:val="24"/>
        </w:rPr>
      </w:pPr>
      <w:bookmarkStart w:id="25" w:name="_Toc182210445"/>
      <w:r>
        <w:rPr/>
        <w:t>РАЗДЕЛ 3. ОБОСНОВАНИЕ ВЫБРАННОГО ВАРИАНТА РАЗМЕЩЕНИЯ ОБЪЕКТОВ МЕСТНОГО ЗНАЧЕНИЯ ПОСЕЛЕНИЯ, ГОРОДСКОГО ОКРУГА НА ОСНОВЕ АНАЛИЗА ИСПОЛЬЗОВАНИЯ ТЕРРИТОРИЙ МУНИЦИПАЛЬНОГО ОБРАЗОВАНИЯ, ВОЗМОЖНЫХ НАПРАВЛЕНИЙ РАЗВИТИЯ ЭТИХ ТЕРРИТОРИЙ И ПРОГНОЗИРУЕМЫХ ОГРАНИЧЕНИЙ ИХ ИСПОЛЬЗОВАНИЯ</w:t>
      </w:r>
      <w:bookmarkEnd w:id="25"/>
    </w:p>
    <w:p>
      <w:pPr>
        <w:pStyle w:val="0212164"/>
        <w:rPr>
          <w:rFonts w:eastAsia="Calibri" w:eastAsiaTheme="minorHAnsi"/>
          <w:szCs w:val="24"/>
        </w:rPr>
      </w:pPr>
      <w:bookmarkStart w:id="26" w:name="_Toc182210446"/>
      <w:r>
        <w:rPr/>
        <w:t xml:space="preserve">ГЛАВА 1. ОБЩАЯ </w:t>
      </w:r>
      <w:r>
        <w:rPr>
          <w:bCs/>
          <w:lang w:eastAsia="en-US"/>
        </w:rPr>
        <w:t>ХАРАКТЕРИСТИКА</w:t>
      </w:r>
      <w:r>
        <w:rPr/>
        <w:t xml:space="preserve"> ТЕРРИТОРИИ</w:t>
      </w:r>
      <w:bookmarkEnd w:id="26"/>
    </w:p>
    <w:p>
      <w:pPr>
        <w:pStyle w:val="0212161"/>
        <w:rPr>
          <w:lang w:eastAsia="ru-RU"/>
        </w:rPr>
      </w:pPr>
      <w:bookmarkStart w:id="27" w:name="_Toc182210447"/>
      <w:bookmarkStart w:id="28" w:name="_Toc69297521"/>
      <w:bookmarkStart w:id="29" w:name="_Toc240312569"/>
      <w:bookmarkStart w:id="30" w:name="_Toc463606282"/>
      <w:bookmarkStart w:id="31" w:name="_Toc463611230"/>
      <w:bookmarkStart w:id="32" w:name="_Toc464044831"/>
      <w:r>
        <w:rPr>
          <w:lang w:eastAsia="ru-RU"/>
        </w:rPr>
        <w:t xml:space="preserve">1.1 Описание положения </w:t>
      </w:r>
      <w:bookmarkEnd w:id="29"/>
      <w:bookmarkEnd w:id="30"/>
      <w:bookmarkEnd w:id="31"/>
      <w:bookmarkEnd w:id="32"/>
      <w:r>
        <w:rPr>
          <w:lang w:eastAsia="ru-RU"/>
        </w:rPr>
        <w:t>муниципального образования</w:t>
      </w:r>
      <w:bookmarkEnd w:id="27"/>
      <w:bookmarkEnd w:id="28"/>
    </w:p>
    <w:p>
      <w:pPr>
        <w:pStyle w:val="Normal"/>
        <w:spacing w:lineRule="auto" w:line="276"/>
        <w:ind w:firstLine="709"/>
        <w:rPr>
          <w:szCs w:val="24"/>
          <w:lang w:eastAsia="ru-RU"/>
        </w:rPr>
      </w:pPr>
      <w:r>
        <w:rPr/>
        <w:t xml:space="preserve">Основные характеристики территории Катенинского сельского поселения </w:t>
      </w:r>
      <w:r>
        <w:rPr>
          <w:szCs w:val="24"/>
          <w:lang w:eastAsia="ru-RU"/>
        </w:rPr>
        <w:t xml:space="preserve">Варненского муниципального района Челябинской области </w:t>
      </w:r>
      <w:r>
        <w:rPr/>
        <w:t>приведены в таблице 3.1.1.</w:t>
      </w:r>
    </w:p>
    <w:p>
      <w:pPr>
        <w:pStyle w:val="Normal"/>
        <w:spacing w:lineRule="auto" w:line="276"/>
        <w:jc w:val="right"/>
        <w:rPr>
          <w:iCs/>
        </w:rPr>
      </w:pPr>
      <w:r>
        <w:rPr>
          <w:iCs/>
        </w:rPr>
        <w:t>Таблица 3.1.1</w:t>
      </w:r>
    </w:p>
    <w:p>
      <w:pPr>
        <w:pStyle w:val="Normal"/>
        <w:spacing w:lineRule="auto" w:line="276"/>
        <w:jc w:val="center"/>
        <w:rPr>
          <w:iCs/>
        </w:rPr>
      </w:pPr>
      <w:r>
        <w:rPr>
          <w:iCs/>
        </w:rPr>
        <w:t>Общие сведения о территории</w:t>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420"/>
        <w:gridCol w:w="3121"/>
        <w:gridCol w:w="6380"/>
      </w:tblGrid>
      <w:tr>
        <w:trPr>
          <w:trHeight w:val="20" w:hRule="atLeast"/>
        </w:trPr>
        <w:tc>
          <w:tcPr>
            <w:tcW w:w="420"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bCs/>
                <w:sz w:val="20"/>
                <w:szCs w:val="20"/>
              </w:rPr>
            </w:pPr>
            <w:r>
              <w:rPr>
                <w:b/>
                <w:bCs/>
                <w:sz w:val="20"/>
                <w:szCs w:val="20"/>
              </w:rPr>
              <w:t>№</w:t>
            </w:r>
          </w:p>
        </w:tc>
        <w:tc>
          <w:tcPr>
            <w:tcW w:w="3121"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bCs/>
                <w:sz w:val="20"/>
                <w:szCs w:val="20"/>
              </w:rPr>
            </w:pPr>
            <w:r>
              <w:rPr>
                <w:b/>
                <w:bCs/>
                <w:sz w:val="20"/>
                <w:szCs w:val="20"/>
              </w:rPr>
              <w:t>Параметры</w:t>
            </w:r>
          </w:p>
        </w:tc>
        <w:tc>
          <w:tcPr>
            <w:tcW w:w="6380"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bCs/>
                <w:sz w:val="20"/>
                <w:szCs w:val="20"/>
              </w:rPr>
            </w:pPr>
            <w:r>
              <w:rPr>
                <w:b/>
                <w:bCs/>
                <w:sz w:val="20"/>
                <w:szCs w:val="20"/>
              </w:rPr>
              <w:t>Описание</w:t>
            </w:r>
          </w:p>
        </w:tc>
      </w:tr>
    </w:tbl>
    <w:p>
      <w:pPr>
        <w:pStyle w:val="Normal"/>
        <w:spacing w:lineRule="auto" w:line="12"/>
        <w:rPr>
          <w:sz w:val="28"/>
          <w:szCs w:val="28"/>
        </w:rPr>
      </w:pPr>
      <w:r>
        <w:rPr>
          <w:sz w:val="28"/>
          <w:szCs w:val="28"/>
        </w:rPr>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420"/>
        <w:gridCol w:w="3121"/>
        <w:gridCol w:w="6380"/>
      </w:tblGrid>
      <w:tr>
        <w:trPr>
          <w:trHeight w:val="21" w:hRule="atLeast"/>
        </w:trPr>
        <w:tc>
          <w:tcPr>
            <w:tcW w:w="4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b/>
                <w:b/>
                <w:bCs/>
                <w:sz w:val="20"/>
                <w:szCs w:val="20"/>
              </w:rPr>
            </w:pPr>
            <w:r>
              <w:rPr>
                <w:b/>
                <w:bCs/>
                <w:sz w:val="20"/>
                <w:szCs w:val="20"/>
              </w:rPr>
              <w:t>1</w:t>
            </w:r>
          </w:p>
        </w:tc>
        <w:tc>
          <w:tcPr>
            <w:tcW w:w="3121"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rPr>
                <w:sz w:val="20"/>
                <w:szCs w:val="20"/>
              </w:rPr>
            </w:pPr>
            <w:r>
              <w:rPr>
                <w:sz w:val="20"/>
                <w:szCs w:val="20"/>
              </w:rPr>
              <w:t>2</w:t>
            </w:r>
          </w:p>
        </w:tc>
        <w:tc>
          <w:tcPr>
            <w:tcW w:w="6380"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rPr>
                <w:sz w:val="20"/>
                <w:szCs w:val="20"/>
              </w:rPr>
            </w:pPr>
            <w:r>
              <w:rPr>
                <w:sz w:val="20"/>
                <w:szCs w:val="20"/>
              </w:rPr>
              <w:t>3</w:t>
            </w:r>
          </w:p>
        </w:tc>
      </w:tr>
      <w:tr>
        <w:trPr>
          <w:trHeight w:val="21" w:hRule="atLeast"/>
        </w:trPr>
        <w:tc>
          <w:tcPr>
            <w:tcW w:w="420" w:type="dxa"/>
            <w:tcBorders>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w:t>
            </w:r>
          </w:p>
        </w:tc>
        <w:tc>
          <w:tcPr>
            <w:tcW w:w="3121" w:type="dxa"/>
            <w:tcBorders>
              <w:bottom w:val="single" w:sz="4" w:space="0" w:color="000000"/>
              <w:right w:val="single" w:sz="4" w:space="0" w:color="000000"/>
            </w:tcBorders>
            <w:shd w:color="auto" w:fill="auto" w:val="clear"/>
          </w:tcPr>
          <w:p>
            <w:pPr>
              <w:pStyle w:val="Normal"/>
              <w:spacing w:lineRule="auto" w:line="240"/>
              <w:rPr>
                <w:sz w:val="20"/>
                <w:szCs w:val="20"/>
              </w:rPr>
            </w:pPr>
            <w:r>
              <w:rPr>
                <w:sz w:val="20"/>
                <w:szCs w:val="20"/>
              </w:rPr>
              <w:t>Площадь территории, га</w:t>
            </w:r>
          </w:p>
        </w:tc>
        <w:tc>
          <w:tcPr>
            <w:tcW w:w="6380" w:type="dxa"/>
            <w:tcBorders>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30911,6</w:t>
            </w:r>
          </w:p>
        </w:tc>
      </w:tr>
      <w:tr>
        <w:trPr>
          <w:trHeight w:val="21" w:hRule="atLeast"/>
        </w:trPr>
        <w:tc>
          <w:tcPr>
            <w:tcW w:w="420" w:type="dxa"/>
            <w:tcBorders>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2</w:t>
            </w:r>
          </w:p>
        </w:tc>
        <w:tc>
          <w:tcPr>
            <w:tcW w:w="3121" w:type="dxa"/>
            <w:tcBorders>
              <w:bottom w:val="single" w:sz="4" w:space="0" w:color="000000"/>
              <w:right w:val="single" w:sz="4" w:space="0" w:color="000000"/>
            </w:tcBorders>
            <w:shd w:color="auto" w:fill="auto" w:val="clear"/>
          </w:tcPr>
          <w:p>
            <w:pPr>
              <w:pStyle w:val="Normal"/>
              <w:spacing w:lineRule="auto" w:line="240"/>
              <w:rPr>
                <w:sz w:val="20"/>
                <w:szCs w:val="20"/>
              </w:rPr>
            </w:pPr>
            <w:r>
              <w:rPr>
                <w:sz w:val="20"/>
                <w:szCs w:val="20"/>
              </w:rPr>
              <w:t>Численность населения, чел.</w:t>
            </w:r>
          </w:p>
        </w:tc>
        <w:tc>
          <w:tcPr>
            <w:tcW w:w="6380" w:type="dxa"/>
            <w:tcBorders>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1197</w:t>
            </w:r>
          </w:p>
        </w:tc>
      </w:tr>
      <w:tr>
        <w:trPr>
          <w:trHeight w:val="21" w:hRule="atLeast"/>
        </w:trPr>
        <w:tc>
          <w:tcPr>
            <w:tcW w:w="420" w:type="dxa"/>
            <w:tcBorders>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3</w:t>
            </w:r>
          </w:p>
        </w:tc>
        <w:tc>
          <w:tcPr>
            <w:tcW w:w="3121" w:type="dxa"/>
            <w:tcBorders>
              <w:bottom w:val="single" w:sz="4" w:space="0" w:color="000000"/>
              <w:right w:val="single" w:sz="4" w:space="0" w:color="000000"/>
            </w:tcBorders>
            <w:shd w:color="auto" w:fill="auto" w:val="clear"/>
          </w:tcPr>
          <w:p>
            <w:pPr>
              <w:pStyle w:val="Normal"/>
              <w:spacing w:lineRule="auto" w:line="240"/>
              <w:rPr>
                <w:sz w:val="20"/>
                <w:szCs w:val="20"/>
              </w:rPr>
            </w:pPr>
            <w:r>
              <w:rPr>
                <w:sz w:val="20"/>
                <w:szCs w:val="20"/>
              </w:rPr>
              <w:t>Плотность населения, чел./га</w:t>
            </w:r>
          </w:p>
        </w:tc>
        <w:tc>
          <w:tcPr>
            <w:tcW w:w="6380" w:type="dxa"/>
            <w:tcBorders>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0,049</w:t>
            </w:r>
          </w:p>
        </w:tc>
      </w:tr>
      <w:tr>
        <w:trPr>
          <w:trHeight w:val="21" w:hRule="atLeast"/>
        </w:trPr>
        <w:tc>
          <w:tcPr>
            <w:tcW w:w="420" w:type="dxa"/>
            <w:tcBorders>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4</w:t>
            </w:r>
          </w:p>
        </w:tc>
        <w:tc>
          <w:tcPr>
            <w:tcW w:w="3121" w:type="dxa"/>
            <w:tcBorders>
              <w:bottom w:val="single" w:sz="4" w:space="0" w:color="000000"/>
              <w:right w:val="single" w:sz="4" w:space="0" w:color="000000"/>
            </w:tcBorders>
            <w:shd w:color="auto" w:fill="auto" w:val="clear"/>
          </w:tcPr>
          <w:p>
            <w:pPr>
              <w:pStyle w:val="Normal"/>
              <w:spacing w:lineRule="auto" w:line="240"/>
              <w:rPr>
                <w:sz w:val="20"/>
                <w:szCs w:val="20"/>
              </w:rPr>
            </w:pPr>
            <w:r>
              <w:rPr>
                <w:sz w:val="20"/>
                <w:szCs w:val="20"/>
              </w:rPr>
              <w:t>Количество населенных пунктов</w:t>
            </w:r>
          </w:p>
        </w:tc>
        <w:tc>
          <w:tcPr>
            <w:tcW w:w="6380" w:type="dxa"/>
            <w:tcBorders>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4</w:t>
            </w:r>
          </w:p>
        </w:tc>
      </w:tr>
      <w:tr>
        <w:trPr>
          <w:trHeight w:val="20" w:hRule="atLeast"/>
        </w:trPr>
        <w:tc>
          <w:tcPr>
            <w:tcW w:w="420" w:type="dxa"/>
            <w:vMerge w:val="restart"/>
            <w:tcBorders>
              <w:top w:val="single" w:sz="4" w:space="0" w:color="000000"/>
              <w:left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r>
          </w:p>
          <w:p>
            <w:pPr>
              <w:pStyle w:val="Normal"/>
              <w:spacing w:lineRule="auto" w:line="240"/>
              <w:jc w:val="center"/>
              <w:rPr>
                <w:sz w:val="20"/>
                <w:szCs w:val="20"/>
              </w:rPr>
            </w:pPr>
            <w:r>
              <w:rPr>
                <w:sz w:val="20"/>
                <w:szCs w:val="20"/>
              </w:rPr>
              <w:t>5</w:t>
            </w:r>
          </w:p>
        </w:tc>
        <w:tc>
          <w:tcPr>
            <w:tcW w:w="3121" w:type="dxa"/>
            <w:tcBorders>
              <w:top w:val="single" w:sz="4" w:space="0" w:color="000000"/>
              <w:bottom w:val="single" w:sz="4" w:space="0" w:color="000000"/>
              <w:right w:val="single" w:sz="4" w:space="0" w:color="000000"/>
            </w:tcBorders>
            <w:shd w:color="auto" w:fill="auto" w:val="clear"/>
          </w:tcPr>
          <w:p>
            <w:pPr>
              <w:pStyle w:val="Normal"/>
              <w:spacing w:lineRule="auto" w:line="240"/>
              <w:rPr>
                <w:sz w:val="20"/>
                <w:szCs w:val="20"/>
              </w:rPr>
            </w:pPr>
            <w:r>
              <w:rPr>
                <w:sz w:val="20"/>
                <w:szCs w:val="20"/>
              </w:rPr>
              <w:t>Главные планировочные оси:</w:t>
            </w:r>
          </w:p>
        </w:tc>
        <w:tc>
          <w:tcPr>
            <w:tcW w:w="6380" w:type="dxa"/>
            <w:vMerge w:val="restart"/>
            <w:tcBorders>
              <w:top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Автомобильные дороги регионального значения: «Черноречье – Чесма – Варна – Карталы – Бреды», «Катенино – Красный Октябрь»</w:t>
            </w:r>
          </w:p>
        </w:tc>
      </w:tr>
      <w:tr>
        <w:trPr>
          <w:trHeight w:val="20" w:hRule="atLeast"/>
        </w:trPr>
        <w:tc>
          <w:tcPr>
            <w:tcW w:w="420" w:type="dxa"/>
            <w:vMerge w:val="continue"/>
            <w:tcBorders>
              <w:left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r>
          </w:p>
        </w:tc>
        <w:tc>
          <w:tcPr>
            <w:tcW w:w="3121" w:type="dxa"/>
            <w:tcBorders>
              <w:top w:val="single" w:sz="4" w:space="0" w:color="000000"/>
              <w:bottom w:val="single" w:sz="4" w:space="0" w:color="000000"/>
              <w:right w:val="single" w:sz="4" w:space="0" w:color="000000"/>
            </w:tcBorders>
            <w:shd w:color="auto" w:fill="auto" w:val="clear"/>
          </w:tcPr>
          <w:p>
            <w:pPr>
              <w:pStyle w:val="Normal"/>
              <w:spacing w:lineRule="auto" w:line="240"/>
              <w:rPr>
                <w:sz w:val="20"/>
                <w:szCs w:val="20"/>
              </w:rPr>
            </w:pPr>
            <w:r>
              <w:rPr>
                <w:sz w:val="20"/>
                <w:szCs w:val="20"/>
              </w:rPr>
              <w:t>Транспортная</w:t>
            </w:r>
          </w:p>
        </w:tc>
        <w:tc>
          <w:tcPr>
            <w:tcW w:w="6380" w:type="dxa"/>
            <w:vMerge w:val="continue"/>
            <w:tcBorders>
              <w:bottom w:val="single" w:sz="4" w:space="0" w:color="000000"/>
              <w:right w:val="single" w:sz="4" w:space="0" w:color="000000"/>
            </w:tcBorders>
            <w:shd w:color="auto" w:fill="auto" w:val="clear"/>
          </w:tcPr>
          <w:p>
            <w:pPr>
              <w:pStyle w:val="Normal"/>
              <w:spacing w:lineRule="auto" w:line="240"/>
              <w:rPr>
                <w:sz w:val="20"/>
                <w:szCs w:val="20"/>
              </w:rPr>
            </w:pPr>
            <w:r>
              <w:rPr>
                <w:sz w:val="20"/>
                <w:szCs w:val="20"/>
              </w:rPr>
            </w:r>
          </w:p>
        </w:tc>
      </w:tr>
      <w:tr>
        <w:trPr>
          <w:trHeight w:val="20" w:hRule="atLeast"/>
        </w:trPr>
        <w:tc>
          <w:tcPr>
            <w:tcW w:w="420" w:type="dxa"/>
            <w:tcBorders>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r>
          </w:p>
        </w:tc>
        <w:tc>
          <w:tcPr>
            <w:tcW w:w="3121" w:type="dxa"/>
            <w:tcBorders>
              <w:top w:val="single" w:sz="4" w:space="0" w:color="000000"/>
              <w:bottom w:val="single" w:sz="4" w:space="0" w:color="000000"/>
              <w:right w:val="single" w:sz="4" w:space="0" w:color="000000"/>
            </w:tcBorders>
            <w:shd w:color="auto" w:fill="auto" w:val="clear"/>
          </w:tcPr>
          <w:p>
            <w:pPr>
              <w:pStyle w:val="Normal"/>
              <w:spacing w:lineRule="auto" w:line="240"/>
              <w:rPr>
                <w:sz w:val="20"/>
                <w:szCs w:val="20"/>
              </w:rPr>
            </w:pPr>
            <w:r>
              <w:rPr>
                <w:sz w:val="20"/>
                <w:szCs w:val="20"/>
              </w:rPr>
              <w:t>Природная</w:t>
            </w:r>
          </w:p>
        </w:tc>
        <w:tc>
          <w:tcPr>
            <w:tcW w:w="6380" w:type="dxa"/>
            <w:tcBorders>
              <w:top w:val="single" w:sz="4" w:space="0" w:color="000000"/>
              <w:bottom w:val="single" w:sz="4" w:space="0" w:color="000000"/>
              <w:right w:val="single" w:sz="4" w:space="0" w:color="000000"/>
            </w:tcBorders>
            <w:shd w:color="auto" w:fill="auto" w:val="clear"/>
          </w:tcPr>
          <w:p>
            <w:pPr>
              <w:pStyle w:val="Normal"/>
              <w:spacing w:lineRule="auto" w:line="240"/>
              <w:rPr>
                <w:sz w:val="20"/>
                <w:szCs w:val="20"/>
              </w:rPr>
            </w:pPr>
            <w:r>
              <w:rPr>
                <w:sz w:val="20"/>
                <w:szCs w:val="20"/>
              </w:rPr>
              <w:t>река Караталы-Аят</w:t>
            </w:r>
          </w:p>
        </w:tc>
      </w:tr>
    </w:tbl>
    <w:p>
      <w:pPr>
        <w:pStyle w:val="Normal"/>
        <w:spacing w:lineRule="auto" w:line="276" w:before="120" w:after="200"/>
        <w:ind w:firstLine="709"/>
        <w:rPr>
          <w:rFonts w:eastAsia="Calibri" w:eastAsiaTheme="minorHAnsi"/>
          <w:szCs w:val="24"/>
        </w:rPr>
      </w:pPr>
      <w:r>
        <w:rPr/>
        <w:t>В состав сельского поселения входит 4 населенных пунктов: село Катенино, поселок Караоба, поселок Комсомольский, поселок Красноармейский.</w:t>
      </w:r>
    </w:p>
    <w:p>
      <w:pPr>
        <w:pStyle w:val="Normal"/>
        <w:spacing w:lineRule="auto" w:line="276"/>
        <w:ind w:firstLine="709"/>
        <w:rPr>
          <w:rFonts w:eastAsia="Calibri" w:eastAsiaTheme="minorHAnsi"/>
          <w:szCs w:val="24"/>
        </w:rPr>
      </w:pPr>
      <w:r>
        <w:rPr/>
        <w:t>Административным центром Катенинского сельского поселения является с. Катенино.</w:t>
      </w:r>
    </w:p>
    <w:p>
      <w:pPr>
        <w:pStyle w:val="Normal"/>
        <w:spacing w:lineRule="auto" w:line="276"/>
        <w:ind w:firstLine="709"/>
        <w:rPr>
          <w:rFonts w:eastAsia="Calibri" w:eastAsiaTheme="minorHAnsi"/>
          <w:szCs w:val="24"/>
        </w:rPr>
      </w:pPr>
      <w:r>
        <w:rPr/>
        <w:t>Описание границ Катенинского сельского поселения приведено в таблице 3.1.2.</w:t>
      </w:r>
    </w:p>
    <w:p>
      <w:pPr>
        <w:pStyle w:val="Normal"/>
        <w:spacing w:lineRule="auto" w:line="276"/>
        <w:ind w:firstLine="709"/>
        <w:jc w:val="right"/>
        <w:rPr>
          <w:iCs/>
        </w:rPr>
      </w:pPr>
      <w:r>
        <w:rPr>
          <w:iCs/>
        </w:rPr>
        <w:t>Таблица 3.1.2</w:t>
      </w:r>
    </w:p>
    <w:p>
      <w:pPr>
        <w:pStyle w:val="Normal"/>
        <w:spacing w:lineRule="auto" w:line="276"/>
        <w:jc w:val="center"/>
        <w:rPr>
          <w:iCs/>
        </w:rPr>
      </w:pPr>
      <w:r>
        <w:rPr>
          <w:iCs/>
        </w:rPr>
        <w:t>Описание границ территории</w:t>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420"/>
        <w:gridCol w:w="1842"/>
        <w:gridCol w:w="7659"/>
      </w:tblGrid>
      <w:tr>
        <w:trPr>
          <w:tblHeader w:val="true"/>
          <w:trHeight w:val="20" w:hRule="atLeast"/>
        </w:trPr>
        <w:tc>
          <w:tcPr>
            <w:tcW w:w="420"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bCs/>
                <w:sz w:val="20"/>
                <w:szCs w:val="20"/>
              </w:rPr>
            </w:pPr>
            <w:r>
              <w:rPr>
                <w:b/>
                <w:bCs/>
                <w:sz w:val="20"/>
                <w:szCs w:val="20"/>
              </w:rPr>
              <w:t>№</w:t>
            </w:r>
          </w:p>
        </w:tc>
        <w:tc>
          <w:tcPr>
            <w:tcW w:w="1842"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bCs/>
                <w:sz w:val="20"/>
                <w:szCs w:val="20"/>
              </w:rPr>
            </w:pPr>
            <w:r>
              <w:rPr>
                <w:b/>
                <w:bCs/>
                <w:sz w:val="20"/>
                <w:szCs w:val="20"/>
              </w:rPr>
              <w:t>Параметры</w:t>
            </w:r>
          </w:p>
        </w:tc>
        <w:tc>
          <w:tcPr>
            <w:tcW w:w="7659"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bCs/>
                <w:sz w:val="20"/>
                <w:szCs w:val="20"/>
              </w:rPr>
            </w:pPr>
            <w:r>
              <w:rPr>
                <w:b/>
                <w:bCs/>
                <w:sz w:val="20"/>
                <w:szCs w:val="20"/>
              </w:rPr>
              <w:t>Описание</w:t>
            </w:r>
          </w:p>
        </w:tc>
      </w:tr>
    </w:tbl>
    <w:p>
      <w:pPr>
        <w:pStyle w:val="Normal"/>
        <w:spacing w:lineRule="auto" w:line="12"/>
        <w:jc w:val="center"/>
        <w:rPr>
          <w:iCs/>
          <w:sz w:val="28"/>
          <w:szCs w:val="28"/>
        </w:rPr>
      </w:pPr>
      <w:r>
        <w:rPr>
          <w:iCs/>
          <w:sz w:val="28"/>
          <w:szCs w:val="28"/>
        </w:rPr>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420"/>
        <w:gridCol w:w="1842"/>
        <w:gridCol w:w="7659"/>
      </w:tblGrid>
      <w:tr>
        <w:trPr>
          <w:tblHeader w:val="true"/>
          <w:trHeight w:val="20" w:hRule="atLeast"/>
        </w:trPr>
        <w:tc>
          <w:tcPr>
            <w:tcW w:w="4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b/>
                <w:b/>
                <w:bCs/>
                <w:sz w:val="20"/>
                <w:szCs w:val="20"/>
              </w:rPr>
            </w:pPr>
            <w:r>
              <w:rPr>
                <w:b/>
                <w:bCs/>
                <w:sz w:val="20"/>
                <w:szCs w:val="20"/>
              </w:rPr>
              <w:t>1</w:t>
            </w:r>
          </w:p>
        </w:tc>
        <w:tc>
          <w:tcPr>
            <w:tcW w:w="184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b/>
                <w:b/>
                <w:bCs/>
                <w:sz w:val="20"/>
                <w:szCs w:val="20"/>
              </w:rPr>
            </w:pPr>
            <w:r>
              <w:rPr>
                <w:b/>
                <w:bCs/>
                <w:sz w:val="20"/>
                <w:szCs w:val="20"/>
              </w:rPr>
              <w:t>2</w:t>
            </w:r>
          </w:p>
        </w:tc>
        <w:tc>
          <w:tcPr>
            <w:tcW w:w="76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b/>
                <w:b/>
                <w:bCs/>
                <w:sz w:val="20"/>
                <w:szCs w:val="20"/>
              </w:rPr>
            </w:pPr>
            <w:r>
              <w:rPr>
                <w:b/>
                <w:bCs/>
                <w:sz w:val="20"/>
                <w:szCs w:val="20"/>
              </w:rPr>
              <w:t>3</w:t>
            </w:r>
          </w:p>
        </w:tc>
      </w:tr>
      <w:tr>
        <w:trPr>
          <w:trHeight w:val="20" w:hRule="atLeast"/>
        </w:trPr>
        <w:tc>
          <w:tcPr>
            <w:tcW w:w="420"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w:t>
            </w:r>
          </w:p>
        </w:tc>
        <w:tc>
          <w:tcPr>
            <w:tcW w:w="1842"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rPr>
                <w:sz w:val="20"/>
                <w:szCs w:val="20"/>
              </w:rPr>
            </w:pPr>
            <w:r>
              <w:rPr>
                <w:sz w:val="20"/>
                <w:szCs w:val="20"/>
              </w:rPr>
              <w:t>Закон о границах:</w:t>
            </w:r>
          </w:p>
        </w:tc>
        <w:tc>
          <w:tcPr>
            <w:tcW w:w="76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Граница сельского поселения в соответствии с законом Челябинской области от 24.06.2004 г. № 240-ЗО «О статусе и границах Варненского муниципального района, городского и сельских поселений в его составе»</w:t>
            </w:r>
          </w:p>
          <w:p>
            <w:pPr>
              <w:pStyle w:val="Normal"/>
              <w:spacing w:lineRule="auto" w:line="240"/>
              <w:jc w:val="left"/>
              <w:rPr>
                <w:sz w:val="20"/>
                <w:szCs w:val="20"/>
              </w:rPr>
            </w:pPr>
            <w:r>
              <w:rPr>
                <w:sz w:val="20"/>
                <w:szCs w:val="20"/>
              </w:rPr>
            </w:r>
          </w:p>
        </w:tc>
      </w:tr>
      <w:tr>
        <w:trPr>
          <w:trHeight w:val="20" w:hRule="atLeast"/>
        </w:trPr>
        <w:tc>
          <w:tcPr>
            <w:tcW w:w="420" w:type="dxa"/>
            <w:vMerge w:val="restart"/>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2</w:t>
            </w:r>
          </w:p>
        </w:tc>
        <w:tc>
          <w:tcPr>
            <w:tcW w:w="9501"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rPr>
                <w:sz w:val="20"/>
                <w:szCs w:val="20"/>
              </w:rPr>
            </w:pPr>
            <w:r>
              <w:rPr>
                <w:sz w:val="20"/>
                <w:szCs w:val="20"/>
              </w:rPr>
              <w:t>Соседние административно-территориальные образования:</w:t>
            </w:r>
          </w:p>
        </w:tc>
      </w:tr>
      <w:tr>
        <w:trPr>
          <w:trHeight w:val="20" w:hRule="atLeast"/>
        </w:trPr>
        <w:tc>
          <w:tcPr>
            <w:tcW w:w="420" w:type="dxa"/>
            <w:vMerge w:val="continue"/>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rPr>
                <w:sz w:val="20"/>
                <w:szCs w:val="20"/>
              </w:rPr>
            </w:pPr>
            <w:r>
              <w:rPr>
                <w:sz w:val="20"/>
                <w:szCs w:val="20"/>
              </w:rPr>
            </w:r>
          </w:p>
        </w:tc>
        <w:tc>
          <w:tcPr>
            <w:tcW w:w="1842"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rPr>
                <w:sz w:val="20"/>
                <w:szCs w:val="20"/>
              </w:rPr>
            </w:pPr>
            <w:r>
              <w:rPr>
                <w:sz w:val="20"/>
                <w:szCs w:val="20"/>
              </w:rPr>
              <w:t>юг</w:t>
            </w:r>
          </w:p>
        </w:tc>
        <w:tc>
          <w:tcPr>
            <w:tcW w:w="76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Краснооктябрьское сельское поселение</w:t>
            </w:r>
          </w:p>
        </w:tc>
      </w:tr>
      <w:tr>
        <w:trPr>
          <w:trHeight w:val="20" w:hRule="atLeast"/>
        </w:trPr>
        <w:tc>
          <w:tcPr>
            <w:tcW w:w="420" w:type="dxa"/>
            <w:vMerge w:val="continue"/>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rPr>
                <w:sz w:val="20"/>
                <w:szCs w:val="20"/>
              </w:rPr>
            </w:pPr>
            <w:r>
              <w:rPr>
                <w:sz w:val="20"/>
                <w:szCs w:val="20"/>
              </w:rPr>
            </w:r>
          </w:p>
        </w:tc>
        <w:tc>
          <w:tcPr>
            <w:tcW w:w="1842"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rPr>
                <w:sz w:val="20"/>
                <w:szCs w:val="20"/>
              </w:rPr>
            </w:pPr>
            <w:r>
              <w:rPr>
                <w:sz w:val="20"/>
                <w:szCs w:val="20"/>
              </w:rPr>
              <w:t>восток</w:t>
            </w:r>
          </w:p>
        </w:tc>
        <w:tc>
          <w:tcPr>
            <w:tcW w:w="76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Кулевчинское сельское поселение</w:t>
            </w:r>
          </w:p>
        </w:tc>
      </w:tr>
      <w:tr>
        <w:trPr>
          <w:trHeight w:val="20" w:hRule="atLeast"/>
        </w:trPr>
        <w:tc>
          <w:tcPr>
            <w:tcW w:w="420" w:type="dxa"/>
            <w:vMerge w:val="continue"/>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rPr>
                <w:sz w:val="20"/>
                <w:szCs w:val="20"/>
              </w:rPr>
            </w:pPr>
            <w:r>
              <w:rPr>
                <w:sz w:val="20"/>
                <w:szCs w:val="20"/>
              </w:rPr>
            </w:r>
          </w:p>
        </w:tc>
        <w:tc>
          <w:tcPr>
            <w:tcW w:w="1842"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rPr>
                <w:sz w:val="20"/>
                <w:szCs w:val="20"/>
              </w:rPr>
            </w:pPr>
            <w:r>
              <w:rPr>
                <w:sz w:val="20"/>
                <w:szCs w:val="20"/>
              </w:rPr>
              <w:t>северо-восток</w:t>
            </w:r>
          </w:p>
        </w:tc>
        <w:tc>
          <w:tcPr>
            <w:tcW w:w="76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Покровское сельское поселение</w:t>
            </w:r>
          </w:p>
        </w:tc>
      </w:tr>
      <w:tr>
        <w:trPr>
          <w:trHeight w:val="20" w:hRule="atLeast"/>
        </w:trPr>
        <w:tc>
          <w:tcPr>
            <w:tcW w:w="420" w:type="dxa"/>
            <w:vMerge w:val="continue"/>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rPr>
                <w:sz w:val="20"/>
                <w:szCs w:val="20"/>
              </w:rPr>
            </w:pPr>
            <w:r>
              <w:rPr>
                <w:sz w:val="20"/>
                <w:szCs w:val="20"/>
              </w:rPr>
            </w:r>
          </w:p>
        </w:tc>
        <w:tc>
          <w:tcPr>
            <w:tcW w:w="1842"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rPr>
                <w:sz w:val="20"/>
                <w:szCs w:val="20"/>
              </w:rPr>
            </w:pPr>
            <w:r>
              <w:rPr>
                <w:sz w:val="20"/>
                <w:szCs w:val="20"/>
              </w:rPr>
              <w:t>север</w:t>
            </w:r>
          </w:p>
        </w:tc>
        <w:tc>
          <w:tcPr>
            <w:tcW w:w="76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Варненское сельское поселение</w:t>
            </w:r>
          </w:p>
        </w:tc>
      </w:tr>
      <w:tr>
        <w:trPr>
          <w:trHeight w:val="20" w:hRule="atLeast"/>
        </w:trPr>
        <w:tc>
          <w:tcPr>
            <w:tcW w:w="420" w:type="dxa"/>
            <w:vMerge w:val="continue"/>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rPr>
                <w:sz w:val="20"/>
                <w:szCs w:val="20"/>
              </w:rPr>
            </w:pPr>
            <w:r>
              <w:rPr>
                <w:sz w:val="20"/>
                <w:szCs w:val="20"/>
              </w:rPr>
            </w:r>
          </w:p>
        </w:tc>
        <w:tc>
          <w:tcPr>
            <w:tcW w:w="1842"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rPr>
                <w:sz w:val="20"/>
                <w:szCs w:val="20"/>
              </w:rPr>
            </w:pPr>
            <w:r>
              <w:rPr>
                <w:sz w:val="20"/>
                <w:szCs w:val="20"/>
              </w:rPr>
              <w:t>запад</w:t>
            </w:r>
          </w:p>
        </w:tc>
        <w:tc>
          <w:tcPr>
            <w:tcW w:w="76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Карталинский муниципальный район</w:t>
            </w:r>
          </w:p>
        </w:tc>
      </w:tr>
      <w:tr>
        <w:trPr>
          <w:trHeight w:val="470" w:hRule="atLeast"/>
        </w:trPr>
        <w:tc>
          <w:tcPr>
            <w:tcW w:w="420" w:type="dxa"/>
            <w:vMerge w:val="continue"/>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rPr>
                <w:sz w:val="20"/>
                <w:szCs w:val="20"/>
              </w:rPr>
            </w:pPr>
            <w:r>
              <w:rPr>
                <w:sz w:val="20"/>
                <w:szCs w:val="20"/>
              </w:rPr>
            </w:r>
          </w:p>
        </w:tc>
        <w:tc>
          <w:tcPr>
            <w:tcW w:w="1842"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rPr>
                <w:sz w:val="20"/>
                <w:szCs w:val="20"/>
              </w:rPr>
            </w:pPr>
            <w:r>
              <w:rPr>
                <w:sz w:val="20"/>
                <w:szCs w:val="20"/>
              </w:rPr>
              <w:t>юго-запад</w:t>
            </w:r>
          </w:p>
        </w:tc>
        <w:tc>
          <w:tcPr>
            <w:tcW w:w="76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Карталинский муниципальный район</w:t>
            </w:r>
          </w:p>
        </w:tc>
      </w:tr>
    </w:tbl>
    <w:p>
      <w:pPr>
        <w:pStyle w:val="0212161"/>
        <w:rPr>
          <w:lang w:eastAsia="ru-RU"/>
        </w:rPr>
      </w:pPr>
      <w:bookmarkStart w:id="33" w:name="_Toc182210448"/>
      <w:bookmarkStart w:id="34" w:name="_Toc69297522"/>
      <w:r>
        <w:rPr>
          <w:lang w:eastAsia="ru-RU"/>
        </w:rPr>
        <w:t>1.2 Существующая планировочная организация</w:t>
      </w:r>
      <w:bookmarkEnd w:id="33"/>
      <w:bookmarkEnd w:id="34"/>
    </w:p>
    <w:p>
      <w:pPr>
        <w:sectPr>
          <w:headerReference w:type="default" r:id="rId36"/>
          <w:footerReference w:type="default" r:id="rId37"/>
          <w:type w:val="nextPage"/>
          <w:pgSz w:w="11906" w:h="16838"/>
          <w:pgMar w:left="1418" w:right="567" w:header="567" w:top="1134" w:footer="567" w:bottom="1134" w:gutter="0"/>
          <w:pgNumType w:fmt="decimal"/>
          <w:formProt w:val="false"/>
          <w:textDirection w:val="lrTb"/>
          <w:docGrid w:type="default" w:linePitch="600" w:charSpace="32768"/>
        </w:sectPr>
        <w:pStyle w:val="Normal"/>
        <w:widowControl w:val="false"/>
        <w:spacing w:lineRule="auto" w:line="276"/>
        <w:ind w:firstLine="709"/>
        <w:rPr>
          <w:szCs w:val="24"/>
        </w:rPr>
      </w:pPr>
      <w:r>
        <w:rPr>
          <w:szCs w:val="24"/>
        </w:rPr>
        <w:t>Связь населенных пунктов с иными населенными пунктами осуществляется  автомобильным транспортом. Главную ось урбанизированного каркаса формируют транспортные магистрали: автодороги регионального значения: «Черноречье – Чесма – Варна – Карталы – Бреды», «Варна – Александровка Варненского муниципального района – граница Казахстана», «Катенино – Красный Октябрь», «Катенино – Караоба», «Новокулевчи –Караоба», «Красноармейский - автодорога Черноречье - Чесма - Варна - Карталы – Бреды».</w:t>
      </w:r>
    </w:p>
    <w:p>
      <w:pPr>
        <w:pStyle w:val="0212164"/>
        <w:rPr>
          <w:rFonts w:eastAsia="Calibri" w:eastAsiaTheme="minorHAnsi"/>
          <w:szCs w:val="24"/>
        </w:rPr>
      </w:pPr>
      <w:bookmarkStart w:id="35" w:name="_Toc182210449"/>
      <w:bookmarkStart w:id="36" w:name="_Toc69297523"/>
      <w:r>
        <w:rPr/>
        <w:t>ГЛАВА 2. ПРИРОДН</w:t>
      </w:r>
      <w:bookmarkEnd w:id="36"/>
      <w:r>
        <w:rPr/>
        <w:t>ЫЕ УСЛОВИЯ И МИНЕРАЛЬНО-СЫРЬЕВЫЕ РЕСУРСЫ</w:t>
      </w:r>
      <w:bookmarkEnd w:id="35"/>
    </w:p>
    <w:p>
      <w:pPr>
        <w:pStyle w:val="3"/>
        <w:spacing w:lineRule="auto" w:line="276" w:before="0" w:after="0"/>
        <w:rPr>
          <w:rFonts w:ascii="Times New Roman" w:hAnsi="Times New Roman"/>
          <w:sz w:val="24"/>
          <w:szCs w:val="24"/>
        </w:rPr>
      </w:pPr>
      <w:bookmarkStart w:id="37" w:name="_Toc182210450"/>
      <w:bookmarkStart w:id="38" w:name="_Toc69297524"/>
      <w:bookmarkStart w:id="39" w:name="_Toc464044833"/>
      <w:bookmarkStart w:id="40" w:name="_Toc463611232"/>
      <w:bookmarkStart w:id="41" w:name="_Toc463606284"/>
      <w:r>
        <w:rPr>
          <w:rFonts w:ascii="Times New Roman" w:hAnsi="Times New Roman"/>
          <w:sz w:val="24"/>
          <w:szCs w:val="24"/>
        </w:rPr>
        <w:t>2.1 Климат</w:t>
      </w:r>
      <w:bookmarkEnd w:id="37"/>
      <w:bookmarkEnd w:id="38"/>
      <w:bookmarkEnd w:id="39"/>
      <w:bookmarkEnd w:id="40"/>
      <w:bookmarkEnd w:id="41"/>
    </w:p>
    <w:p>
      <w:pPr>
        <w:pStyle w:val="Normal"/>
        <w:widowControl w:val="false"/>
        <w:spacing w:lineRule="auto" w:line="276"/>
        <w:ind w:firstLine="709"/>
        <w:rPr>
          <w:szCs w:val="24"/>
        </w:rPr>
      </w:pPr>
      <w:bookmarkStart w:id="42" w:name="_Toc69297530"/>
      <w:bookmarkStart w:id="43" w:name="_Toc69297525"/>
      <w:bookmarkStart w:id="44" w:name="_Toc464044835"/>
      <w:bookmarkStart w:id="45" w:name="_Toc463611234"/>
      <w:bookmarkStart w:id="46" w:name="_Toc463606288"/>
      <w:bookmarkStart w:id="47" w:name="_Toc324507154"/>
      <w:r>
        <w:rPr>
          <w:szCs w:val="24"/>
        </w:rPr>
        <w:t xml:space="preserve">Климат Варненского муниципального района умеренно-теплый, благоприятный для проживания населения, ведения сельского хозяйства (с применением агротехнических мероприятий по сохранению влаги в почве). </w:t>
      </w:r>
    </w:p>
    <w:p>
      <w:pPr>
        <w:pStyle w:val="Normal"/>
        <w:widowControl w:val="false"/>
        <w:spacing w:lineRule="auto" w:line="276"/>
        <w:ind w:firstLine="709"/>
        <w:rPr>
          <w:szCs w:val="24"/>
        </w:rPr>
      </w:pPr>
      <w:r>
        <w:rPr>
          <w:szCs w:val="24"/>
        </w:rPr>
        <w:t xml:space="preserve">Оценка климатических условий сделана в целом по району ввиду слабой климатической дифференциации территории. При этом использовались данные агроклиматического справочника и СНиП 23-01-99.  </w:t>
      </w:r>
    </w:p>
    <w:p>
      <w:pPr>
        <w:pStyle w:val="Normal"/>
        <w:widowControl w:val="false"/>
        <w:spacing w:lineRule="auto" w:line="276"/>
        <w:ind w:firstLine="709"/>
        <w:rPr>
          <w:szCs w:val="24"/>
        </w:rPr>
      </w:pPr>
      <w:r>
        <w:rPr>
          <w:szCs w:val="24"/>
        </w:rPr>
        <w:t xml:space="preserve">Возможности Катенинского сельского поселения Варненского района для размещения и дальнейшего развития сельского хозяйства относительно оптимальны в условиях Челябинской области. Варненский район входит в состав V агроклиматического района, характеризуемого, как наиболее теплый. Переход средних суточных температур воздуха через плюс 10о С весной приходится на первую декаду мая, осенью – на вторую декаду сентября. Это период активной вегетации растений, продолжающийся 135-140 дней. </w:t>
      </w:r>
    </w:p>
    <w:p>
      <w:pPr>
        <w:pStyle w:val="Normal"/>
        <w:widowControl w:val="false"/>
        <w:spacing w:lineRule="auto" w:line="276"/>
        <w:ind w:firstLine="709"/>
        <w:rPr>
          <w:szCs w:val="24"/>
        </w:rPr>
      </w:pPr>
      <w:r>
        <w:rPr>
          <w:szCs w:val="24"/>
        </w:rPr>
        <w:t xml:space="preserve">Заморозки прекращаются, как правило, в третьей декаде мая. За год в районе выпадает 250-340 мм осадков, запасы влаги в почве ко времени сева не превышают обычно 105-130 мм, местами до 150 мм. Влагообеспеченность сельскохозяйственных культур недостаточная: яровой пшеницы 45-50%, картофеля и кукурузы 40-45 % от оптимальной. </w:t>
      </w:r>
    </w:p>
    <w:p>
      <w:pPr>
        <w:pStyle w:val="Normal"/>
        <w:widowControl w:val="false"/>
        <w:spacing w:lineRule="auto" w:line="276"/>
        <w:ind w:firstLine="709"/>
        <w:rPr>
          <w:szCs w:val="24"/>
        </w:rPr>
      </w:pPr>
      <w:r>
        <w:rPr>
          <w:szCs w:val="24"/>
        </w:rPr>
        <w:t xml:space="preserve">Оптимальная теплообеспеченность и влагосберегающие технологии позволяют успешно возделывать в районе зерновые культуры, многолетние травы, кукурузу на силос и восковой спелости, картофель, овощи, морозоустойчивые сорта плодовых ягодных культур. </w:t>
      </w:r>
    </w:p>
    <w:p>
      <w:pPr>
        <w:pStyle w:val="Normal"/>
        <w:widowControl w:val="false"/>
        <w:spacing w:lineRule="auto" w:line="276"/>
        <w:ind w:firstLine="709"/>
        <w:rPr>
          <w:szCs w:val="24"/>
        </w:rPr>
      </w:pPr>
      <w:r>
        <w:rPr>
          <w:szCs w:val="24"/>
        </w:rPr>
        <w:t xml:space="preserve">Для строительных целей следует учитывать следующие климатические характеристики: </w:t>
      </w:r>
    </w:p>
    <w:p>
      <w:pPr>
        <w:pStyle w:val="Normal"/>
        <w:widowControl w:val="false"/>
        <w:spacing w:lineRule="auto" w:line="276"/>
        <w:ind w:firstLine="709"/>
        <w:rPr>
          <w:szCs w:val="24"/>
        </w:rPr>
      </w:pPr>
      <w:r>
        <w:rPr>
          <w:szCs w:val="24"/>
        </w:rPr>
        <w:t>- температура самого холодного месяца (январь) - 16,</w:t>
      </w:r>
      <w:r>
        <w:rPr>
          <w:szCs w:val="24"/>
          <w:vertAlign w:val="superscript"/>
        </w:rPr>
        <w:t>0</w:t>
      </w:r>
      <w:r>
        <w:rPr>
          <w:szCs w:val="24"/>
        </w:rPr>
        <w:t>С (среднегодовая), самого теплого (июля) +18,3</w:t>
      </w:r>
      <w:r>
        <w:rPr>
          <w:szCs w:val="24"/>
          <w:vertAlign w:val="superscript"/>
        </w:rPr>
        <w:t>0</w:t>
      </w:r>
      <w:r>
        <w:rPr>
          <w:szCs w:val="24"/>
        </w:rPr>
        <w:t xml:space="preserve">С, абсолютный минимум - 46 </w:t>
      </w:r>
      <w:r>
        <w:rPr>
          <w:szCs w:val="24"/>
          <w:vertAlign w:val="superscript"/>
        </w:rPr>
        <w:t>0</w:t>
      </w:r>
      <w:r>
        <w:rPr>
          <w:szCs w:val="24"/>
        </w:rPr>
        <w:t xml:space="preserve">С, максимум + 39 </w:t>
      </w:r>
      <w:r>
        <w:rPr>
          <w:szCs w:val="24"/>
          <w:vertAlign w:val="superscript"/>
        </w:rPr>
        <w:t>0</w:t>
      </w:r>
      <w:r>
        <w:rPr>
          <w:szCs w:val="24"/>
        </w:rPr>
        <w:t xml:space="preserve">С; </w:t>
      </w:r>
    </w:p>
    <w:p>
      <w:pPr>
        <w:pStyle w:val="Normal"/>
        <w:widowControl w:val="false"/>
        <w:spacing w:lineRule="auto" w:line="276"/>
        <w:ind w:firstLine="709"/>
        <w:rPr>
          <w:szCs w:val="24"/>
        </w:rPr>
      </w:pPr>
      <w:r>
        <w:rPr>
          <w:szCs w:val="24"/>
        </w:rPr>
        <w:t xml:space="preserve">- среднегодовое количество осадков составляет 340 мм (15% осадков приходится на летний период); </w:t>
      </w:r>
    </w:p>
    <w:p>
      <w:pPr>
        <w:pStyle w:val="Normal"/>
        <w:widowControl w:val="false"/>
        <w:spacing w:lineRule="auto" w:line="276"/>
        <w:ind w:firstLine="709"/>
        <w:rPr>
          <w:szCs w:val="24"/>
        </w:rPr>
      </w:pPr>
      <w:r>
        <w:rPr>
          <w:szCs w:val="24"/>
        </w:rPr>
        <w:t xml:space="preserve">- продолжительность периода с устойчивым снежным покровом составляет 145 дней; </w:t>
      </w:r>
    </w:p>
    <w:p>
      <w:pPr>
        <w:pStyle w:val="Normal"/>
        <w:widowControl w:val="false"/>
        <w:spacing w:lineRule="auto" w:line="276"/>
        <w:ind w:firstLine="709"/>
        <w:rPr>
          <w:szCs w:val="24"/>
        </w:rPr>
      </w:pPr>
      <w:r>
        <w:rPr>
          <w:szCs w:val="24"/>
        </w:rPr>
        <w:t xml:space="preserve">- </w:t>
      </w:r>
      <w:r>
        <w:rPr/>
        <w:t>высота снежного покрова – 20 см;</w:t>
      </w:r>
    </w:p>
    <w:p>
      <w:pPr>
        <w:pStyle w:val="3"/>
        <w:spacing w:lineRule="auto" w:line="276" w:before="120" w:after="0"/>
        <w:rPr>
          <w:rFonts w:ascii="Times New Roman" w:hAnsi="Times New Roman"/>
          <w:sz w:val="24"/>
          <w:szCs w:val="24"/>
        </w:rPr>
      </w:pPr>
      <w:bookmarkStart w:id="48" w:name="_Toc69297525"/>
      <w:bookmarkStart w:id="49" w:name="_Toc464044835"/>
      <w:bookmarkStart w:id="50" w:name="_Toc463611234"/>
      <w:bookmarkStart w:id="51" w:name="_Toc463606288"/>
      <w:bookmarkStart w:id="52" w:name="_Toc324507154"/>
      <w:bookmarkStart w:id="53" w:name="_Toc182210451"/>
      <w:r>
        <w:rPr>
          <w:rFonts w:ascii="Times New Roman" w:hAnsi="Times New Roman"/>
          <w:sz w:val="24"/>
          <w:szCs w:val="24"/>
        </w:rPr>
        <w:t>2.2 Рельеф</w:t>
      </w:r>
      <w:bookmarkEnd w:id="48"/>
      <w:bookmarkEnd w:id="49"/>
      <w:bookmarkEnd w:id="50"/>
      <w:bookmarkEnd w:id="51"/>
      <w:bookmarkEnd w:id="52"/>
      <w:r>
        <w:rPr>
          <w:rFonts w:ascii="Times New Roman" w:hAnsi="Times New Roman"/>
          <w:sz w:val="24"/>
          <w:szCs w:val="24"/>
        </w:rPr>
        <w:t xml:space="preserve"> и геологическое строение</w:t>
      </w:r>
      <w:bookmarkEnd w:id="53"/>
    </w:p>
    <w:p>
      <w:pPr>
        <w:pStyle w:val="Normal"/>
        <w:widowControl w:val="false"/>
        <w:spacing w:lineRule="auto" w:line="276"/>
        <w:ind w:firstLine="709"/>
        <w:rPr>
          <w:szCs w:val="24"/>
        </w:rPr>
      </w:pPr>
      <w:r>
        <w:rPr>
          <w:szCs w:val="24"/>
        </w:rPr>
        <w:t xml:space="preserve">Варненский район расположен в пределах восточного склона Урала, на границе с Западно-Сибирской низменностью. Пограничное положение обеспечило району в географическом отношении деление на две части: западную с холмисто-увалистым рельефом и абсолютными отметками поверхности 260 - 300 м и восточную, представляющую собой плоскую степную безлесную равнину с абсолютными отметками поверхности в 200 - 260 м и с многочисленными озерными котловинами. </w:t>
      </w:r>
    </w:p>
    <w:p>
      <w:pPr>
        <w:pStyle w:val="Normal"/>
        <w:widowControl w:val="false"/>
        <w:spacing w:lineRule="auto" w:line="276"/>
        <w:ind w:firstLine="709"/>
        <w:rPr>
          <w:szCs w:val="24"/>
        </w:rPr>
      </w:pPr>
      <w:r>
        <w:rPr>
          <w:szCs w:val="24"/>
        </w:rPr>
        <w:t xml:space="preserve">Большая часть территории в географическом отношении благоприятна для промышленно-гражданского строительства, механизированного ведения сельского хозяйства. </w:t>
      </w:r>
    </w:p>
    <w:p>
      <w:pPr>
        <w:pStyle w:val="Normal"/>
        <w:widowControl w:val="false"/>
        <w:spacing w:lineRule="auto" w:line="276"/>
        <w:ind w:firstLine="709"/>
        <w:rPr>
          <w:szCs w:val="24"/>
        </w:rPr>
      </w:pPr>
      <w:r>
        <w:rPr>
          <w:szCs w:val="24"/>
        </w:rPr>
        <w:t xml:space="preserve">Вместе с тем, при организации строительства часто необходима вертикальная планировка, удорожающая строительство. Участков, создающих планировочные ограничения (крутые склоны, овраги, балки, поймы и т.д.) в районе не много. </w:t>
      </w:r>
    </w:p>
    <w:p>
      <w:pPr>
        <w:pStyle w:val="Normal"/>
        <w:widowControl w:val="false"/>
        <w:spacing w:lineRule="auto" w:line="276"/>
        <w:ind w:firstLine="709"/>
        <w:rPr>
          <w:szCs w:val="24"/>
        </w:rPr>
      </w:pPr>
      <w:r>
        <w:rPr>
          <w:szCs w:val="24"/>
        </w:rPr>
        <w:t>Участки с пересеченным рельефом вдоль рек являются наиболее выразительными в ландшафтном отношении и благоприятными для размещения мест отдыха.</w:t>
      </w:r>
    </w:p>
    <w:p>
      <w:pPr>
        <w:pStyle w:val="Normal"/>
        <w:widowControl w:val="false"/>
        <w:spacing w:lineRule="auto" w:line="276"/>
        <w:ind w:firstLine="709"/>
        <w:rPr>
          <w:szCs w:val="24"/>
        </w:rPr>
      </w:pPr>
      <w:r>
        <w:rPr>
          <w:szCs w:val="24"/>
        </w:rPr>
        <w:t xml:space="preserve">В геологическом строении района принимает участие разнообразный по литологии и возрасту комплекс пород, слагающих три крупные тектонические структуры I порядка – Восточно-Уральское поднятие и прогиб, и Зауральское поднятие. </w:t>
      </w:r>
    </w:p>
    <w:p>
      <w:pPr>
        <w:pStyle w:val="Normal"/>
        <w:widowControl w:val="false"/>
        <w:spacing w:lineRule="auto" w:line="276"/>
        <w:ind w:firstLine="709"/>
        <w:rPr>
          <w:szCs w:val="24"/>
        </w:rPr>
      </w:pPr>
      <w:r>
        <w:rPr>
          <w:szCs w:val="24"/>
        </w:rPr>
        <w:t xml:space="preserve">Наиболее распространенными в районе являются среднеэоценовые глины, алевриты и пески Куртамышской свиты. Основаниями для зданий и сооружений служат глины, суглинки, пески. </w:t>
      </w:r>
    </w:p>
    <w:p>
      <w:pPr>
        <w:pStyle w:val="Normal"/>
        <w:widowControl w:val="false"/>
        <w:spacing w:lineRule="auto" w:line="276"/>
        <w:ind w:firstLine="709"/>
        <w:rPr>
          <w:szCs w:val="24"/>
        </w:rPr>
      </w:pPr>
      <w:r>
        <w:rPr>
          <w:szCs w:val="24"/>
        </w:rPr>
        <w:t xml:space="preserve">Грунтовые воды, на большей части территории, на глубину до 3,0 м не встречены. В прибрежной зоне грунтовые воды приурочены к уровню воды в реке и находятся на глубине 2-4 м от поверхности земли. </w:t>
      </w:r>
    </w:p>
    <w:p>
      <w:pPr>
        <w:pStyle w:val="Normal"/>
        <w:widowControl w:val="false"/>
        <w:spacing w:lineRule="auto" w:line="276"/>
        <w:ind w:firstLine="709"/>
        <w:rPr>
          <w:szCs w:val="24"/>
        </w:rPr>
      </w:pPr>
      <w:r>
        <w:rPr>
          <w:szCs w:val="24"/>
        </w:rPr>
        <w:t xml:space="preserve">Геологические процессы в земной коре функционально обусловили рельеф, гидрографию и гидрогеологию района, привели к образованию ряда месторождений нерудных ископаемых, создали определенные инженерно-геологические условия для строительства, то есть сформировались факторы, активно влияющие на планировочное состояние территории района. По планировочной оценке район благоприятен для застройки. Исключения составляют поймы рек, заболоченные территории. На территории с распространением карста необходимо инженерное изыскание. Благоприятствует строительству отсутствие в районе территории, где бы проявлялись нежелательные физико-геологические процессы (эрозия, оползни и т.д.). </w:t>
      </w:r>
    </w:p>
    <w:p>
      <w:pPr>
        <w:pStyle w:val="3"/>
        <w:spacing w:lineRule="auto" w:line="276" w:before="120" w:after="0"/>
        <w:rPr>
          <w:rFonts w:ascii="Times New Roman" w:hAnsi="Times New Roman"/>
          <w:sz w:val="24"/>
          <w:szCs w:val="24"/>
        </w:rPr>
      </w:pPr>
      <w:bookmarkStart w:id="54" w:name="_Toc182210452"/>
      <w:bookmarkStart w:id="55" w:name="_Toc69297526"/>
      <w:r>
        <w:rPr>
          <w:rFonts w:ascii="Times New Roman" w:hAnsi="Times New Roman"/>
          <w:sz w:val="24"/>
          <w:szCs w:val="24"/>
        </w:rPr>
        <w:t>2.3 Гидрология</w:t>
      </w:r>
      <w:bookmarkEnd w:id="54"/>
      <w:bookmarkEnd w:id="55"/>
    </w:p>
    <w:p>
      <w:pPr>
        <w:pStyle w:val="Normal"/>
        <w:widowControl w:val="false"/>
        <w:spacing w:lineRule="auto" w:line="276"/>
        <w:ind w:firstLine="709"/>
        <w:rPr>
          <w:szCs w:val="24"/>
        </w:rPr>
      </w:pPr>
      <w:r>
        <w:rPr>
          <w:szCs w:val="24"/>
        </w:rPr>
        <w:t xml:space="preserve">Гидрологическая сеть поселения сформирована бассейном реки Карталы-Аят, являющейся одним из главных элементов планировочной структуры территории как района в целом, так и Катенинского сельского поселения, исторически концентрируя размещение населенных пунктов вдоль своего русла.  </w:t>
      </w:r>
    </w:p>
    <w:p>
      <w:pPr>
        <w:pStyle w:val="Normal"/>
        <w:widowControl w:val="false"/>
        <w:spacing w:lineRule="auto" w:line="276"/>
        <w:ind w:firstLine="709"/>
        <w:rPr>
          <w:szCs w:val="24"/>
        </w:rPr>
      </w:pPr>
      <w:r>
        <w:rPr>
          <w:szCs w:val="24"/>
        </w:rPr>
        <w:t xml:space="preserve">Река Караталы-Аят протекает в </w:t>
      </w:r>
      <w:hyperlink r:id="rId38">
        <w:r>
          <w:rPr>
            <w:szCs w:val="24"/>
          </w:rPr>
          <w:t>Челябинской области</w:t>
        </w:r>
      </w:hyperlink>
      <w:hyperlink r:id="rId39">
        <w:r>
          <w:rPr>
            <w:szCs w:val="24"/>
          </w:rPr>
          <w:t>.</w:t>
        </w:r>
      </w:hyperlink>
      <w:r>
        <w:rPr>
          <w:szCs w:val="24"/>
        </w:rPr>
        <w:t xml:space="preserve"> Сливается с рекой </w:t>
      </w:r>
      <w:hyperlink r:id="rId40">
        <w:r>
          <w:rPr>
            <w:szCs w:val="24"/>
          </w:rPr>
          <w:t>Арчаг</w:t>
        </w:r>
      </w:hyperlink>
      <w:hyperlink r:id="rId41">
        <w:r>
          <w:rPr>
            <w:szCs w:val="24"/>
          </w:rPr>
          <w:t>лыаят</w:t>
        </w:r>
      </w:hyperlink>
      <w:hyperlink r:id="rId42">
        <w:r>
          <w:rPr>
            <w:szCs w:val="24"/>
          </w:rPr>
          <w:t xml:space="preserve"> </w:t>
        </w:r>
      </w:hyperlink>
      <w:r>
        <w:rPr>
          <w:szCs w:val="24"/>
        </w:rPr>
        <w:t xml:space="preserve">с образованием реки </w:t>
      </w:r>
      <w:hyperlink r:id="rId43">
        <w:r>
          <w:rPr>
            <w:szCs w:val="24"/>
          </w:rPr>
          <w:t>Аят</w:t>
        </w:r>
      </w:hyperlink>
      <w:hyperlink r:id="rId44">
        <w:r>
          <w:rPr>
            <w:szCs w:val="24"/>
          </w:rPr>
          <w:t>,</w:t>
        </w:r>
      </w:hyperlink>
      <w:r>
        <w:rPr>
          <w:szCs w:val="24"/>
        </w:rPr>
        <w:t xml:space="preserve"> притока </w:t>
      </w:r>
      <w:hyperlink r:id="rId45">
        <w:r>
          <w:rPr>
            <w:szCs w:val="24"/>
          </w:rPr>
          <w:t>Тобола</w:t>
        </w:r>
      </w:hyperlink>
      <w:hyperlink r:id="rId46">
        <w:r>
          <w:rPr>
            <w:szCs w:val="24"/>
          </w:rPr>
          <w:t>.</w:t>
        </w:r>
      </w:hyperlink>
      <w:r>
        <w:rPr>
          <w:szCs w:val="24"/>
        </w:rPr>
        <w:t xml:space="preserve"> По данным </w:t>
      </w:r>
      <w:hyperlink r:id="rId47">
        <w:r>
          <w:rPr>
            <w:szCs w:val="24"/>
          </w:rPr>
          <w:t>Государственного водного</w:t>
        </w:r>
      </w:hyperlink>
      <w:hyperlink r:id="rId48">
        <w:r>
          <w:rPr>
            <w:szCs w:val="24"/>
          </w:rPr>
          <w:t xml:space="preserve"> </w:t>
        </w:r>
      </w:hyperlink>
      <w:hyperlink r:id="rId49">
        <w:r>
          <w:rPr>
            <w:szCs w:val="24"/>
          </w:rPr>
          <w:t>реестра России</w:t>
        </w:r>
      </w:hyperlink>
      <w:hyperlink r:id="rId50">
        <w:r>
          <w:rPr>
            <w:szCs w:val="24"/>
          </w:rPr>
          <w:t xml:space="preserve"> </w:t>
        </w:r>
      </w:hyperlink>
      <w:r>
        <w:rPr>
          <w:szCs w:val="24"/>
        </w:rPr>
        <w:t xml:space="preserve">относится к </w:t>
      </w:r>
      <w:hyperlink r:id="rId51">
        <w:r>
          <w:rPr>
            <w:szCs w:val="24"/>
          </w:rPr>
          <w:t>Иртышскому бассейновому округу</w:t>
        </w:r>
      </w:hyperlink>
      <w:hyperlink r:id="rId52">
        <w:r>
          <w:rPr>
            <w:szCs w:val="24"/>
          </w:rPr>
          <w:t>.</w:t>
        </w:r>
      </w:hyperlink>
      <w:r>
        <w:rPr>
          <w:szCs w:val="24"/>
        </w:rPr>
        <w:t xml:space="preserve"> </w:t>
      </w:r>
    </w:p>
    <w:p>
      <w:pPr>
        <w:pStyle w:val="Normal"/>
        <w:widowControl w:val="false"/>
        <w:spacing w:lineRule="auto" w:line="276"/>
        <w:ind w:firstLine="709"/>
        <w:rPr>
          <w:szCs w:val="24"/>
        </w:rPr>
      </w:pPr>
      <w:r>
        <w:rPr>
          <w:szCs w:val="24"/>
        </w:rPr>
        <w:t xml:space="preserve">Длина реки - 175 км.  </w:t>
      </w:r>
    </w:p>
    <w:p>
      <w:pPr>
        <w:pStyle w:val="Normal"/>
        <w:widowControl w:val="false"/>
        <w:spacing w:lineRule="auto" w:line="276"/>
        <w:ind w:firstLine="709"/>
        <w:rPr>
          <w:szCs w:val="24"/>
        </w:rPr>
      </w:pPr>
      <w:r>
        <w:rPr>
          <w:szCs w:val="24"/>
        </w:rPr>
        <w:t xml:space="preserve">Площадь водосборного бассейна — 1900 км².  </w:t>
      </w:r>
    </w:p>
    <w:p>
      <w:pPr>
        <w:pStyle w:val="Normal"/>
        <w:widowControl w:val="false"/>
        <w:spacing w:lineRule="auto" w:line="276"/>
        <w:ind w:firstLine="709"/>
        <w:rPr>
          <w:szCs w:val="24"/>
        </w:rPr>
      </w:pPr>
      <w:hyperlink r:id="rId53">
        <w:r>
          <w:rPr>
            <w:szCs w:val="24"/>
          </w:rPr>
          <w:t>Водохозяйственный участок</w:t>
        </w:r>
      </w:hyperlink>
      <w:hyperlink r:id="rId54">
        <w:r>
          <w:rPr>
            <w:szCs w:val="24"/>
          </w:rPr>
          <w:t xml:space="preserve"> </w:t>
        </w:r>
      </w:hyperlink>
      <w:r>
        <w:rPr>
          <w:szCs w:val="24"/>
        </w:rPr>
        <w:t>реки —</w:t>
      </w:r>
      <w:hyperlink r:id="rId55">
        <w:r>
          <w:rPr>
            <w:szCs w:val="24"/>
          </w:rPr>
          <w:t xml:space="preserve"> </w:t>
        </w:r>
      </w:hyperlink>
      <w:hyperlink r:id="rId56">
        <w:r>
          <w:rPr>
            <w:szCs w:val="24"/>
          </w:rPr>
          <w:t>Тобол</w:t>
        </w:r>
      </w:hyperlink>
      <w:hyperlink r:id="rId57">
        <w:r>
          <w:rPr>
            <w:szCs w:val="24"/>
          </w:rPr>
          <w:t xml:space="preserve"> </w:t>
        </w:r>
      </w:hyperlink>
      <w:r>
        <w:rPr>
          <w:szCs w:val="24"/>
        </w:rPr>
        <w:t xml:space="preserve">от истока до впадения реки </w:t>
      </w:r>
      <w:hyperlink r:id="rId58">
        <w:r>
          <w:rPr>
            <w:szCs w:val="24"/>
          </w:rPr>
          <w:t>Уй</w:t>
        </w:r>
      </w:hyperlink>
      <w:hyperlink r:id="rId59">
        <w:r>
          <w:rPr>
            <w:szCs w:val="24"/>
          </w:rPr>
          <w:t>,</w:t>
        </w:r>
      </w:hyperlink>
      <w:r>
        <w:rPr>
          <w:szCs w:val="24"/>
        </w:rPr>
        <w:t xml:space="preserve"> без реки </w:t>
      </w:r>
      <w:hyperlink r:id="rId60">
        <w:r>
          <w:rPr>
            <w:szCs w:val="24"/>
          </w:rPr>
          <w:t>Увелька</w:t>
        </w:r>
      </w:hyperlink>
      <w:hyperlink r:id="rId61">
        <w:r>
          <w:rPr>
            <w:szCs w:val="24"/>
          </w:rPr>
          <w:t>.</w:t>
        </w:r>
      </w:hyperlink>
      <w:r>
        <w:rPr>
          <w:szCs w:val="24"/>
        </w:rPr>
        <w:t xml:space="preserve">  </w:t>
      </w:r>
    </w:p>
    <w:p>
      <w:pPr>
        <w:pStyle w:val="Normal"/>
        <w:widowControl w:val="false"/>
        <w:spacing w:lineRule="auto" w:line="276"/>
        <w:ind w:firstLine="709"/>
        <w:rPr>
          <w:szCs w:val="24"/>
        </w:rPr>
      </w:pPr>
      <w:r>
        <w:rPr>
          <w:szCs w:val="24"/>
        </w:rPr>
        <w:t xml:space="preserve">Речной подбассейн реки — Тобол. </w:t>
      </w:r>
    </w:p>
    <w:p>
      <w:pPr>
        <w:pStyle w:val="Normal"/>
        <w:widowControl w:val="false"/>
        <w:spacing w:lineRule="auto" w:line="276"/>
        <w:ind w:firstLine="709"/>
        <w:rPr>
          <w:szCs w:val="24"/>
        </w:rPr>
      </w:pPr>
      <w:r>
        <w:rPr>
          <w:szCs w:val="24"/>
        </w:rPr>
        <w:t>Речной бассейн реки —</w:t>
      </w:r>
      <w:hyperlink r:id="rId62">
        <w:r>
          <w:rPr>
            <w:szCs w:val="24"/>
          </w:rPr>
          <w:t xml:space="preserve"> </w:t>
        </w:r>
      </w:hyperlink>
      <w:hyperlink r:id="rId63">
        <w:r>
          <w:rPr>
            <w:szCs w:val="24"/>
          </w:rPr>
          <w:t>Иртыш</w:t>
        </w:r>
      </w:hyperlink>
      <w:hyperlink r:id="rId64">
        <w:r>
          <w:rPr>
            <w:szCs w:val="24"/>
          </w:rPr>
          <w:t>.</w:t>
        </w:r>
      </w:hyperlink>
      <w:r>
        <w:rPr>
          <w:szCs w:val="24"/>
        </w:rPr>
        <w:t xml:space="preserve">  </w:t>
      </w:r>
    </w:p>
    <w:p>
      <w:pPr>
        <w:pStyle w:val="Normal"/>
        <w:widowControl w:val="false"/>
        <w:spacing w:lineRule="auto" w:line="276"/>
        <w:ind w:firstLine="709"/>
        <w:rPr>
          <w:szCs w:val="24"/>
        </w:rPr>
      </w:pPr>
      <w:r>
        <w:rPr>
          <w:szCs w:val="24"/>
        </w:rPr>
        <w:t>Засушливый климат и недостаточная увлажненность территории определяют характер водного режима водотоков района. Доля снегового питания достигает 80-85 процентов. Водный режим характеризуется ярко выраженным весенним половодьем и низкой летне-осенней меженью. Зимой, снег за счет переноса его ветром, скапливается в пониженных участках рельефа и весной по логам, балкам проходят достаточно большие объемы воды, позволяющие на большей части этих временных водотоков устраивать плотины. Водные ресурсы района используются почти полностью. Сток, как больших рек, так и их притоков почти полностью зарегулирован. Реки могут использоваться для целей орошения при условии регулирования их стоков.</w:t>
      </w:r>
    </w:p>
    <w:p>
      <w:pPr>
        <w:pStyle w:val="Normal"/>
        <w:widowControl w:val="false"/>
        <w:spacing w:lineRule="auto" w:line="276"/>
        <w:ind w:firstLine="709"/>
        <w:rPr>
          <w:szCs w:val="24"/>
        </w:rPr>
      </w:pPr>
      <w:r>
        <w:rPr>
          <w:szCs w:val="24"/>
        </w:rPr>
        <w:t xml:space="preserve">На территории поселения расположен ряд озер - озеро Чекатай, озеро Тулак, а также Катенинское водохранилище на р. Караталы-Аят (создано для нужд предприятий промышленного узла АО «Михеевский ГОК», ООО «ИНВЕСТ-РАЗВИТИЕ», ООО «ГазЭнерго», ООО «Капитал-Сити» (ГПС №2)). </w:t>
      </w:r>
    </w:p>
    <w:p>
      <w:pPr>
        <w:pStyle w:val="Normal"/>
        <w:widowControl w:val="false"/>
        <w:spacing w:lineRule="auto" w:line="276"/>
        <w:ind w:firstLine="709"/>
        <w:rPr>
          <w:szCs w:val="24"/>
        </w:rPr>
      </w:pPr>
      <w:r>
        <w:rPr>
          <w:szCs w:val="24"/>
        </w:rPr>
        <w:t xml:space="preserve">На территории сельского поселения находится большое количество болот и заболоченных территорий.  </w:t>
      </w:r>
    </w:p>
    <w:p>
      <w:pPr>
        <w:pStyle w:val="Normal"/>
        <w:widowControl w:val="false"/>
        <w:spacing w:lineRule="auto" w:line="276"/>
        <w:ind w:firstLine="709"/>
        <w:rPr>
          <w:szCs w:val="24"/>
        </w:rPr>
      </w:pPr>
      <w:r>
        <w:rPr>
          <w:szCs w:val="24"/>
        </w:rPr>
        <w:t xml:space="preserve">В соответствии с Государственным водным кодексом Российской Федерации, в границах Катенинского сельского поселения Варненского муниципального района Челябинской области расположены следующие (основные) поверхностные водные объекты (размер береговой полосы/ прибрежно-защитной зоны/ водоохраной зоны (соответственно) определен в соответствии с требованиями Водного кодекса РФ): </w:t>
      </w:r>
    </w:p>
    <w:p>
      <w:pPr>
        <w:pStyle w:val="Normal"/>
        <w:widowControl w:val="false"/>
        <w:spacing w:lineRule="auto" w:line="276"/>
        <w:ind w:firstLine="709"/>
        <w:rPr>
          <w:szCs w:val="24"/>
        </w:rPr>
      </w:pPr>
      <w:r>
        <w:rPr>
          <w:szCs w:val="24"/>
        </w:rPr>
        <w:t xml:space="preserve">р. Караталы-Аят – 20/50/200 м (включая расположенное на ней Катенинское водохранилище); </w:t>
      </w:r>
    </w:p>
    <w:p>
      <w:pPr>
        <w:pStyle w:val="Normal"/>
        <w:widowControl w:val="false"/>
        <w:spacing w:lineRule="auto" w:line="276"/>
        <w:ind w:firstLine="709"/>
        <w:rPr>
          <w:szCs w:val="24"/>
        </w:rPr>
      </w:pPr>
      <w:r>
        <w:rPr>
          <w:szCs w:val="24"/>
        </w:rPr>
        <w:t xml:space="preserve">многочисленные притоки рек – 5/50 м (ширина прибрежно-защитной и водоохраной зон совпадают); </w:t>
      </w:r>
    </w:p>
    <w:p>
      <w:pPr>
        <w:pStyle w:val="Normal"/>
        <w:widowControl w:val="false"/>
        <w:spacing w:lineRule="auto" w:line="276"/>
        <w:ind w:firstLine="709"/>
        <w:rPr>
          <w:szCs w:val="24"/>
        </w:rPr>
      </w:pPr>
      <w:r>
        <w:rPr>
          <w:szCs w:val="24"/>
        </w:rPr>
        <w:t xml:space="preserve">основные озера – оз. Чекатай, озеро Тулак – 50 м (водоохранная зона); </w:t>
      </w:r>
    </w:p>
    <w:p>
      <w:pPr>
        <w:pStyle w:val="Normal"/>
        <w:widowControl w:val="false"/>
        <w:spacing w:lineRule="auto" w:line="276"/>
        <w:ind w:firstLine="709"/>
        <w:rPr>
          <w:szCs w:val="24"/>
        </w:rPr>
      </w:pPr>
      <w:r>
        <w:rPr>
          <w:szCs w:val="24"/>
        </w:rPr>
        <w:t xml:space="preserve">Согласно схеме гидрогеологического районирования, Варненский район по гидрогеологическим условиям относится к Уральской системе бассейнов грунтовых вод трещиноватости в палеозойских породах, характеризующихся исключительно сложным геологическим строением, высокой степенью метаморфизации пород и соответственно сложными условиями распределения и циркуляции стока подземных вод. В восточной части района эта сложность усугубляется наличием на водораздельных пространствах палеогеннеогенового покрова, который затрудняет водообмен и обуславливает на некоторых участках гидродинамическую и гидрохимическую зональность. Равнинный рельеф обусловил небольшие уклоны и замедленный поверхностный и подземный сток,  в связи, с чем на большей части территории района сохранилась рыхлая кора выветривания, замедляющая инфильтрацию атмосферных осадков – основного источника питания подземных вод. В ненарушенной тектоникой состоянии самой минимальной мощностью трещиноватой зоны характеризуются массивы интрузивных пород – гранитов, габбро, серпентинитов, максимально-карбонатные породы: кремнистые и кремнисто-углистые сланцы. В зоне региональной трещиноватости формируются подземные воды путем инфильтрации осадков, выпавших на площадь распространения палеозойского комплекса пород, фильтрационные свойства и водопроводность которых зависит от  литологических и тектонических факторов. </w:t>
      </w:r>
    </w:p>
    <w:p>
      <w:pPr>
        <w:pStyle w:val="Normal"/>
        <w:widowControl w:val="false"/>
        <w:spacing w:lineRule="auto" w:line="276"/>
        <w:ind w:firstLine="709"/>
        <w:rPr>
          <w:szCs w:val="24"/>
        </w:rPr>
      </w:pPr>
      <w:r>
        <w:rPr>
          <w:szCs w:val="24"/>
        </w:rPr>
        <w:t xml:space="preserve">В комплексах, сложенных терригенно-осадочными толщами, в большей степени фильтрирующими и водопроводящими являются известняки, песчаники, конгломераты и кремнистые сланцы, дающие при выветривании открытые и полуоткрытые трещины. Эти породы даже на водоразделах могут обеспечить приток в скважины от 0,5 до 2,5 л/сек. </w:t>
      </w:r>
    </w:p>
    <w:p>
      <w:pPr>
        <w:pStyle w:val="Normal"/>
        <w:widowControl w:val="false"/>
        <w:spacing w:lineRule="auto" w:line="276"/>
        <w:ind w:firstLine="709"/>
        <w:rPr>
          <w:szCs w:val="24"/>
        </w:rPr>
      </w:pPr>
      <w:r>
        <w:rPr>
          <w:szCs w:val="24"/>
        </w:rPr>
        <w:t xml:space="preserve">Очень низкие фильтрационные свойства имеют глинистые сланцы, тальковохлоритовые сланцы, кварцево-серицитовые и другие зеленые сланцы, в выветренном состоянии представляющие глинистый материал, кольматирующий трещины. </w:t>
      </w:r>
    </w:p>
    <w:p>
      <w:pPr>
        <w:pStyle w:val="Normal"/>
        <w:widowControl w:val="false"/>
        <w:spacing w:lineRule="auto" w:line="276"/>
        <w:ind w:firstLine="709"/>
        <w:rPr>
          <w:szCs w:val="24"/>
        </w:rPr>
      </w:pPr>
      <w:r>
        <w:rPr>
          <w:szCs w:val="24"/>
        </w:rPr>
        <w:t xml:space="preserve">В водоносных комплексах, сложенных вулканогенными толщами, наиболее обводненными бывают туфогенные толщи, а наиболее низкая водообильность отмечается в порфиритах, диабазах, кварцитопесчаниках, дающих при выветривании значительное количество глинистого материала, кольматирующего трещины. На водоразделах они практически безводны. </w:t>
      </w:r>
    </w:p>
    <w:p>
      <w:pPr>
        <w:pStyle w:val="Normal"/>
        <w:widowControl w:val="false"/>
        <w:spacing w:lineRule="auto" w:line="276"/>
        <w:ind w:firstLine="709"/>
        <w:rPr>
          <w:szCs w:val="24"/>
        </w:rPr>
      </w:pPr>
      <w:r>
        <w:rPr>
          <w:szCs w:val="24"/>
        </w:rPr>
        <w:t xml:space="preserve">В целом, зона экзогенной трещиноватости, несмотря на свою слабую водоотдачу, играет большую роль, питая своими водами линейные водоносные зоны, связанные с пликативными дислокациями и дизъюнктивными нарушениями. </w:t>
      </w:r>
    </w:p>
    <w:p>
      <w:pPr>
        <w:pStyle w:val="Normal"/>
        <w:widowControl w:val="false"/>
        <w:spacing w:lineRule="auto" w:line="276"/>
        <w:ind w:firstLine="709"/>
        <w:rPr>
          <w:szCs w:val="24"/>
        </w:rPr>
      </w:pPr>
      <w:r>
        <w:rPr>
          <w:szCs w:val="24"/>
        </w:rPr>
        <w:t xml:space="preserve">Отдельные пласты известняков и кремнистых сланцев, наоборот, при снятии сильно дробились, приобретая интенсивную трещиноватость, обусловившую резко повышенную водоотдачу не только в зонах дизъюнктивного характера, но по всей площади их распространения. В связи с этим их даже небольшие массивы и линзы приобретают большое гидрогеологическое значение, не говоря уже о таких крупных массивах известняков, как Бородиновский, Катенинский. </w:t>
      </w:r>
    </w:p>
    <w:p>
      <w:pPr>
        <w:pStyle w:val="Normal"/>
        <w:widowControl w:val="false"/>
        <w:spacing w:lineRule="auto" w:line="276"/>
        <w:ind w:firstLine="709"/>
        <w:rPr>
          <w:szCs w:val="24"/>
        </w:rPr>
      </w:pPr>
      <w:r>
        <w:rPr>
          <w:szCs w:val="24"/>
        </w:rPr>
        <w:t>Как источник водоснабжения, карбонатные породы могут обеспечить водой водозаборы с производительностью от 100 до 1500 м</w:t>
      </w:r>
      <w:r>
        <w:rPr>
          <w:szCs w:val="24"/>
          <w:vertAlign w:val="superscript"/>
        </w:rPr>
        <w:t>3</w:t>
      </w:r>
      <w:r>
        <w:rPr>
          <w:szCs w:val="24"/>
        </w:rPr>
        <w:t xml:space="preserve">/сутки (водозаборы в п. Красноармейский). </w:t>
      </w:r>
    </w:p>
    <w:p>
      <w:pPr>
        <w:pStyle w:val="Normal"/>
        <w:widowControl w:val="false"/>
        <w:spacing w:lineRule="auto" w:line="276"/>
        <w:ind w:firstLine="709"/>
        <w:rPr>
          <w:szCs w:val="24"/>
        </w:rPr>
      </w:pPr>
      <w:r>
        <w:rPr>
          <w:szCs w:val="24"/>
        </w:rPr>
        <w:t xml:space="preserve">Перспективны для заложения производительных водозаборов придолинные участки рек. На придолинных участках, производительность водоносных зон может определяться дебитами скважин в 1-10 л/сек при незначительном понижении. </w:t>
      </w:r>
    </w:p>
    <w:p>
      <w:pPr>
        <w:pStyle w:val="Normal"/>
        <w:widowControl w:val="false"/>
        <w:spacing w:lineRule="auto" w:line="276"/>
        <w:ind w:firstLine="709"/>
        <w:rPr>
          <w:szCs w:val="24"/>
        </w:rPr>
      </w:pPr>
      <w:r>
        <w:rPr>
          <w:szCs w:val="24"/>
        </w:rPr>
        <w:t xml:space="preserve">В восточной части района некоторое гидрогеологическое значение приобретают водоносные горизонты и воды спорадического распространения в песчаных палеогеновых отложениях. </w:t>
      </w:r>
    </w:p>
    <w:p>
      <w:pPr>
        <w:pStyle w:val="Normal"/>
        <w:widowControl w:val="false"/>
        <w:spacing w:lineRule="auto" w:line="276"/>
        <w:ind w:firstLine="709"/>
        <w:rPr>
          <w:szCs w:val="24"/>
        </w:rPr>
      </w:pPr>
      <w:r>
        <w:rPr>
          <w:szCs w:val="24"/>
        </w:rPr>
        <w:t xml:space="preserve">Водообильность пород низкая и самостоятельного значения аллювий для крупного водоснабжения не имеет, но в совокупности с трещинными водами палеозойского фундамента, в зонах тектонических нарушений он может играть роль фильтра при инфильтрации поверхностных вод, регулируя при этом восполнение запасов в зимнюю межень при отсутствии поверхностного питания.  </w:t>
      </w:r>
    </w:p>
    <w:p>
      <w:pPr>
        <w:pStyle w:val="Normal"/>
        <w:widowControl w:val="false"/>
        <w:spacing w:lineRule="auto" w:line="276"/>
        <w:ind w:firstLine="709"/>
        <w:rPr>
          <w:szCs w:val="24"/>
        </w:rPr>
      </w:pPr>
      <w:r>
        <w:rPr>
          <w:szCs w:val="24"/>
        </w:rPr>
        <w:t xml:space="preserve">Все выше описанные водоносные горизонты, комплексы и водоносные трещинные зоны питаются за счет атмосферных осадков, выпадающих на площадь распространения палеозойских пород. Засушливый климат и резкий дефицит влаги резко сокращают это питание и потому, несмотря на благоприятные геологоструктурные и геоморфологические факторы, придающие хорошие емкостные возможности палеозойским породам, естественные запасы подземных вод в районе очень ограничены. Основное питание водоносные комплексы получают за счет весеннего снеготаяния и осенних дождей, летние осадки, благодаря высоким температурам, равнинному рельефу и наличию слабоводопроницаемого чехла мезокайнозойских отложений идут на испарение. </w:t>
      </w:r>
    </w:p>
    <w:p>
      <w:pPr>
        <w:pStyle w:val="Normal"/>
        <w:widowControl w:val="false"/>
        <w:spacing w:lineRule="auto" w:line="276"/>
        <w:ind w:firstLine="709"/>
        <w:rPr>
          <w:szCs w:val="24"/>
        </w:rPr>
      </w:pPr>
      <w:r>
        <w:rPr>
          <w:szCs w:val="24"/>
        </w:rPr>
        <w:t xml:space="preserve">В качественном отношении подземные воды не всегда удовлетворяют санитарным нормам, особенно, если речь идет о питьевой воде для населения. </w:t>
      </w:r>
    </w:p>
    <w:p>
      <w:pPr>
        <w:pStyle w:val="Normal"/>
        <w:widowControl w:val="false"/>
        <w:spacing w:lineRule="auto" w:line="276"/>
        <w:ind w:firstLine="709"/>
        <w:rPr>
          <w:szCs w:val="24"/>
        </w:rPr>
      </w:pPr>
      <w:r>
        <w:rPr>
          <w:szCs w:val="24"/>
        </w:rPr>
        <w:t xml:space="preserve">По химическому составу подземные воды палеозойского фундамента весьма пестрые. Минерализация их в западной части и в долинах восточной части редко превышают 1 ч/л, но на водоразделах восточной части имеется застойный режим и континентальное засоление.  </w:t>
      </w:r>
    </w:p>
    <w:p>
      <w:pPr>
        <w:pStyle w:val="Normal"/>
        <w:widowControl w:val="false"/>
        <w:spacing w:lineRule="auto" w:line="276"/>
        <w:ind w:firstLine="709"/>
        <w:rPr>
          <w:szCs w:val="24"/>
        </w:rPr>
      </w:pPr>
      <w:r>
        <w:rPr>
          <w:szCs w:val="24"/>
        </w:rPr>
        <w:t xml:space="preserve">В долинах рек восточной части района созданы условия для опреснения подземных вод, идущих солоноватыми с водоразделов. Опреснение идет за счет инфильтрации атмосферных осадков через открытый от мезокайнозойского чехла палеозойский комплекс пород, слагающий придолинный участок, а также за счет подпитки палеозойских подземных вод аллювиальными и русловыми водами. </w:t>
      </w:r>
    </w:p>
    <w:p>
      <w:pPr>
        <w:pStyle w:val="Normal"/>
        <w:widowControl w:val="false"/>
        <w:spacing w:lineRule="auto" w:line="276"/>
        <w:ind w:firstLine="709"/>
        <w:rPr>
          <w:szCs w:val="24"/>
        </w:rPr>
      </w:pPr>
      <w:r>
        <w:rPr>
          <w:szCs w:val="24"/>
        </w:rPr>
        <w:t xml:space="preserve">Характерной особенностью является повышенное содержание железа. </w:t>
      </w:r>
    </w:p>
    <w:p>
      <w:pPr>
        <w:pStyle w:val="3"/>
        <w:spacing w:lineRule="auto" w:line="276" w:before="120" w:after="0"/>
        <w:rPr>
          <w:rFonts w:ascii="Times New Roman" w:hAnsi="Times New Roman"/>
          <w:sz w:val="24"/>
          <w:szCs w:val="24"/>
        </w:rPr>
      </w:pPr>
      <w:bookmarkStart w:id="56" w:name="_Toc182210453"/>
      <w:r>
        <w:rPr>
          <w:rFonts w:ascii="Times New Roman" w:hAnsi="Times New Roman"/>
          <w:sz w:val="24"/>
          <w:szCs w:val="24"/>
        </w:rPr>
        <w:t>2.5 Почвы и растительность</w:t>
      </w:r>
      <w:bookmarkEnd w:id="56"/>
    </w:p>
    <w:p>
      <w:pPr>
        <w:pStyle w:val="Normal"/>
        <w:spacing w:lineRule="auto" w:line="276"/>
        <w:ind w:firstLine="709"/>
        <w:rPr>
          <w:szCs w:val="24"/>
        </w:rPr>
      </w:pPr>
      <w:r>
        <w:rPr>
          <w:szCs w:val="24"/>
        </w:rPr>
        <w:t xml:space="preserve">Территория поселения относится к степной и лесостепной зонам почвообразования. В северной части распространены обыкновенные, типичные и выщелоченные черноземы, глинистые и суглинистые, с мощностью пахотного горизонта до 20 - 25 см и содержанием гумуса до 8 - 12 %. Южнее, содержание гумуса в обыкновенных выщелоченных черноземах понижается до 8%. Небольшой процент составляют черноземы в комплексе с солонцами, несколько большую площадь занимают солонцеватые черноземы. Из общей площади солонцов глубоко и среднестолбчатые солонцы составляют более половины. </w:t>
      </w:r>
    </w:p>
    <w:p>
      <w:pPr>
        <w:pStyle w:val="Normal"/>
        <w:spacing w:lineRule="auto" w:line="276"/>
        <w:ind w:firstLine="709"/>
        <w:rPr>
          <w:szCs w:val="24"/>
        </w:rPr>
      </w:pPr>
      <w:r>
        <w:rPr>
          <w:szCs w:val="24"/>
        </w:rPr>
        <w:t xml:space="preserve">В Катенинском сельском поселении преобладают территории благоприятные для сельского хозяйства и близки к категории особо ценных в аграрном отношении угодий. </w:t>
      </w:r>
    </w:p>
    <w:p>
      <w:pPr>
        <w:pStyle w:val="Normal"/>
        <w:spacing w:lineRule="auto" w:line="276"/>
        <w:ind w:firstLine="709"/>
        <w:rPr>
          <w:szCs w:val="24"/>
        </w:rPr>
      </w:pPr>
      <w:r>
        <w:rPr>
          <w:szCs w:val="24"/>
        </w:rPr>
        <w:t xml:space="preserve">Проектируемый район, согласно геоботанического районирования Челябинской области, входит в степную зону. Залесенность территории низкая: леса занимают около 3,6% площади района, располагаясь отдельными сравнительно небольшими массивами различной конфигурации среди пахотных и лугопастбищных угодий. Видовой состав соответствует зоне районирования. </w:t>
      </w:r>
    </w:p>
    <w:p>
      <w:pPr>
        <w:pStyle w:val="Normal"/>
        <w:spacing w:lineRule="auto" w:line="276"/>
        <w:ind w:firstLine="709"/>
        <w:rPr>
          <w:szCs w:val="24"/>
        </w:rPr>
      </w:pPr>
      <w:r>
        <w:rPr>
          <w:szCs w:val="24"/>
        </w:rPr>
        <w:t xml:space="preserve">Лесные ресурсы представлены сосновыми островными борами и березовоосиновыми колками. В целом климатические условия благоприятны для успешного произрастания древесных пород: сосны, березы, осины.  </w:t>
      </w:r>
    </w:p>
    <w:p>
      <w:pPr>
        <w:pStyle w:val="Normal"/>
        <w:spacing w:lineRule="auto" w:line="276"/>
        <w:ind w:firstLine="709"/>
        <w:rPr>
          <w:szCs w:val="24"/>
        </w:rPr>
      </w:pPr>
      <w:r>
        <w:rPr>
          <w:szCs w:val="24"/>
        </w:rPr>
        <w:t xml:space="preserve">Земли лесного фонда района имеют санитарно-гигиеническое, рекреационное и почвозащитное значение, и занимают лишь 13 880,1 га, что составляет 3,6 % общей площади района , являясь местами массового обитания ценных животных и птиц: волки, лисы, сурки, кроты, заяц-русак и др.  </w:t>
      </w:r>
    </w:p>
    <w:p>
      <w:pPr>
        <w:pStyle w:val="Normal"/>
        <w:spacing w:lineRule="auto" w:line="276"/>
        <w:ind w:firstLine="709"/>
        <w:rPr>
          <w:szCs w:val="24"/>
        </w:rPr>
      </w:pPr>
      <w:r>
        <w:rPr>
          <w:szCs w:val="24"/>
        </w:rPr>
        <w:t xml:space="preserve">Ограничено леса могут служить источником древесины (рубки ухода). Все леса района служат базой побочных пользований: сбор грибов, ягод, лимитированная охота. Леса и луга,  примыкающие к рекам, можно рассматривать как хорошую базу для размещения мест массового отдыха. </w:t>
      </w:r>
    </w:p>
    <w:p>
      <w:pPr>
        <w:pStyle w:val="Normal"/>
        <w:spacing w:lineRule="auto" w:line="276"/>
        <w:ind w:firstLine="709"/>
        <w:rPr>
          <w:szCs w:val="24"/>
        </w:rPr>
      </w:pPr>
      <w:r>
        <w:rPr>
          <w:szCs w:val="24"/>
        </w:rPr>
        <w:t xml:space="preserve">Лугопастбищные угодья составляют 23,8% территории района. Почти все луга и пастбища суходольные. Их видовой состав: ковыль, типчак, эспарцет дикий, тимофеевка луговая и др.  </w:t>
      </w:r>
    </w:p>
    <w:p>
      <w:pPr>
        <w:pStyle w:val="Normal"/>
        <w:spacing w:lineRule="auto" w:line="276"/>
        <w:ind w:firstLine="709"/>
        <w:rPr>
          <w:szCs w:val="24"/>
        </w:rPr>
      </w:pPr>
      <w:r>
        <w:rPr>
          <w:szCs w:val="24"/>
        </w:rPr>
        <w:t xml:space="preserve">Луга и пастбища используются сельскохозяйственными организациями по их прямому назначению, здесь требуется повысить коэффициент их использования и проведение мероприятий по качественному улучшению угодий. </w:t>
      </w:r>
    </w:p>
    <w:p>
      <w:pPr>
        <w:pStyle w:val="Normal"/>
        <w:spacing w:lineRule="auto" w:line="276"/>
        <w:ind w:firstLine="709"/>
        <w:rPr>
          <w:szCs w:val="24"/>
        </w:rPr>
      </w:pPr>
      <w:r>
        <w:rPr>
          <w:szCs w:val="24"/>
        </w:rPr>
        <w:t xml:space="preserve">Для территории характерно повышенное разнообразие мозаично расположенных биотопов: залежи, поля, колки, крупные водоемы и водно-болотные угодья и др., что определяет биоразнообразие животного мира. В пределах района отмечены: </w:t>
      </w:r>
    </w:p>
    <w:p>
      <w:pPr>
        <w:pStyle w:val="ListParagraph"/>
        <w:widowControl w:val="false"/>
        <w:numPr>
          <w:ilvl w:val="0"/>
          <w:numId w:val="5"/>
        </w:numPr>
        <w:spacing w:before="0" w:after="0"/>
        <w:ind w:left="0" w:firstLine="426"/>
        <w:contextualSpacing/>
        <w:jc w:val="both"/>
        <w:rPr>
          <w:rFonts w:ascii="Times New Roman" w:hAnsi="Times New Roman"/>
          <w:sz w:val="24"/>
          <w:szCs w:val="24"/>
        </w:rPr>
      </w:pPr>
      <w:r>
        <w:rPr>
          <w:sz w:val="24"/>
          <w:szCs w:val="24"/>
        </w:rPr>
        <w:t xml:space="preserve">34 вида диких зверей, из них 6 занесены в Красную книгу Челябинской области;  </w:t>
      </w:r>
    </w:p>
    <w:p>
      <w:pPr>
        <w:pStyle w:val="ListParagraph"/>
        <w:widowControl w:val="false"/>
        <w:numPr>
          <w:ilvl w:val="0"/>
          <w:numId w:val="5"/>
        </w:numPr>
        <w:spacing w:before="0" w:after="0"/>
        <w:ind w:left="0" w:firstLine="426"/>
        <w:contextualSpacing/>
        <w:jc w:val="both"/>
        <w:rPr>
          <w:rFonts w:ascii="Times New Roman" w:hAnsi="Times New Roman"/>
          <w:sz w:val="24"/>
          <w:szCs w:val="24"/>
        </w:rPr>
      </w:pPr>
      <w:r>
        <w:rPr>
          <w:sz w:val="24"/>
          <w:szCs w:val="24"/>
        </w:rPr>
        <w:t xml:space="preserve">234 вида птиц, из них семь видов занесены в Красную книгу Челябинской области, восемь в Красную книгу России; </w:t>
      </w:r>
    </w:p>
    <w:p>
      <w:pPr>
        <w:pStyle w:val="ListParagraph"/>
        <w:widowControl w:val="false"/>
        <w:numPr>
          <w:ilvl w:val="0"/>
          <w:numId w:val="5"/>
        </w:numPr>
        <w:spacing w:before="0" w:after="0"/>
        <w:ind w:left="0" w:firstLine="426"/>
        <w:contextualSpacing/>
        <w:jc w:val="both"/>
        <w:rPr>
          <w:rFonts w:ascii="Times New Roman" w:hAnsi="Times New Roman"/>
          <w:sz w:val="24"/>
          <w:szCs w:val="24"/>
        </w:rPr>
      </w:pPr>
      <w:r>
        <w:rPr>
          <w:sz w:val="24"/>
          <w:szCs w:val="24"/>
        </w:rPr>
        <w:t xml:space="preserve">8 видов земноводных и 3 вида пресмыкающихся, из них в Красную книгу Челябинской области занесены по одному виду земноводных и пресмыкающихся; </w:t>
      </w:r>
    </w:p>
    <w:p>
      <w:pPr>
        <w:pStyle w:val="ListParagraph"/>
        <w:widowControl w:val="false"/>
        <w:numPr>
          <w:ilvl w:val="0"/>
          <w:numId w:val="5"/>
        </w:numPr>
        <w:spacing w:before="0" w:after="0"/>
        <w:ind w:left="0" w:firstLine="426"/>
        <w:contextualSpacing/>
        <w:jc w:val="both"/>
        <w:rPr>
          <w:rFonts w:ascii="Times New Roman" w:hAnsi="Times New Roman"/>
          <w:sz w:val="24"/>
          <w:szCs w:val="24"/>
        </w:rPr>
      </w:pPr>
      <w:r>
        <w:rPr>
          <w:sz w:val="24"/>
          <w:szCs w:val="24"/>
        </w:rPr>
        <w:t xml:space="preserve">в состав ихтиофауны реки рыбохозяйственного значения р.Караталы-Аят входят плотва (Rutilus rutilus), окунь (Perca fluviatilis), карась(Carassius), ёрш (Gymnocephalus cernuus), елец (Leuciscus leuciscus), гольян(Phoxinus phoxinus); </w:t>
      </w:r>
    </w:p>
    <w:p>
      <w:pPr>
        <w:pStyle w:val="ListParagraph"/>
        <w:widowControl w:val="false"/>
        <w:numPr>
          <w:ilvl w:val="0"/>
          <w:numId w:val="5"/>
        </w:numPr>
        <w:spacing w:before="0" w:after="0"/>
        <w:ind w:left="0" w:firstLine="426"/>
        <w:contextualSpacing/>
        <w:jc w:val="both"/>
        <w:rPr>
          <w:rFonts w:ascii="Times New Roman" w:hAnsi="Times New Roman"/>
          <w:sz w:val="24"/>
          <w:szCs w:val="24"/>
        </w:rPr>
      </w:pPr>
      <w:r>
        <w:rPr>
          <w:sz w:val="24"/>
          <w:szCs w:val="24"/>
        </w:rPr>
        <w:t xml:space="preserve">установлена вероятность обитания не менее 35 видов насекомых, занесенных в Красную книгу Челябинской области.  </w:t>
      </w:r>
    </w:p>
    <w:p>
      <w:pPr>
        <w:pStyle w:val="Normal"/>
        <w:spacing w:lineRule="auto" w:line="276"/>
        <w:ind w:firstLine="709"/>
        <w:rPr>
          <w:szCs w:val="24"/>
        </w:rPr>
      </w:pPr>
      <w:r>
        <w:rPr>
          <w:szCs w:val="24"/>
        </w:rPr>
        <w:t xml:space="preserve">Экосистемы территории испытывают целый ряд антропогенных воздействий разной интенсивности, негативно влияющих на видовое разнообразие, продуктивность и устойчивость зоокомплексов. Основные из них: распашка значительных площадей и интенсивное земледелие (в том числе и орошаемое), сенокошение, выпас скота, частые степные и лесные пожары, браконьерство. Площади ненарушенных зональных биотопов минимальны (большая часть степных территорий переведена в разряд сельскохозяйственных земель), при этом многие степные и полупустынные виды животных находят убежища на залежах, сенокосах и участках степной растительности, сохранившихся на неудобьях между колками. Колки создают коридор для сезонной миграции косуль, плотность которых в этом районе оценивается как высокая. </w:t>
      </w:r>
    </w:p>
    <w:p>
      <w:pPr>
        <w:pStyle w:val="3"/>
        <w:spacing w:lineRule="auto" w:line="276" w:before="120" w:after="0"/>
        <w:rPr>
          <w:rFonts w:ascii="Times New Roman" w:hAnsi="Times New Roman"/>
          <w:sz w:val="24"/>
          <w:szCs w:val="24"/>
        </w:rPr>
      </w:pPr>
      <w:bookmarkStart w:id="57" w:name="_Toc182210454"/>
      <w:r>
        <w:rPr>
          <w:rFonts w:ascii="Times New Roman" w:hAnsi="Times New Roman"/>
          <w:sz w:val="24"/>
          <w:szCs w:val="24"/>
        </w:rPr>
        <w:t>2.6 Лесные ресурсы</w:t>
      </w:r>
      <w:bookmarkEnd w:id="57"/>
    </w:p>
    <w:p>
      <w:pPr>
        <w:pStyle w:val="Normal"/>
        <w:spacing w:lineRule="auto" w:line="256" w:before="0" w:after="24"/>
        <w:ind w:left="238" w:right="438" w:firstLine="708"/>
        <w:rPr>
          <w:rFonts w:eastAsia="Calibri" w:eastAsiaTheme="minorHAnsi"/>
          <w:szCs w:val="24"/>
        </w:rPr>
      </w:pPr>
      <w:r>
        <w:rPr/>
        <w:t xml:space="preserve">Лесные ресурсы представлены сосновыми островными борами и березовоосиновыми колками. В целом климатические условия благоприятны для успешного произрастания древесных пород: сосны, березы, осины.  </w:t>
      </w:r>
    </w:p>
    <w:p>
      <w:pPr>
        <w:pStyle w:val="Normal"/>
        <w:spacing w:lineRule="auto" w:line="276"/>
        <w:ind w:firstLine="709"/>
        <w:rPr>
          <w:rFonts w:eastAsia="Calibri" w:eastAsiaTheme="minorHAnsi"/>
          <w:szCs w:val="24"/>
        </w:rPr>
      </w:pPr>
      <w:r>
        <w:rPr/>
        <w:t>Земли лесного фонда района имеют санитарно-гигиеническое, рекреационное и почвозащитное значение, и занимают лишь 13 880,1 га, что составляет 3,6 % общей площади района.</w:t>
      </w:r>
    </w:p>
    <w:p>
      <w:pPr>
        <w:pStyle w:val="Normal"/>
        <w:spacing w:lineRule="auto" w:line="252" w:before="0" w:after="32"/>
        <w:ind w:left="238" w:right="442" w:firstLine="708"/>
        <w:rPr>
          <w:rFonts w:eastAsia="Calibri" w:eastAsiaTheme="minorHAnsi"/>
          <w:szCs w:val="24"/>
        </w:rPr>
      </w:pPr>
      <w:r>
        <w:rPr/>
        <w:t xml:space="preserve">Ограничено леса могут служить источником древесины (рубки ухода). Все леса района служат базой побочных пользований: сбор грибов, ягод, лимитированная охота. Леса и луга, примыкающие к рекам, можно рассматривать как хорошую базу для размещения мест массового отдыха. </w:t>
      </w:r>
    </w:p>
    <w:p>
      <w:pPr>
        <w:pStyle w:val="Normal"/>
        <w:spacing w:lineRule="auto" w:line="276"/>
        <w:ind w:firstLine="709"/>
        <w:rPr>
          <w:szCs w:val="24"/>
        </w:rPr>
      </w:pPr>
      <w:r>
        <w:rPr>
          <w:szCs w:val="24"/>
        </w:rPr>
        <w:t>Распределение на участковые лесничества произведено в соответствии с приказами от 27.07.2009 № 316 «О внесении изменений в приказ федерального агентства лесного хозяйства», от 04.12.2008 № 370 «Об определении количества лесничеств на территории Челябинской области и установлений их границ».</w:t>
      </w:r>
      <w:r>
        <w:br w:type="page"/>
      </w:r>
    </w:p>
    <w:p>
      <w:pPr>
        <w:pStyle w:val="0212164"/>
        <w:rPr>
          <w:rFonts w:eastAsia="Calibri" w:eastAsiaTheme="minorHAnsi"/>
          <w:szCs w:val="24"/>
        </w:rPr>
      </w:pPr>
      <w:bookmarkStart w:id="58" w:name="_Toc69297530"/>
      <w:bookmarkStart w:id="59" w:name="_Toc182210455"/>
      <w:r>
        <w:rPr/>
        <w:t>ГЛАВА 3. ДЕМОГРАФИЧЕСКИЕ ТЕНДЕНЦИИ. ПРОГНОЗ ЧИСЛЕННОСТИ НАСЕЛЕНИЯ</w:t>
      </w:r>
      <w:bookmarkEnd w:id="58"/>
      <w:bookmarkEnd w:id="59"/>
    </w:p>
    <w:p>
      <w:pPr>
        <w:pStyle w:val="0212161"/>
        <w:rPr>
          <w:lang w:eastAsia="ru-RU"/>
        </w:rPr>
      </w:pPr>
      <w:bookmarkStart w:id="60" w:name="_Toc182210456"/>
      <w:bookmarkStart w:id="61" w:name="_Toc69297531"/>
      <w:bookmarkStart w:id="62" w:name="_Toc494398039"/>
      <w:r>
        <w:rPr>
          <w:lang w:eastAsia="ru-RU"/>
        </w:rPr>
        <w:t xml:space="preserve">3.1 </w:t>
      </w:r>
      <w:bookmarkEnd w:id="61"/>
      <w:bookmarkEnd w:id="62"/>
      <w:r>
        <w:rPr>
          <w:lang w:eastAsia="ru-RU"/>
        </w:rPr>
        <w:t xml:space="preserve">Анализ </w:t>
      </w:r>
      <w:r>
        <w:rPr/>
        <w:t>существующего</w:t>
      </w:r>
      <w:r>
        <w:rPr>
          <w:lang w:eastAsia="ru-RU"/>
        </w:rPr>
        <w:t xml:space="preserve"> состояния</w:t>
      </w:r>
      <w:bookmarkEnd w:id="60"/>
    </w:p>
    <w:p>
      <w:pPr>
        <w:pStyle w:val="Normal"/>
        <w:spacing w:lineRule="auto" w:line="276"/>
        <w:ind w:firstLine="708"/>
        <w:rPr>
          <w:szCs w:val="24"/>
        </w:rPr>
      </w:pPr>
      <w:r>
        <w:rPr>
          <w:szCs w:val="24"/>
        </w:rPr>
        <w:t xml:space="preserve">Демографические процессы определяют характер воспроизводства населения, оказывают влияние на изменение численности населения. Именно они характеризуют состояние рынка труда и устойчивость развития территории. </w:t>
      </w:r>
    </w:p>
    <w:p>
      <w:pPr>
        <w:pStyle w:val="Normal"/>
        <w:spacing w:lineRule="auto" w:line="276"/>
        <w:ind w:firstLine="708"/>
        <w:rPr>
          <w:szCs w:val="24"/>
        </w:rPr>
      </w:pPr>
      <w:r>
        <w:rPr>
          <w:szCs w:val="24"/>
        </w:rPr>
        <w:t>Динамика численности населения, характеристика естественного и механического прироста, половозрастная структура населения по праву считаются важнейшими социально-экономическим анализом.</w:t>
      </w:r>
    </w:p>
    <w:p>
      <w:pPr>
        <w:pStyle w:val="Normal"/>
        <w:spacing w:lineRule="auto" w:line="276"/>
        <w:ind w:firstLine="708"/>
        <w:rPr>
          <w:szCs w:val="24"/>
        </w:rPr>
      </w:pPr>
      <w:r>
        <w:rPr>
          <w:szCs w:val="24"/>
        </w:rPr>
        <w:t xml:space="preserve">Численность населения Катенинского сельского поселения </w:t>
      </w:r>
      <w:r>
        <w:rPr>
          <w:color w:val="000000" w:themeColor="text1"/>
          <w:szCs w:val="24"/>
        </w:rPr>
        <w:t xml:space="preserve">на 01.01.2023 </w:t>
      </w:r>
      <w:r>
        <w:rPr>
          <w:szCs w:val="24"/>
        </w:rPr>
        <w:t xml:space="preserve">составляет </w:t>
        <w:br/>
        <w:t xml:space="preserve">1197 человека (таблица 3.3.1). </w:t>
      </w:r>
    </w:p>
    <w:p>
      <w:pPr>
        <w:pStyle w:val="Normal"/>
        <w:spacing w:lineRule="auto" w:line="276"/>
        <w:ind w:firstLine="680"/>
        <w:jc w:val="right"/>
        <w:rPr>
          <w:rFonts w:eastAsia="Times New Roman"/>
          <w:iCs/>
          <w:szCs w:val="24"/>
          <w:lang w:eastAsia="ru-RU"/>
        </w:rPr>
      </w:pPr>
      <w:r>
        <w:rPr>
          <w:rFonts w:eastAsia="Times New Roman"/>
          <w:iCs/>
          <w:szCs w:val="24"/>
          <w:lang w:eastAsia="ru-RU"/>
        </w:rPr>
        <w:t>Таблица 3.3.1</w:t>
      </w:r>
    </w:p>
    <w:p>
      <w:pPr>
        <w:pStyle w:val="Style17"/>
        <w:spacing w:lineRule="auto" w:line="276" w:before="0" w:after="0"/>
        <w:jc w:val="center"/>
        <w:rPr>
          <w:szCs w:val="24"/>
        </w:rPr>
      </w:pPr>
      <w:r>
        <w:rPr>
          <w:szCs w:val="24"/>
        </w:rPr>
        <w:t>Численность населения Катенинского сельского поселения по состоянию на 01.01.2023</w:t>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420"/>
        <w:gridCol w:w="2128"/>
        <w:gridCol w:w="2554"/>
        <w:gridCol w:w="2283"/>
        <w:gridCol w:w="2536"/>
      </w:tblGrid>
      <w:tr>
        <w:trPr>
          <w:tblHeader w:val="true"/>
          <w:trHeight w:val="20" w:hRule="atLeast"/>
        </w:trPr>
        <w:tc>
          <w:tcPr>
            <w:tcW w:w="420"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bCs/>
                <w:sz w:val="20"/>
                <w:szCs w:val="20"/>
                <w:lang w:eastAsia="ru-RU"/>
              </w:rPr>
            </w:pPr>
            <w:r>
              <w:rPr>
                <w:rFonts w:eastAsia="Times New Roman"/>
                <w:b/>
                <w:bCs/>
                <w:sz w:val="20"/>
                <w:szCs w:val="20"/>
                <w:lang w:eastAsia="ru-RU"/>
              </w:rPr>
              <w:t>№</w:t>
            </w:r>
          </w:p>
        </w:tc>
        <w:tc>
          <w:tcPr>
            <w:tcW w:w="2128"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bCs/>
                <w:sz w:val="20"/>
                <w:szCs w:val="20"/>
                <w:lang w:eastAsia="ru-RU"/>
              </w:rPr>
            </w:pPr>
            <w:r>
              <w:rPr>
                <w:b/>
                <w:sz w:val="20"/>
                <w:szCs w:val="20"/>
              </w:rPr>
              <w:t>Сельское поселение</w:t>
            </w:r>
          </w:p>
        </w:tc>
        <w:tc>
          <w:tcPr>
            <w:tcW w:w="2554"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bCs/>
                <w:sz w:val="20"/>
                <w:szCs w:val="20"/>
                <w:lang w:eastAsia="ru-RU"/>
              </w:rPr>
            </w:pPr>
            <w:r>
              <w:rPr>
                <w:rFonts w:eastAsia="Times New Roman"/>
                <w:b/>
                <w:bCs/>
                <w:sz w:val="20"/>
                <w:szCs w:val="20"/>
                <w:lang w:eastAsia="ru-RU"/>
              </w:rPr>
              <w:t>Постоянно проживающее население</w:t>
            </w:r>
          </w:p>
        </w:tc>
        <w:tc>
          <w:tcPr>
            <w:tcW w:w="2283"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bCs/>
                <w:sz w:val="20"/>
                <w:szCs w:val="20"/>
                <w:lang w:eastAsia="ru-RU"/>
              </w:rPr>
            </w:pPr>
            <w:r>
              <w:rPr>
                <w:rFonts w:eastAsia="Times New Roman"/>
                <w:b/>
                <w:bCs/>
                <w:sz w:val="20"/>
                <w:szCs w:val="20"/>
                <w:lang w:eastAsia="ru-RU"/>
              </w:rPr>
              <w:t>Численность населения на 2014 год</w:t>
            </w:r>
          </w:p>
        </w:tc>
        <w:tc>
          <w:tcPr>
            <w:tcW w:w="2536"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bCs/>
                <w:sz w:val="20"/>
                <w:szCs w:val="20"/>
                <w:lang w:eastAsia="ru-RU"/>
              </w:rPr>
            </w:pPr>
            <w:r>
              <w:rPr>
                <w:rFonts w:eastAsia="Times New Roman"/>
                <w:b/>
                <w:bCs/>
                <w:sz w:val="20"/>
                <w:szCs w:val="20"/>
                <w:lang w:eastAsia="ru-RU"/>
              </w:rPr>
              <w:t xml:space="preserve">Прирост (убыль) населения за период </w:t>
              <w:br/>
              <w:t>2014–2023 годов</w:t>
            </w:r>
          </w:p>
        </w:tc>
      </w:tr>
    </w:tbl>
    <w:p>
      <w:pPr>
        <w:pStyle w:val="Normal"/>
        <w:spacing w:lineRule="auto" w:line="12"/>
        <w:rPr>
          <w:sz w:val="28"/>
          <w:szCs w:val="28"/>
        </w:rPr>
      </w:pPr>
      <w:r>
        <w:rPr>
          <w:sz w:val="28"/>
          <w:szCs w:val="28"/>
        </w:rPr>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420"/>
        <w:gridCol w:w="2128"/>
        <w:gridCol w:w="2554"/>
        <w:gridCol w:w="2285"/>
        <w:gridCol w:w="2534"/>
      </w:tblGrid>
      <w:tr>
        <w:trPr>
          <w:tblHeader w:val="true"/>
          <w:trHeight w:val="20" w:hRule="atLeast"/>
        </w:trPr>
        <w:tc>
          <w:tcPr>
            <w:tcW w:w="4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Times New Roman"/>
                <w:b/>
                <w:b/>
                <w:bCs/>
                <w:sz w:val="20"/>
                <w:szCs w:val="20"/>
                <w:lang w:eastAsia="ru-RU"/>
              </w:rPr>
            </w:pPr>
            <w:r>
              <w:rPr>
                <w:rFonts w:eastAsia="Times New Roman"/>
                <w:b/>
                <w:bCs/>
                <w:sz w:val="20"/>
                <w:szCs w:val="20"/>
                <w:lang w:eastAsia="ru-RU"/>
              </w:rPr>
              <w:t>1</w:t>
            </w:r>
          </w:p>
        </w:tc>
        <w:tc>
          <w:tcPr>
            <w:tcW w:w="2128"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Times New Roman"/>
                <w:b/>
                <w:b/>
                <w:bCs/>
                <w:sz w:val="20"/>
                <w:szCs w:val="20"/>
                <w:lang w:eastAsia="ru-RU"/>
              </w:rPr>
            </w:pPr>
            <w:r>
              <w:rPr>
                <w:rFonts w:eastAsia="Times New Roman"/>
                <w:b/>
                <w:bCs/>
                <w:sz w:val="20"/>
                <w:szCs w:val="20"/>
                <w:lang w:eastAsia="ru-RU"/>
              </w:rPr>
              <w:t>2</w:t>
            </w:r>
          </w:p>
        </w:tc>
        <w:tc>
          <w:tcPr>
            <w:tcW w:w="2554"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Times New Roman"/>
                <w:b/>
                <w:b/>
                <w:bCs/>
                <w:sz w:val="20"/>
                <w:szCs w:val="20"/>
                <w:lang w:eastAsia="ru-RU"/>
              </w:rPr>
            </w:pPr>
            <w:r>
              <w:rPr>
                <w:rFonts w:eastAsia="Times New Roman"/>
                <w:b/>
                <w:bCs/>
                <w:sz w:val="20"/>
                <w:szCs w:val="20"/>
                <w:lang w:eastAsia="ru-RU"/>
              </w:rPr>
              <w:t>3</w:t>
            </w:r>
          </w:p>
        </w:tc>
        <w:tc>
          <w:tcPr>
            <w:tcW w:w="2285"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Times New Roman"/>
                <w:b/>
                <w:b/>
                <w:bCs/>
                <w:sz w:val="20"/>
                <w:szCs w:val="20"/>
                <w:lang w:eastAsia="ru-RU"/>
              </w:rPr>
            </w:pPr>
            <w:r>
              <w:rPr>
                <w:rFonts w:eastAsia="Times New Roman"/>
                <w:b/>
                <w:bCs/>
                <w:sz w:val="20"/>
                <w:szCs w:val="20"/>
                <w:lang w:eastAsia="ru-RU"/>
              </w:rPr>
              <w:t>4</w:t>
            </w:r>
          </w:p>
        </w:tc>
        <w:tc>
          <w:tcPr>
            <w:tcW w:w="2534"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Times New Roman"/>
                <w:b/>
                <w:b/>
                <w:bCs/>
                <w:sz w:val="20"/>
                <w:szCs w:val="20"/>
                <w:lang w:eastAsia="ru-RU"/>
              </w:rPr>
            </w:pPr>
            <w:r>
              <w:rPr>
                <w:rFonts w:eastAsia="Times New Roman"/>
                <w:b/>
                <w:bCs/>
                <w:sz w:val="20"/>
                <w:szCs w:val="20"/>
                <w:lang w:eastAsia="ru-RU"/>
              </w:rPr>
              <w:t>5</w:t>
            </w:r>
          </w:p>
        </w:tc>
      </w:tr>
      <w:tr>
        <w:trPr>
          <w:trHeight w:val="20" w:hRule="atLeast"/>
        </w:trPr>
        <w:tc>
          <w:tcPr>
            <w:tcW w:w="420" w:type="dxa"/>
            <w:tcBorders>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sz w:val="20"/>
                <w:szCs w:val="20"/>
                <w:lang w:eastAsia="ru-RU"/>
              </w:rPr>
            </w:pPr>
            <w:r>
              <w:rPr>
                <w:rFonts w:eastAsia="Times New Roman"/>
                <w:sz w:val="20"/>
                <w:szCs w:val="20"/>
                <w:lang w:eastAsia="ru-RU"/>
              </w:rPr>
              <w:t>1</w:t>
            </w:r>
          </w:p>
        </w:tc>
        <w:tc>
          <w:tcPr>
            <w:tcW w:w="2128" w:type="dxa"/>
            <w:tcBorders>
              <w:bottom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sz w:val="20"/>
                <w:szCs w:val="20"/>
              </w:rPr>
              <w:t>с. Катенино</w:t>
            </w:r>
          </w:p>
        </w:tc>
        <w:tc>
          <w:tcPr>
            <w:tcW w:w="2554" w:type="dxa"/>
            <w:tcBorders>
              <w:bottom w:val="single" w:sz="4" w:space="0" w:color="000000"/>
              <w:right w:val="single" w:sz="4" w:space="0" w:color="000000"/>
            </w:tcBorders>
            <w:shd w:color="auto" w:fill="auto" w:val="clear"/>
            <w:vAlign w:val="center"/>
          </w:tcPr>
          <w:p>
            <w:pPr>
              <w:pStyle w:val="Normal"/>
              <w:spacing w:lineRule="auto" w:line="240"/>
              <w:jc w:val="center"/>
              <w:rPr>
                <w:rFonts w:eastAsia="Times New Roman"/>
                <w:sz w:val="20"/>
                <w:szCs w:val="20"/>
                <w:lang w:eastAsia="ru-RU"/>
              </w:rPr>
            </w:pPr>
            <w:r>
              <w:rPr>
                <w:rFonts w:eastAsia="Times New Roman"/>
                <w:sz w:val="20"/>
                <w:szCs w:val="20"/>
                <w:lang w:eastAsia="ru-RU"/>
              </w:rPr>
              <w:t>720</w:t>
            </w:r>
          </w:p>
        </w:tc>
        <w:tc>
          <w:tcPr>
            <w:tcW w:w="2285" w:type="dxa"/>
            <w:tcBorders>
              <w:bottom w:val="single" w:sz="4" w:space="0" w:color="000000"/>
              <w:right w:val="single" w:sz="4" w:space="0" w:color="000000"/>
            </w:tcBorders>
            <w:shd w:color="auto" w:fill="auto" w:val="clear"/>
            <w:vAlign w:val="center"/>
          </w:tcPr>
          <w:p>
            <w:pPr>
              <w:pStyle w:val="Normal"/>
              <w:spacing w:lineRule="auto" w:line="240"/>
              <w:jc w:val="center"/>
              <w:rPr>
                <w:sz w:val="20"/>
                <w:szCs w:val="20"/>
              </w:rPr>
            </w:pPr>
            <w:r>
              <w:rPr>
                <w:sz w:val="20"/>
                <w:szCs w:val="20"/>
              </w:rPr>
              <w:t>717</w:t>
            </w:r>
          </w:p>
        </w:tc>
        <w:tc>
          <w:tcPr>
            <w:tcW w:w="2534" w:type="dxa"/>
            <w:tcBorders>
              <w:bottom w:val="single" w:sz="4" w:space="0" w:color="000000"/>
              <w:right w:val="single" w:sz="4" w:space="0" w:color="000000"/>
            </w:tcBorders>
            <w:shd w:color="auto" w:fill="auto" w:val="clear"/>
          </w:tcPr>
          <w:p>
            <w:pPr>
              <w:pStyle w:val="Normal"/>
              <w:spacing w:lineRule="auto" w:line="240"/>
              <w:jc w:val="center"/>
              <w:rPr>
                <w:rFonts w:eastAsia="Times New Roman"/>
                <w:sz w:val="20"/>
                <w:szCs w:val="20"/>
                <w:lang w:eastAsia="ru-RU"/>
              </w:rPr>
            </w:pPr>
            <w:r>
              <w:rPr>
                <w:rFonts w:eastAsia="Times New Roman"/>
                <w:sz w:val="20"/>
                <w:szCs w:val="20"/>
                <w:lang w:eastAsia="ru-RU"/>
              </w:rPr>
              <w:t>-3</w:t>
            </w:r>
          </w:p>
        </w:tc>
      </w:tr>
      <w:tr>
        <w:trPr>
          <w:trHeight w:val="20" w:hRule="atLeast"/>
        </w:trPr>
        <w:tc>
          <w:tcPr>
            <w:tcW w:w="420" w:type="dxa"/>
            <w:tcBorders>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sz w:val="20"/>
                <w:szCs w:val="20"/>
                <w:lang w:eastAsia="ru-RU"/>
              </w:rPr>
            </w:pPr>
            <w:r>
              <w:rPr>
                <w:rFonts w:eastAsia="Times New Roman"/>
                <w:sz w:val="20"/>
                <w:szCs w:val="20"/>
                <w:lang w:eastAsia="ru-RU"/>
              </w:rPr>
              <w:t>2</w:t>
            </w:r>
          </w:p>
        </w:tc>
        <w:tc>
          <w:tcPr>
            <w:tcW w:w="2128" w:type="dxa"/>
            <w:tcBorders>
              <w:bottom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sz w:val="20"/>
                <w:szCs w:val="20"/>
              </w:rPr>
              <w:t>п. Караоба</w:t>
            </w:r>
          </w:p>
        </w:tc>
        <w:tc>
          <w:tcPr>
            <w:tcW w:w="2554" w:type="dxa"/>
            <w:tcBorders>
              <w:bottom w:val="single" w:sz="4" w:space="0" w:color="000000"/>
              <w:right w:val="single" w:sz="4" w:space="0" w:color="000000"/>
            </w:tcBorders>
            <w:shd w:color="auto" w:fill="auto" w:val="clear"/>
            <w:vAlign w:val="center"/>
          </w:tcPr>
          <w:p>
            <w:pPr>
              <w:pStyle w:val="Normal"/>
              <w:spacing w:lineRule="auto" w:line="240"/>
              <w:jc w:val="center"/>
              <w:rPr>
                <w:rFonts w:eastAsia="Times New Roman"/>
                <w:sz w:val="20"/>
                <w:szCs w:val="20"/>
                <w:lang w:eastAsia="ru-RU"/>
              </w:rPr>
            </w:pPr>
            <w:r>
              <w:rPr>
                <w:rFonts w:eastAsia="Times New Roman"/>
                <w:sz w:val="20"/>
                <w:szCs w:val="20"/>
                <w:lang w:eastAsia="ru-RU"/>
              </w:rPr>
              <w:t>99</w:t>
            </w:r>
          </w:p>
        </w:tc>
        <w:tc>
          <w:tcPr>
            <w:tcW w:w="2285" w:type="dxa"/>
            <w:tcBorders>
              <w:bottom w:val="single" w:sz="4" w:space="0" w:color="000000"/>
              <w:right w:val="single" w:sz="4" w:space="0" w:color="000000"/>
            </w:tcBorders>
            <w:shd w:color="auto" w:fill="auto" w:val="clear"/>
            <w:vAlign w:val="center"/>
          </w:tcPr>
          <w:p>
            <w:pPr>
              <w:pStyle w:val="Normal"/>
              <w:spacing w:lineRule="auto" w:line="240"/>
              <w:jc w:val="center"/>
              <w:rPr>
                <w:sz w:val="20"/>
                <w:szCs w:val="20"/>
              </w:rPr>
            </w:pPr>
            <w:r>
              <w:rPr>
                <w:sz w:val="20"/>
                <w:szCs w:val="20"/>
              </w:rPr>
              <w:t>145</w:t>
            </w:r>
          </w:p>
        </w:tc>
        <w:tc>
          <w:tcPr>
            <w:tcW w:w="2534" w:type="dxa"/>
            <w:tcBorders>
              <w:bottom w:val="single" w:sz="4" w:space="0" w:color="000000"/>
              <w:right w:val="single" w:sz="4" w:space="0" w:color="000000"/>
            </w:tcBorders>
            <w:shd w:color="auto" w:fill="auto" w:val="clear"/>
          </w:tcPr>
          <w:p>
            <w:pPr>
              <w:pStyle w:val="Normal"/>
              <w:spacing w:lineRule="auto" w:line="240"/>
              <w:jc w:val="center"/>
              <w:rPr>
                <w:rFonts w:eastAsia="Times New Roman"/>
                <w:sz w:val="20"/>
                <w:szCs w:val="20"/>
                <w:lang w:eastAsia="ru-RU"/>
              </w:rPr>
            </w:pPr>
            <w:r>
              <w:rPr>
                <w:rFonts w:eastAsia="Times New Roman"/>
                <w:sz w:val="20"/>
                <w:szCs w:val="20"/>
                <w:lang w:eastAsia="ru-RU"/>
              </w:rPr>
              <w:t>-46</w:t>
            </w:r>
          </w:p>
        </w:tc>
      </w:tr>
      <w:tr>
        <w:trPr>
          <w:trHeight w:val="20" w:hRule="atLeast"/>
        </w:trPr>
        <w:tc>
          <w:tcPr>
            <w:tcW w:w="420" w:type="dxa"/>
            <w:tcBorders>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sz w:val="20"/>
                <w:szCs w:val="20"/>
                <w:lang w:eastAsia="ru-RU"/>
              </w:rPr>
            </w:pPr>
            <w:r>
              <w:rPr>
                <w:rFonts w:eastAsia="Times New Roman"/>
                <w:sz w:val="20"/>
                <w:szCs w:val="20"/>
                <w:lang w:eastAsia="ru-RU"/>
              </w:rPr>
              <w:t>3</w:t>
            </w:r>
          </w:p>
        </w:tc>
        <w:tc>
          <w:tcPr>
            <w:tcW w:w="2128" w:type="dxa"/>
            <w:tcBorders>
              <w:bottom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sz w:val="20"/>
                <w:szCs w:val="20"/>
              </w:rPr>
              <w:t>п. Комсомольский</w:t>
            </w:r>
          </w:p>
        </w:tc>
        <w:tc>
          <w:tcPr>
            <w:tcW w:w="2554" w:type="dxa"/>
            <w:tcBorders>
              <w:bottom w:val="single" w:sz="4" w:space="0" w:color="000000"/>
              <w:right w:val="single" w:sz="4" w:space="0" w:color="000000"/>
            </w:tcBorders>
            <w:shd w:color="auto" w:fill="auto" w:val="clear"/>
            <w:vAlign w:val="center"/>
          </w:tcPr>
          <w:p>
            <w:pPr>
              <w:pStyle w:val="Normal"/>
              <w:spacing w:lineRule="auto" w:line="240"/>
              <w:jc w:val="center"/>
              <w:rPr>
                <w:rFonts w:eastAsia="Times New Roman"/>
                <w:sz w:val="20"/>
                <w:szCs w:val="20"/>
                <w:lang w:eastAsia="ru-RU"/>
              </w:rPr>
            </w:pPr>
            <w:r>
              <w:rPr>
                <w:rFonts w:eastAsia="Times New Roman"/>
                <w:sz w:val="20"/>
                <w:szCs w:val="20"/>
                <w:lang w:eastAsia="ru-RU"/>
              </w:rPr>
              <w:t>180</w:t>
            </w:r>
          </w:p>
        </w:tc>
        <w:tc>
          <w:tcPr>
            <w:tcW w:w="2285" w:type="dxa"/>
            <w:tcBorders>
              <w:bottom w:val="single" w:sz="4" w:space="0" w:color="000000"/>
              <w:right w:val="single" w:sz="4" w:space="0" w:color="000000"/>
            </w:tcBorders>
            <w:shd w:color="auto" w:fill="auto" w:val="clear"/>
            <w:vAlign w:val="center"/>
          </w:tcPr>
          <w:p>
            <w:pPr>
              <w:pStyle w:val="Normal"/>
              <w:spacing w:lineRule="auto" w:line="240"/>
              <w:jc w:val="center"/>
              <w:rPr>
                <w:sz w:val="20"/>
                <w:szCs w:val="20"/>
              </w:rPr>
            </w:pPr>
            <w:r>
              <w:rPr>
                <w:sz w:val="20"/>
                <w:szCs w:val="20"/>
              </w:rPr>
              <w:t>235</w:t>
            </w:r>
          </w:p>
        </w:tc>
        <w:tc>
          <w:tcPr>
            <w:tcW w:w="2534" w:type="dxa"/>
            <w:tcBorders>
              <w:bottom w:val="single" w:sz="4" w:space="0" w:color="000000"/>
              <w:right w:val="single" w:sz="4" w:space="0" w:color="000000"/>
            </w:tcBorders>
            <w:shd w:color="auto" w:fill="auto" w:val="clear"/>
          </w:tcPr>
          <w:p>
            <w:pPr>
              <w:pStyle w:val="Normal"/>
              <w:spacing w:lineRule="auto" w:line="240"/>
              <w:jc w:val="center"/>
              <w:rPr>
                <w:rFonts w:eastAsia="Times New Roman"/>
                <w:sz w:val="20"/>
                <w:szCs w:val="20"/>
                <w:lang w:eastAsia="ru-RU"/>
              </w:rPr>
            </w:pPr>
            <w:r>
              <w:rPr>
                <w:rFonts w:eastAsia="Times New Roman"/>
                <w:sz w:val="20"/>
                <w:szCs w:val="20"/>
                <w:lang w:eastAsia="ru-RU"/>
              </w:rPr>
              <w:t>-55</w:t>
            </w:r>
          </w:p>
        </w:tc>
      </w:tr>
      <w:tr>
        <w:trPr>
          <w:trHeight w:val="20" w:hRule="atLeast"/>
        </w:trPr>
        <w:tc>
          <w:tcPr>
            <w:tcW w:w="420" w:type="dxa"/>
            <w:tcBorders>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sz w:val="20"/>
                <w:szCs w:val="20"/>
                <w:lang w:eastAsia="ru-RU"/>
              </w:rPr>
            </w:pPr>
            <w:r>
              <w:rPr>
                <w:rFonts w:eastAsia="Times New Roman"/>
                <w:sz w:val="20"/>
                <w:szCs w:val="20"/>
                <w:lang w:eastAsia="ru-RU"/>
              </w:rPr>
              <w:t>4</w:t>
            </w:r>
          </w:p>
        </w:tc>
        <w:tc>
          <w:tcPr>
            <w:tcW w:w="2128" w:type="dxa"/>
            <w:tcBorders>
              <w:bottom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sz w:val="20"/>
                <w:szCs w:val="20"/>
              </w:rPr>
              <w:t>п. Красноармейский</w:t>
            </w:r>
          </w:p>
        </w:tc>
        <w:tc>
          <w:tcPr>
            <w:tcW w:w="2554" w:type="dxa"/>
            <w:tcBorders>
              <w:bottom w:val="single" w:sz="4" w:space="0" w:color="000000"/>
              <w:right w:val="single" w:sz="4" w:space="0" w:color="000000"/>
            </w:tcBorders>
            <w:shd w:color="auto" w:fill="auto" w:val="clear"/>
            <w:vAlign w:val="center"/>
          </w:tcPr>
          <w:p>
            <w:pPr>
              <w:pStyle w:val="Normal"/>
              <w:spacing w:lineRule="auto" w:line="240"/>
              <w:jc w:val="center"/>
              <w:rPr>
                <w:rFonts w:eastAsia="Times New Roman"/>
                <w:sz w:val="20"/>
                <w:szCs w:val="20"/>
                <w:lang w:eastAsia="ru-RU"/>
              </w:rPr>
            </w:pPr>
            <w:r>
              <w:rPr>
                <w:rFonts w:eastAsia="Times New Roman"/>
                <w:sz w:val="20"/>
                <w:szCs w:val="20"/>
                <w:lang w:eastAsia="ru-RU"/>
              </w:rPr>
              <w:t>198</w:t>
            </w:r>
          </w:p>
        </w:tc>
        <w:tc>
          <w:tcPr>
            <w:tcW w:w="2285" w:type="dxa"/>
            <w:tcBorders>
              <w:bottom w:val="single" w:sz="4" w:space="0" w:color="000000"/>
              <w:right w:val="single" w:sz="4" w:space="0" w:color="000000"/>
            </w:tcBorders>
            <w:shd w:color="auto" w:fill="auto" w:val="clear"/>
            <w:vAlign w:val="center"/>
          </w:tcPr>
          <w:p>
            <w:pPr>
              <w:pStyle w:val="Normal"/>
              <w:spacing w:lineRule="auto" w:line="240"/>
              <w:jc w:val="center"/>
              <w:rPr>
                <w:sz w:val="20"/>
                <w:szCs w:val="20"/>
              </w:rPr>
            </w:pPr>
            <w:r>
              <w:rPr>
                <w:sz w:val="20"/>
                <w:szCs w:val="20"/>
              </w:rPr>
              <w:t>238</w:t>
            </w:r>
          </w:p>
        </w:tc>
        <w:tc>
          <w:tcPr>
            <w:tcW w:w="2534" w:type="dxa"/>
            <w:tcBorders>
              <w:bottom w:val="single" w:sz="4" w:space="0" w:color="000000"/>
              <w:right w:val="single" w:sz="4" w:space="0" w:color="000000"/>
            </w:tcBorders>
            <w:shd w:color="auto" w:fill="auto" w:val="clear"/>
          </w:tcPr>
          <w:p>
            <w:pPr>
              <w:pStyle w:val="Normal"/>
              <w:spacing w:lineRule="auto" w:line="240"/>
              <w:jc w:val="center"/>
              <w:rPr>
                <w:rFonts w:eastAsia="Times New Roman"/>
                <w:sz w:val="20"/>
                <w:szCs w:val="20"/>
                <w:lang w:eastAsia="ru-RU"/>
              </w:rPr>
            </w:pPr>
            <w:r>
              <w:rPr>
                <w:rFonts w:eastAsia="Times New Roman"/>
                <w:sz w:val="20"/>
                <w:szCs w:val="20"/>
                <w:lang w:eastAsia="ru-RU"/>
              </w:rPr>
              <w:t>-40</w:t>
            </w:r>
          </w:p>
        </w:tc>
      </w:tr>
    </w:tbl>
    <w:p>
      <w:pPr>
        <w:pStyle w:val="Normal"/>
        <w:spacing w:lineRule="auto" w:line="276" w:before="120" w:after="200"/>
        <w:ind w:firstLine="709"/>
        <w:rPr>
          <w:szCs w:val="24"/>
        </w:rPr>
      </w:pPr>
      <w:r>
        <w:rPr>
          <w:szCs w:val="24"/>
        </w:rPr>
        <w:t>В состав поселения входят 4 населенных пунктов, с. Катенино является административным центром.</w:t>
      </w:r>
    </w:p>
    <w:p>
      <w:pPr>
        <w:pStyle w:val="Normal"/>
        <w:spacing w:lineRule="auto" w:line="276" w:before="120" w:after="200"/>
        <w:ind w:firstLine="709"/>
        <w:rPr>
          <w:szCs w:val="24"/>
        </w:rPr>
      </w:pPr>
      <w:r>
        <w:rPr>
          <w:szCs w:val="24"/>
        </w:rPr>
        <w:t>В сельском поселении наблюдается снижающая демографическая тенденция численности населения. Сравнительная динамика численности населения представлена в таблице 3.3.3 и на рисунке 3.3.1.</w:t>
      </w:r>
    </w:p>
    <w:p>
      <w:pPr>
        <w:pStyle w:val="Normal"/>
        <w:spacing w:lineRule="auto" w:line="276"/>
        <w:jc w:val="right"/>
        <w:rPr>
          <w:szCs w:val="24"/>
        </w:rPr>
      </w:pPr>
      <w:r>
        <w:rPr>
          <w:szCs w:val="24"/>
        </w:rPr>
        <w:t>Таблица 3.3.3</w:t>
      </w:r>
    </w:p>
    <w:p>
      <w:pPr>
        <w:pStyle w:val="Normal"/>
        <w:spacing w:lineRule="auto" w:line="276"/>
        <w:jc w:val="center"/>
        <w:rPr>
          <w:szCs w:val="24"/>
        </w:rPr>
      </w:pPr>
      <w:r>
        <w:rPr>
          <w:szCs w:val="24"/>
        </w:rPr>
        <w:t>Динамика численности Катенинского сельского поселения по населенным пунктам</w:t>
      </w:r>
    </w:p>
    <w:tbl>
      <w:tblPr>
        <w:tblW w:w="5000" w:type="pct"/>
        <w:jc w:val="center"/>
        <w:tblInd w:w="0" w:type="dxa"/>
        <w:tblCellMar>
          <w:top w:w="0" w:type="dxa"/>
          <w:left w:w="57" w:type="dxa"/>
          <w:bottom w:w="0" w:type="dxa"/>
          <w:right w:w="57" w:type="dxa"/>
        </w:tblCellMar>
        <w:tblLook w:firstRow="1" w:noVBand="0" w:lastRow="1" w:firstColumn="1" w:lastColumn="1" w:noHBand="0" w:val="01e0"/>
      </w:tblPr>
      <w:tblGrid>
        <w:gridCol w:w="2284"/>
        <w:gridCol w:w="851"/>
        <w:gridCol w:w="848"/>
        <w:gridCol w:w="568"/>
        <w:gridCol w:w="848"/>
        <w:gridCol w:w="708"/>
        <w:gridCol w:w="845"/>
        <w:gridCol w:w="711"/>
        <w:gridCol w:w="713"/>
        <w:gridCol w:w="711"/>
        <w:gridCol w:w="832"/>
      </w:tblGrid>
      <w:tr>
        <w:trPr>
          <w:trHeight w:val="1134" w:hRule="atLeast"/>
          <w:cantSplit w:val="true"/>
        </w:trPr>
        <w:tc>
          <w:tcPr>
            <w:tcW w:w="2284"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rPr>
            </w:pPr>
            <w:r>
              <w:rPr>
                <w:b/>
                <w:sz w:val="20"/>
                <w:szCs w:val="20"/>
              </w:rPr>
              <w:t>Населенный пункт</w:t>
            </w:r>
          </w:p>
        </w:tc>
        <w:tc>
          <w:tcPr>
            <w:tcW w:w="851" w:type="dxa"/>
            <w:tcBorders>
              <w:top w:val="single" w:sz="4" w:space="0" w:color="000000"/>
              <w:left w:val="single" w:sz="4" w:space="0" w:color="000000"/>
              <w:right w:val="single" w:sz="4" w:space="0" w:color="000000"/>
            </w:tcBorders>
            <w:textDirection w:val="btLr"/>
          </w:tcPr>
          <w:p>
            <w:pPr>
              <w:pStyle w:val="Normal"/>
              <w:spacing w:lineRule="auto" w:line="240"/>
              <w:ind w:left="113" w:right="113" w:hanging="0"/>
              <w:jc w:val="center"/>
              <w:rPr>
                <w:b/>
                <w:b/>
                <w:sz w:val="20"/>
              </w:rPr>
            </w:pPr>
            <w:r>
              <w:rPr>
                <w:b/>
                <w:sz w:val="20"/>
              </w:rPr>
              <w:t>на</w:t>
            </w:r>
          </w:p>
          <w:p>
            <w:pPr>
              <w:pStyle w:val="Normal"/>
              <w:spacing w:lineRule="auto" w:line="240"/>
              <w:ind w:left="113" w:right="113" w:hanging="0"/>
              <w:jc w:val="center"/>
              <w:rPr>
                <w:b/>
                <w:b/>
                <w:sz w:val="20"/>
              </w:rPr>
            </w:pPr>
            <w:r>
              <w:rPr>
                <w:b/>
                <w:sz w:val="20"/>
              </w:rPr>
              <w:t>01.2014г.</w:t>
            </w:r>
          </w:p>
        </w:tc>
        <w:tc>
          <w:tcPr>
            <w:tcW w:w="848" w:type="dxa"/>
            <w:tcBorders>
              <w:top w:val="single" w:sz="4" w:space="0" w:color="000000"/>
              <w:left w:val="single" w:sz="4" w:space="0" w:color="000000"/>
              <w:right w:val="single" w:sz="4" w:space="0" w:color="000000"/>
            </w:tcBorders>
            <w:textDirection w:val="btLr"/>
          </w:tcPr>
          <w:p>
            <w:pPr>
              <w:pStyle w:val="Normal"/>
              <w:spacing w:lineRule="auto" w:line="240"/>
              <w:ind w:left="113" w:right="113" w:hanging="0"/>
              <w:jc w:val="center"/>
              <w:rPr>
                <w:b/>
                <w:b/>
                <w:sz w:val="20"/>
              </w:rPr>
            </w:pPr>
            <w:r>
              <w:rPr>
                <w:b/>
                <w:sz w:val="20"/>
              </w:rPr>
              <w:t>на</w:t>
            </w:r>
          </w:p>
          <w:p>
            <w:pPr>
              <w:pStyle w:val="Normal"/>
              <w:spacing w:lineRule="auto" w:line="240"/>
              <w:ind w:left="113" w:right="113" w:hanging="0"/>
              <w:jc w:val="center"/>
              <w:rPr>
                <w:b/>
                <w:b/>
                <w:sz w:val="20"/>
              </w:rPr>
            </w:pPr>
            <w:r>
              <w:rPr>
                <w:b/>
                <w:sz w:val="20"/>
              </w:rPr>
              <w:t>01.2015 г.</w:t>
            </w:r>
          </w:p>
        </w:tc>
        <w:tc>
          <w:tcPr>
            <w:tcW w:w="568" w:type="dxa"/>
            <w:tcBorders>
              <w:top w:val="single" w:sz="4" w:space="0" w:color="000000"/>
              <w:left w:val="single" w:sz="4" w:space="0" w:color="000000"/>
              <w:right w:val="single" w:sz="4" w:space="0" w:color="000000"/>
            </w:tcBorders>
            <w:textDirection w:val="btLr"/>
          </w:tcPr>
          <w:p>
            <w:pPr>
              <w:pStyle w:val="Normal"/>
              <w:spacing w:lineRule="auto" w:line="240"/>
              <w:ind w:left="113" w:right="113" w:hanging="0"/>
              <w:jc w:val="center"/>
              <w:rPr>
                <w:b/>
                <w:b/>
                <w:sz w:val="20"/>
              </w:rPr>
            </w:pPr>
            <w:r>
              <w:rPr>
                <w:b/>
                <w:sz w:val="20"/>
              </w:rPr>
              <w:t>на</w:t>
            </w:r>
          </w:p>
          <w:p>
            <w:pPr>
              <w:pStyle w:val="Normal"/>
              <w:spacing w:lineRule="auto" w:line="240"/>
              <w:ind w:left="113" w:right="113" w:hanging="0"/>
              <w:jc w:val="center"/>
              <w:rPr>
                <w:b/>
                <w:b/>
                <w:sz w:val="20"/>
              </w:rPr>
            </w:pPr>
            <w:r>
              <w:rPr>
                <w:b/>
                <w:sz w:val="20"/>
              </w:rPr>
              <w:t>01.2016 г.</w:t>
            </w:r>
          </w:p>
        </w:tc>
        <w:tc>
          <w:tcPr>
            <w:tcW w:w="848" w:type="dxa"/>
            <w:tcBorders>
              <w:top w:val="single" w:sz="4" w:space="0" w:color="000000"/>
              <w:left w:val="single" w:sz="4" w:space="0" w:color="000000"/>
              <w:right w:val="single" w:sz="4" w:space="0" w:color="000000"/>
            </w:tcBorders>
            <w:textDirection w:val="btLr"/>
            <w:vAlign w:val="center"/>
          </w:tcPr>
          <w:p>
            <w:pPr>
              <w:pStyle w:val="Normal"/>
              <w:spacing w:lineRule="auto" w:line="240"/>
              <w:ind w:left="113" w:right="113" w:hanging="0"/>
              <w:jc w:val="center"/>
              <w:rPr>
                <w:b/>
                <w:b/>
                <w:sz w:val="20"/>
              </w:rPr>
            </w:pPr>
            <w:r>
              <w:rPr>
                <w:b/>
                <w:sz w:val="20"/>
              </w:rPr>
              <w:t>на</w:t>
            </w:r>
          </w:p>
          <w:p>
            <w:pPr>
              <w:pStyle w:val="Normal"/>
              <w:spacing w:lineRule="auto" w:line="240"/>
              <w:ind w:left="113" w:right="113" w:hanging="0"/>
              <w:jc w:val="center"/>
              <w:rPr>
                <w:b/>
                <w:b/>
                <w:sz w:val="20"/>
              </w:rPr>
            </w:pPr>
            <w:r>
              <w:rPr>
                <w:b/>
                <w:sz w:val="20"/>
              </w:rPr>
              <w:t>01.2017 г.</w:t>
            </w:r>
          </w:p>
        </w:tc>
        <w:tc>
          <w:tcPr>
            <w:tcW w:w="708" w:type="dxa"/>
            <w:tcBorders>
              <w:top w:val="single" w:sz="4" w:space="0" w:color="000000"/>
              <w:left w:val="single" w:sz="4" w:space="0" w:color="000000"/>
              <w:right w:val="single" w:sz="4" w:space="0" w:color="000000"/>
            </w:tcBorders>
            <w:textDirection w:val="btLr"/>
            <w:vAlign w:val="center"/>
          </w:tcPr>
          <w:p>
            <w:pPr>
              <w:pStyle w:val="Normal"/>
              <w:spacing w:lineRule="auto" w:line="240"/>
              <w:ind w:left="113" w:right="113" w:hanging="0"/>
              <w:jc w:val="center"/>
              <w:rPr>
                <w:b/>
                <w:b/>
                <w:sz w:val="20"/>
              </w:rPr>
            </w:pPr>
            <w:r>
              <w:rPr>
                <w:b/>
                <w:sz w:val="20"/>
              </w:rPr>
              <w:t>на</w:t>
            </w:r>
          </w:p>
          <w:p>
            <w:pPr>
              <w:pStyle w:val="Normal"/>
              <w:spacing w:lineRule="auto" w:line="240"/>
              <w:ind w:left="113" w:right="113" w:hanging="0"/>
              <w:jc w:val="center"/>
              <w:rPr>
                <w:b/>
                <w:b/>
                <w:sz w:val="20"/>
              </w:rPr>
            </w:pPr>
            <w:r>
              <w:rPr>
                <w:b/>
                <w:sz w:val="20"/>
              </w:rPr>
              <w:t>01.2018 г.</w:t>
            </w:r>
          </w:p>
        </w:tc>
        <w:tc>
          <w:tcPr>
            <w:tcW w:w="845" w:type="dxa"/>
            <w:tcBorders>
              <w:top w:val="single" w:sz="4" w:space="0" w:color="000000"/>
              <w:left w:val="single" w:sz="4" w:space="0" w:color="000000"/>
              <w:right w:val="single" w:sz="4" w:space="0" w:color="000000"/>
            </w:tcBorders>
            <w:textDirection w:val="btLr"/>
            <w:vAlign w:val="center"/>
          </w:tcPr>
          <w:p>
            <w:pPr>
              <w:pStyle w:val="Normal"/>
              <w:spacing w:lineRule="auto" w:line="240"/>
              <w:ind w:left="113" w:right="113" w:hanging="0"/>
              <w:jc w:val="center"/>
              <w:rPr>
                <w:b/>
                <w:b/>
                <w:sz w:val="20"/>
              </w:rPr>
            </w:pPr>
            <w:r>
              <w:rPr>
                <w:b/>
                <w:sz w:val="20"/>
              </w:rPr>
              <w:t>на</w:t>
            </w:r>
          </w:p>
          <w:p>
            <w:pPr>
              <w:pStyle w:val="Normal"/>
              <w:spacing w:lineRule="auto" w:line="240"/>
              <w:ind w:left="113" w:right="113" w:hanging="0"/>
              <w:jc w:val="center"/>
              <w:rPr>
                <w:b/>
                <w:b/>
                <w:sz w:val="20"/>
              </w:rPr>
            </w:pPr>
            <w:r>
              <w:rPr>
                <w:b/>
                <w:sz w:val="20"/>
              </w:rPr>
              <w:t>01.2019 г.</w:t>
            </w:r>
          </w:p>
        </w:tc>
        <w:tc>
          <w:tcPr>
            <w:tcW w:w="711" w:type="dxa"/>
            <w:tcBorders>
              <w:top w:val="single" w:sz="4" w:space="0" w:color="000000"/>
              <w:left w:val="single" w:sz="4" w:space="0" w:color="000000"/>
              <w:right w:val="single" w:sz="4" w:space="0" w:color="000000"/>
            </w:tcBorders>
            <w:textDirection w:val="btLr"/>
          </w:tcPr>
          <w:p>
            <w:pPr>
              <w:pStyle w:val="Normal"/>
              <w:spacing w:lineRule="auto" w:line="240"/>
              <w:ind w:left="113" w:right="113" w:hanging="0"/>
              <w:jc w:val="center"/>
              <w:rPr>
                <w:b/>
                <w:b/>
                <w:sz w:val="20"/>
              </w:rPr>
            </w:pPr>
            <w:r>
              <w:rPr>
                <w:b/>
                <w:sz w:val="20"/>
              </w:rPr>
              <w:t>на</w:t>
            </w:r>
          </w:p>
          <w:p>
            <w:pPr>
              <w:pStyle w:val="Normal"/>
              <w:spacing w:lineRule="auto" w:line="240"/>
              <w:ind w:left="113" w:right="113" w:hanging="0"/>
              <w:jc w:val="center"/>
              <w:rPr>
                <w:b/>
                <w:b/>
                <w:sz w:val="20"/>
              </w:rPr>
            </w:pPr>
            <w:r>
              <w:rPr>
                <w:b/>
                <w:sz w:val="20"/>
              </w:rPr>
              <w:t>01.2020 г.</w:t>
            </w:r>
          </w:p>
        </w:tc>
        <w:tc>
          <w:tcPr>
            <w:tcW w:w="713" w:type="dxa"/>
            <w:tcBorders>
              <w:top w:val="single" w:sz="4" w:space="0" w:color="000000"/>
              <w:left w:val="single" w:sz="4" w:space="0" w:color="000000"/>
              <w:right w:val="single" w:sz="4" w:space="0" w:color="000000"/>
            </w:tcBorders>
            <w:textDirection w:val="btLr"/>
          </w:tcPr>
          <w:p>
            <w:pPr>
              <w:pStyle w:val="Normal"/>
              <w:spacing w:lineRule="auto" w:line="240"/>
              <w:ind w:left="113" w:right="113" w:hanging="0"/>
              <w:jc w:val="center"/>
              <w:rPr>
                <w:b/>
                <w:b/>
                <w:sz w:val="20"/>
              </w:rPr>
            </w:pPr>
            <w:r>
              <w:rPr>
                <w:b/>
                <w:sz w:val="20"/>
              </w:rPr>
              <w:t>на</w:t>
            </w:r>
          </w:p>
          <w:p>
            <w:pPr>
              <w:pStyle w:val="Normal"/>
              <w:spacing w:lineRule="auto" w:line="240"/>
              <w:ind w:left="113" w:right="113" w:hanging="0"/>
              <w:jc w:val="center"/>
              <w:rPr>
                <w:b/>
                <w:b/>
                <w:sz w:val="20"/>
              </w:rPr>
            </w:pPr>
            <w:r>
              <w:rPr>
                <w:b/>
                <w:sz w:val="20"/>
              </w:rPr>
              <w:t>01.2021 г.</w:t>
            </w:r>
          </w:p>
        </w:tc>
        <w:tc>
          <w:tcPr>
            <w:tcW w:w="711" w:type="dxa"/>
            <w:tcBorders>
              <w:top w:val="single" w:sz="4" w:space="0" w:color="000000"/>
              <w:left w:val="single" w:sz="4" w:space="0" w:color="000000"/>
              <w:right w:val="single" w:sz="4" w:space="0" w:color="000000"/>
            </w:tcBorders>
            <w:textDirection w:val="btLr"/>
          </w:tcPr>
          <w:p>
            <w:pPr>
              <w:pStyle w:val="Normal"/>
              <w:spacing w:lineRule="auto" w:line="240"/>
              <w:ind w:left="113" w:right="113" w:hanging="0"/>
              <w:jc w:val="center"/>
              <w:rPr>
                <w:b/>
                <w:b/>
                <w:sz w:val="20"/>
              </w:rPr>
            </w:pPr>
            <w:r>
              <w:rPr>
                <w:b/>
                <w:sz w:val="20"/>
              </w:rPr>
              <w:t>на</w:t>
            </w:r>
          </w:p>
          <w:p>
            <w:pPr>
              <w:pStyle w:val="Normal"/>
              <w:spacing w:lineRule="auto" w:line="240"/>
              <w:ind w:left="113" w:right="113" w:hanging="0"/>
              <w:jc w:val="center"/>
              <w:rPr>
                <w:b/>
                <w:b/>
                <w:sz w:val="20"/>
              </w:rPr>
            </w:pPr>
            <w:r>
              <w:rPr>
                <w:b/>
                <w:sz w:val="20"/>
              </w:rPr>
              <w:t>01.2022 г.</w:t>
            </w:r>
          </w:p>
        </w:tc>
        <w:tc>
          <w:tcPr>
            <w:tcW w:w="832" w:type="dxa"/>
            <w:tcBorders>
              <w:top w:val="single" w:sz="4" w:space="0" w:color="000000"/>
              <w:left w:val="single" w:sz="4" w:space="0" w:color="000000"/>
              <w:right w:val="single" w:sz="4" w:space="0" w:color="000000"/>
            </w:tcBorders>
            <w:textDirection w:val="btLr"/>
          </w:tcPr>
          <w:p>
            <w:pPr>
              <w:pStyle w:val="Normal"/>
              <w:spacing w:lineRule="auto" w:line="240"/>
              <w:ind w:left="113" w:right="113" w:hanging="0"/>
              <w:jc w:val="center"/>
              <w:rPr>
                <w:b/>
                <w:b/>
                <w:sz w:val="20"/>
              </w:rPr>
            </w:pPr>
            <w:r>
              <w:rPr>
                <w:b/>
                <w:sz w:val="20"/>
              </w:rPr>
              <w:t>на</w:t>
            </w:r>
          </w:p>
          <w:p>
            <w:pPr>
              <w:pStyle w:val="Normal"/>
              <w:spacing w:lineRule="auto" w:line="240"/>
              <w:ind w:left="113" w:right="113" w:hanging="0"/>
              <w:jc w:val="center"/>
              <w:rPr>
                <w:b/>
                <w:b/>
                <w:sz w:val="20"/>
              </w:rPr>
            </w:pPr>
            <w:r>
              <w:rPr>
                <w:b/>
                <w:sz w:val="20"/>
              </w:rPr>
              <w:t>01.2023 г.</w:t>
            </w:r>
          </w:p>
        </w:tc>
      </w:tr>
    </w:tbl>
    <w:p>
      <w:pPr>
        <w:pStyle w:val="Style17"/>
        <w:spacing w:lineRule="auto" w:line="12" w:before="0" w:after="0"/>
        <w:jc w:val="center"/>
        <w:rPr>
          <w:sz w:val="28"/>
          <w:szCs w:val="28"/>
        </w:rPr>
      </w:pPr>
      <w:r>
        <w:rPr>
          <w:sz w:val="28"/>
          <w:szCs w:val="28"/>
        </w:rPr>
      </w:r>
    </w:p>
    <w:tbl>
      <w:tblPr>
        <w:tblW w:w="5000" w:type="pct"/>
        <w:jc w:val="left"/>
        <w:tblInd w:w="-57" w:type="dxa"/>
        <w:tblCellMar>
          <w:top w:w="0" w:type="dxa"/>
          <w:left w:w="57" w:type="dxa"/>
          <w:bottom w:w="0" w:type="dxa"/>
          <w:right w:w="57" w:type="dxa"/>
        </w:tblCellMar>
        <w:tblLook w:firstRow="1" w:noVBand="0" w:lastRow="1" w:firstColumn="1" w:lastColumn="1" w:noHBand="0" w:val="01e0"/>
      </w:tblPr>
      <w:tblGrid>
        <w:gridCol w:w="2264"/>
        <w:gridCol w:w="852"/>
        <w:gridCol w:w="851"/>
        <w:gridCol w:w="715"/>
        <w:gridCol w:w="703"/>
        <w:gridCol w:w="711"/>
        <w:gridCol w:w="852"/>
        <w:gridCol w:w="711"/>
        <w:gridCol w:w="710"/>
        <w:gridCol w:w="708"/>
        <w:gridCol w:w="842"/>
      </w:tblGrid>
      <w:tr>
        <w:trPr>
          <w:tblHeader w:val="true"/>
          <w:trHeight w:val="20" w:hRule="atLeast"/>
        </w:trPr>
        <w:tc>
          <w:tcPr>
            <w:tcW w:w="226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1</w:t>
            </w:r>
          </w:p>
        </w:tc>
        <w:tc>
          <w:tcPr>
            <w:tcW w:w="85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2</w:t>
            </w:r>
          </w:p>
        </w:tc>
        <w:tc>
          <w:tcPr>
            <w:tcW w:w="85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3</w:t>
            </w:r>
          </w:p>
        </w:tc>
        <w:tc>
          <w:tcPr>
            <w:tcW w:w="71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4</w:t>
            </w:r>
          </w:p>
        </w:tc>
        <w:tc>
          <w:tcPr>
            <w:tcW w:w="70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5</w:t>
            </w:r>
          </w:p>
        </w:tc>
        <w:tc>
          <w:tcPr>
            <w:tcW w:w="71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6</w:t>
            </w:r>
          </w:p>
        </w:tc>
        <w:tc>
          <w:tcPr>
            <w:tcW w:w="85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7</w:t>
            </w:r>
          </w:p>
        </w:tc>
        <w:tc>
          <w:tcPr>
            <w:tcW w:w="71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8</w:t>
            </w:r>
          </w:p>
        </w:tc>
        <w:tc>
          <w:tcPr>
            <w:tcW w:w="71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9</w:t>
            </w:r>
          </w:p>
        </w:tc>
        <w:tc>
          <w:tcPr>
            <w:tcW w:w="70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10</w:t>
            </w:r>
          </w:p>
        </w:tc>
        <w:tc>
          <w:tcPr>
            <w:tcW w:w="84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11</w:t>
            </w:r>
          </w:p>
        </w:tc>
      </w:tr>
      <w:tr>
        <w:trPr>
          <w:trHeight w:val="20" w:hRule="atLeast"/>
        </w:trPr>
        <w:tc>
          <w:tcPr>
            <w:tcW w:w="226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с. Катенино</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717</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727</w:t>
            </w:r>
          </w:p>
        </w:tc>
        <w:tc>
          <w:tcPr>
            <w:tcW w:w="715"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719</w:t>
            </w:r>
          </w:p>
        </w:tc>
        <w:tc>
          <w:tcPr>
            <w:tcW w:w="703"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709</w:t>
            </w:r>
          </w:p>
        </w:tc>
        <w:tc>
          <w:tcPr>
            <w:tcW w:w="71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703</w:t>
            </w:r>
          </w:p>
        </w:tc>
        <w:tc>
          <w:tcPr>
            <w:tcW w:w="85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sz w:val="20"/>
                <w:szCs w:val="20"/>
              </w:rPr>
            </w:pPr>
            <w:r>
              <w:rPr>
                <w:sz w:val="20"/>
                <w:szCs w:val="20"/>
              </w:rPr>
              <w:t>693</w:t>
            </w:r>
          </w:p>
        </w:tc>
        <w:tc>
          <w:tcPr>
            <w:tcW w:w="71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693</w:t>
            </w:r>
          </w:p>
        </w:tc>
        <w:tc>
          <w:tcPr>
            <w:tcW w:w="710"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696</w:t>
            </w:r>
          </w:p>
        </w:tc>
        <w:tc>
          <w:tcPr>
            <w:tcW w:w="708" w:type="dxa"/>
            <w:tcBorders>
              <w:top w:val="single" w:sz="8" w:space="0" w:color="000000"/>
              <w:bottom w:val="single" w:sz="8" w:space="0" w:color="000000"/>
              <w:right w:val="single" w:sz="8" w:space="0" w:color="000000"/>
            </w:tcBorders>
            <w:shd w:color="auto" w:fill="auto" w:val="clear"/>
            <w:vAlign w:val="center"/>
          </w:tcPr>
          <w:p>
            <w:pPr>
              <w:pStyle w:val="Normal"/>
              <w:spacing w:lineRule="auto" w:line="240"/>
              <w:jc w:val="center"/>
              <w:rPr>
                <w:sz w:val="20"/>
                <w:szCs w:val="20"/>
              </w:rPr>
            </w:pPr>
            <w:r>
              <w:rPr>
                <w:color w:val="000000"/>
                <w:sz w:val="20"/>
                <w:szCs w:val="20"/>
              </w:rPr>
              <w:t>656</w:t>
            </w:r>
          </w:p>
        </w:tc>
        <w:tc>
          <w:tcPr>
            <w:tcW w:w="84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rFonts w:eastAsia="Times New Roman"/>
                <w:sz w:val="20"/>
                <w:szCs w:val="20"/>
                <w:lang w:eastAsia="ru-RU"/>
              </w:rPr>
              <w:t>720</w:t>
            </w:r>
          </w:p>
        </w:tc>
      </w:tr>
      <w:tr>
        <w:trPr>
          <w:trHeight w:val="20" w:hRule="atLeast"/>
        </w:trPr>
        <w:tc>
          <w:tcPr>
            <w:tcW w:w="226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 Караоба</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145</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140</w:t>
            </w:r>
          </w:p>
        </w:tc>
        <w:tc>
          <w:tcPr>
            <w:tcW w:w="715"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145</w:t>
            </w:r>
          </w:p>
        </w:tc>
        <w:tc>
          <w:tcPr>
            <w:tcW w:w="703"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143</w:t>
            </w:r>
          </w:p>
        </w:tc>
        <w:tc>
          <w:tcPr>
            <w:tcW w:w="71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140</w:t>
            </w:r>
          </w:p>
        </w:tc>
        <w:tc>
          <w:tcPr>
            <w:tcW w:w="85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sz w:val="20"/>
                <w:szCs w:val="20"/>
              </w:rPr>
            </w:pPr>
            <w:r>
              <w:rPr>
                <w:sz w:val="20"/>
                <w:szCs w:val="20"/>
              </w:rPr>
              <w:t>140</w:t>
            </w:r>
          </w:p>
        </w:tc>
        <w:tc>
          <w:tcPr>
            <w:tcW w:w="71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142</w:t>
            </w:r>
          </w:p>
        </w:tc>
        <w:tc>
          <w:tcPr>
            <w:tcW w:w="710"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140</w:t>
            </w:r>
          </w:p>
        </w:tc>
        <w:tc>
          <w:tcPr>
            <w:tcW w:w="708" w:type="dxa"/>
            <w:tcBorders>
              <w:bottom w:val="single" w:sz="8" w:space="0" w:color="000000"/>
              <w:right w:val="single" w:sz="8" w:space="0" w:color="000000"/>
            </w:tcBorders>
            <w:shd w:color="auto" w:fill="auto" w:val="clear"/>
            <w:vAlign w:val="center"/>
          </w:tcPr>
          <w:p>
            <w:pPr>
              <w:pStyle w:val="Normal"/>
              <w:spacing w:lineRule="auto" w:line="240"/>
              <w:jc w:val="center"/>
              <w:rPr>
                <w:sz w:val="20"/>
                <w:szCs w:val="20"/>
              </w:rPr>
            </w:pPr>
            <w:r>
              <w:rPr>
                <w:color w:val="000000"/>
                <w:sz w:val="20"/>
                <w:szCs w:val="20"/>
              </w:rPr>
              <w:t>126</w:t>
            </w:r>
          </w:p>
        </w:tc>
        <w:tc>
          <w:tcPr>
            <w:tcW w:w="84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rFonts w:eastAsia="Times New Roman"/>
                <w:sz w:val="20"/>
                <w:szCs w:val="20"/>
                <w:lang w:eastAsia="ru-RU"/>
              </w:rPr>
              <w:t>99</w:t>
            </w:r>
          </w:p>
        </w:tc>
      </w:tr>
      <w:tr>
        <w:trPr>
          <w:trHeight w:val="20" w:hRule="atLeast"/>
        </w:trPr>
        <w:tc>
          <w:tcPr>
            <w:tcW w:w="226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 Комсомольский</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235</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225</w:t>
            </w:r>
          </w:p>
        </w:tc>
        <w:tc>
          <w:tcPr>
            <w:tcW w:w="715"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235</w:t>
            </w:r>
          </w:p>
        </w:tc>
        <w:tc>
          <w:tcPr>
            <w:tcW w:w="703"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235</w:t>
            </w:r>
          </w:p>
        </w:tc>
        <w:tc>
          <w:tcPr>
            <w:tcW w:w="71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230</w:t>
            </w:r>
          </w:p>
        </w:tc>
        <w:tc>
          <w:tcPr>
            <w:tcW w:w="85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sz w:val="20"/>
                <w:szCs w:val="20"/>
              </w:rPr>
            </w:pPr>
            <w:r>
              <w:rPr>
                <w:sz w:val="20"/>
                <w:szCs w:val="20"/>
              </w:rPr>
              <w:t>219</w:t>
            </w:r>
          </w:p>
        </w:tc>
        <w:tc>
          <w:tcPr>
            <w:tcW w:w="71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222</w:t>
            </w:r>
          </w:p>
        </w:tc>
        <w:tc>
          <w:tcPr>
            <w:tcW w:w="710"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220</w:t>
            </w:r>
          </w:p>
        </w:tc>
        <w:tc>
          <w:tcPr>
            <w:tcW w:w="708" w:type="dxa"/>
            <w:tcBorders>
              <w:bottom w:val="single" w:sz="8" w:space="0" w:color="000000"/>
              <w:right w:val="single" w:sz="8" w:space="0" w:color="000000"/>
            </w:tcBorders>
            <w:shd w:color="auto" w:fill="auto" w:val="clear"/>
            <w:vAlign w:val="center"/>
          </w:tcPr>
          <w:p>
            <w:pPr>
              <w:pStyle w:val="Normal"/>
              <w:spacing w:lineRule="auto" w:line="240"/>
              <w:jc w:val="center"/>
              <w:rPr>
                <w:sz w:val="20"/>
                <w:szCs w:val="20"/>
              </w:rPr>
            </w:pPr>
            <w:r>
              <w:rPr>
                <w:color w:val="000000"/>
                <w:sz w:val="20"/>
                <w:szCs w:val="20"/>
              </w:rPr>
              <w:t>206</w:t>
            </w:r>
          </w:p>
        </w:tc>
        <w:tc>
          <w:tcPr>
            <w:tcW w:w="84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rFonts w:eastAsia="Times New Roman"/>
                <w:sz w:val="20"/>
                <w:szCs w:val="20"/>
                <w:lang w:eastAsia="ru-RU"/>
              </w:rPr>
              <w:t>180</w:t>
            </w:r>
          </w:p>
        </w:tc>
      </w:tr>
      <w:tr>
        <w:trPr>
          <w:trHeight w:val="20" w:hRule="atLeast"/>
        </w:trPr>
        <w:tc>
          <w:tcPr>
            <w:tcW w:w="226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 Красноармейский</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238</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230</w:t>
            </w:r>
          </w:p>
        </w:tc>
        <w:tc>
          <w:tcPr>
            <w:tcW w:w="715"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238</w:t>
            </w:r>
          </w:p>
        </w:tc>
        <w:tc>
          <w:tcPr>
            <w:tcW w:w="703"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229</w:t>
            </w:r>
          </w:p>
        </w:tc>
        <w:tc>
          <w:tcPr>
            <w:tcW w:w="71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218</w:t>
            </w:r>
          </w:p>
        </w:tc>
        <w:tc>
          <w:tcPr>
            <w:tcW w:w="85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sz w:val="20"/>
                <w:szCs w:val="20"/>
              </w:rPr>
            </w:pPr>
            <w:r>
              <w:rPr>
                <w:sz w:val="20"/>
                <w:szCs w:val="20"/>
              </w:rPr>
              <w:t>210</w:t>
            </w:r>
          </w:p>
        </w:tc>
        <w:tc>
          <w:tcPr>
            <w:tcW w:w="71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210</w:t>
            </w:r>
          </w:p>
        </w:tc>
        <w:tc>
          <w:tcPr>
            <w:tcW w:w="710"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sz w:val="20"/>
                <w:szCs w:val="20"/>
              </w:rPr>
              <w:t>210</w:t>
            </w:r>
          </w:p>
        </w:tc>
        <w:tc>
          <w:tcPr>
            <w:tcW w:w="708" w:type="dxa"/>
            <w:tcBorders>
              <w:bottom w:val="single" w:sz="8" w:space="0" w:color="000000"/>
              <w:right w:val="single" w:sz="8" w:space="0" w:color="000000"/>
            </w:tcBorders>
            <w:shd w:color="auto" w:fill="auto" w:val="clear"/>
            <w:vAlign w:val="center"/>
          </w:tcPr>
          <w:p>
            <w:pPr>
              <w:pStyle w:val="Normal"/>
              <w:spacing w:lineRule="auto" w:line="240"/>
              <w:jc w:val="center"/>
              <w:rPr>
                <w:sz w:val="20"/>
                <w:szCs w:val="20"/>
              </w:rPr>
            </w:pPr>
            <w:r>
              <w:rPr>
                <w:color w:val="000000"/>
                <w:sz w:val="20"/>
                <w:szCs w:val="20"/>
              </w:rPr>
              <w:t>195</w:t>
            </w:r>
          </w:p>
        </w:tc>
        <w:tc>
          <w:tcPr>
            <w:tcW w:w="84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sz w:val="20"/>
                <w:szCs w:val="20"/>
              </w:rPr>
            </w:pPr>
            <w:r>
              <w:rPr>
                <w:rFonts w:eastAsia="Times New Roman"/>
                <w:sz w:val="20"/>
                <w:szCs w:val="20"/>
                <w:lang w:eastAsia="ru-RU"/>
              </w:rPr>
              <w:t>198</w:t>
            </w:r>
          </w:p>
        </w:tc>
      </w:tr>
      <w:tr>
        <w:trPr>
          <w:trHeight w:val="20" w:hRule="atLeast"/>
        </w:trPr>
        <w:tc>
          <w:tcPr>
            <w:tcW w:w="226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b/>
                <w:b/>
                <w:sz w:val="20"/>
                <w:szCs w:val="20"/>
              </w:rPr>
            </w:pPr>
            <w:r>
              <w:rPr>
                <w:b/>
                <w:sz w:val="20"/>
                <w:szCs w:val="20"/>
              </w:rPr>
              <w:t>Итого</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1335</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1322</w:t>
            </w:r>
          </w:p>
        </w:tc>
        <w:tc>
          <w:tcPr>
            <w:tcW w:w="715"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1337</w:t>
            </w:r>
          </w:p>
        </w:tc>
        <w:tc>
          <w:tcPr>
            <w:tcW w:w="703"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1316</w:t>
            </w:r>
          </w:p>
        </w:tc>
        <w:tc>
          <w:tcPr>
            <w:tcW w:w="71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1291</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1262</w:t>
            </w:r>
          </w:p>
        </w:tc>
        <w:tc>
          <w:tcPr>
            <w:tcW w:w="71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 xml:space="preserve">1267 </w:t>
            </w:r>
          </w:p>
        </w:tc>
        <w:tc>
          <w:tcPr>
            <w:tcW w:w="710"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1265</w:t>
            </w:r>
          </w:p>
        </w:tc>
        <w:tc>
          <w:tcPr>
            <w:tcW w:w="708"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1183</w:t>
            </w:r>
          </w:p>
        </w:tc>
        <w:tc>
          <w:tcPr>
            <w:tcW w:w="84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1197</w:t>
            </w:r>
          </w:p>
        </w:tc>
      </w:tr>
    </w:tbl>
    <w:p>
      <w:pPr>
        <w:pStyle w:val="Style24"/>
        <w:spacing w:lineRule="auto" w:line="276" w:before="120" w:after="0"/>
        <w:ind w:hanging="0"/>
        <w:jc w:val="right"/>
        <w:rPr>
          <w:rFonts w:eastAsia="Calibri" w:eastAsiaTheme="minorHAnsi"/>
          <w:szCs w:val="24"/>
        </w:rPr>
      </w:pPr>
      <w:r>
        <w:rPr/>
        <w:t>Рисунок 3.3.1</w:t>
      </w:r>
    </w:p>
    <w:p>
      <w:pPr>
        <w:pStyle w:val="Normal"/>
        <w:spacing w:lineRule="auto" w:line="276"/>
        <w:jc w:val="center"/>
        <w:rPr>
          <w:highlight w:val="white"/>
        </w:rPr>
      </w:pPr>
      <w:r>
        <w:rPr>
          <w:shd w:fill="FFFFFF" w:val="clear"/>
        </w:rPr>
        <w:t xml:space="preserve">Демографические тенденции </w:t>
      </w:r>
      <w:r>
        <w:rPr>
          <w:szCs w:val="24"/>
        </w:rPr>
        <w:t>Катенинского сельского поселения</w:t>
      </w:r>
      <w:r>
        <w:rPr>
          <w:shd w:fill="FFFFFF" w:val="clear"/>
        </w:rPr>
        <w:t>, человек до 2023 года</w:t>
      </w:r>
    </w:p>
    <w:p>
      <w:pPr>
        <w:pStyle w:val="Normal"/>
        <w:spacing w:lineRule="auto" w:line="300"/>
        <w:jc w:val="center"/>
        <w:rPr>
          <w:rFonts w:eastAsia="Times New Roman"/>
          <w:szCs w:val="24"/>
          <w:lang w:eastAsia="ru-RU"/>
        </w:rPr>
      </w:pPr>
      <w:r>
        <w:rPr/>
        <w:drawing>
          <wp:inline distT="0" distB="0" distL="0" distR="0">
            <wp:extent cx="5486400" cy="3200400"/>
            <wp:effectExtent l="0" t="0" r="0" b="0"/>
            <wp:docPr id="8" name=""/>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pPr>
        <w:pStyle w:val="Style25"/>
        <w:spacing w:lineRule="auto" w:line="276" w:before="120" w:after="200"/>
        <w:rPr>
          <w:rFonts w:eastAsia="Calibri"/>
          <w:spacing w:val="0"/>
          <w:sz w:val="24"/>
          <w:szCs w:val="24"/>
          <w:lang w:eastAsia="en-US"/>
        </w:rPr>
      </w:pPr>
      <w:bookmarkStart w:id="63" w:name="_Toc69297532"/>
      <w:bookmarkStart w:id="64" w:name="_Toc494398041"/>
      <w:bookmarkStart w:id="65" w:name="_Toc468200559"/>
      <w:bookmarkStart w:id="66" w:name="_Toc467150773"/>
      <w:bookmarkStart w:id="67" w:name="_Toc286845405"/>
      <w:bookmarkEnd w:id="63"/>
      <w:bookmarkEnd w:id="64"/>
      <w:bookmarkEnd w:id="65"/>
      <w:bookmarkEnd w:id="66"/>
      <w:bookmarkEnd w:id="67"/>
      <w:r>
        <w:rPr>
          <w:rFonts w:eastAsia="Calibri"/>
          <w:spacing w:val="0"/>
          <w:sz w:val="24"/>
          <w:szCs w:val="24"/>
          <w:lang w:eastAsia="en-US"/>
        </w:rPr>
        <w:t xml:space="preserve">Среди причин смертности в поселении ведущими остаются болезни органов кровообращения, несчастные случаи, травмы и отравления, онкологические заболевания. В целом структуру причин смертности населения в муниципальном образовании отличает более высокий уровень мужской смертности, потерь от несчастных случаев. </w:t>
      </w:r>
    </w:p>
    <w:p>
      <w:pPr>
        <w:pStyle w:val="Style25"/>
        <w:spacing w:lineRule="auto" w:line="276"/>
        <w:rPr>
          <w:rFonts w:eastAsia="Calibri"/>
          <w:spacing w:val="0"/>
          <w:sz w:val="24"/>
          <w:szCs w:val="24"/>
          <w:lang w:eastAsia="en-US"/>
        </w:rPr>
      </w:pPr>
      <w:r>
        <w:rPr>
          <w:rFonts w:eastAsia="Calibri"/>
          <w:spacing w:val="0"/>
          <w:sz w:val="24"/>
          <w:szCs w:val="24"/>
          <w:lang w:eastAsia="en-US"/>
        </w:rPr>
        <w:t>На динамику смертности населения оказывают влияние: старение населения, низкий уровень здоровья населения репродуктивного возраста, ухудшение качества здоровья новорожденных, рост числа социально обусловленных заболеваний (туберкулез, алкоголизм, наркомания, травмы и другие).</w:t>
      </w:r>
    </w:p>
    <w:p>
      <w:pPr>
        <w:pStyle w:val="Style25"/>
        <w:spacing w:lineRule="auto" w:line="276"/>
        <w:rPr>
          <w:rFonts w:eastAsia="Calibri"/>
          <w:spacing w:val="0"/>
          <w:sz w:val="24"/>
          <w:szCs w:val="24"/>
          <w:lang w:eastAsia="en-US"/>
        </w:rPr>
      </w:pPr>
      <w:r>
        <w:rPr>
          <w:rFonts w:eastAsia="Calibri"/>
          <w:spacing w:val="0"/>
          <w:sz w:val="24"/>
          <w:szCs w:val="24"/>
          <w:lang w:eastAsia="en-US"/>
        </w:rPr>
        <w:t xml:space="preserve">В среднесрочном периоде в объеме миграционных потоков не ожидаются значительные колебания, но отток населения будет наблюдаться. Подобная ситуация связана с выездом населения в крупные экономические центры Российской Федерации с более мягкими климатическими условиями, широким спектром возможностей профессиональной самореализации, обеспечивающий достаточный уровень доходов. Также одной из причин выезда является получение молодым населением образования, а в дальнейшем молодые люди, создав семью, остаются на постоянное проживание в другой местности. </w:t>
      </w:r>
    </w:p>
    <w:p>
      <w:pPr>
        <w:pStyle w:val="Style25"/>
        <w:spacing w:lineRule="auto" w:line="276"/>
        <w:rPr>
          <w:spacing w:val="0"/>
          <w:sz w:val="24"/>
          <w:szCs w:val="24"/>
        </w:rPr>
      </w:pPr>
      <w:r>
        <w:rPr>
          <w:spacing w:val="0"/>
          <w:sz w:val="24"/>
          <w:szCs w:val="24"/>
        </w:rPr>
        <w:t>Важным фактором демографического поведения населения является наличие жилья в местах традиционного расселения. Если предусмотреть стабильные источники доходов, то можно прогнозировать укрепление института семьи, повышение брачности и рост рождаемости в данном сельском поселении.</w:t>
      </w:r>
    </w:p>
    <w:p>
      <w:pPr>
        <w:pStyle w:val="Normal"/>
        <w:spacing w:lineRule="auto" w:line="276"/>
        <w:ind w:firstLine="709"/>
        <w:rPr>
          <w:szCs w:val="24"/>
        </w:rPr>
      </w:pPr>
      <w:r>
        <w:rPr>
          <w:szCs w:val="24"/>
        </w:rPr>
        <w:t>Одним из существенных факторов, влияющих на динамику демографических показателей, является состояние здоровья населения.</w:t>
      </w:r>
    </w:p>
    <w:p>
      <w:pPr>
        <w:pStyle w:val="Normal"/>
        <w:spacing w:lineRule="auto" w:line="276"/>
        <w:ind w:firstLine="709"/>
        <w:rPr>
          <w:szCs w:val="24"/>
        </w:rPr>
      </w:pPr>
      <w:r>
        <w:rPr>
          <w:szCs w:val="24"/>
        </w:rPr>
        <w:t>К факторам, воздействующим на состояние здоровья населения, относятся уровень благосостояния населения, образ жизни граждан, уровень развития здравоохранения, организация поддержки социально уязвимых групп населения, развитие физической культуры, спорта и отдыха.</w:t>
      </w:r>
    </w:p>
    <w:p>
      <w:pPr>
        <w:pStyle w:val="Normal"/>
        <w:spacing w:lineRule="auto" w:line="276"/>
        <w:ind w:firstLine="709"/>
        <w:rPr>
          <w:szCs w:val="24"/>
        </w:rPr>
      </w:pPr>
      <w:r>
        <w:rPr>
          <w:szCs w:val="24"/>
        </w:rPr>
        <w:t xml:space="preserve">Решение обозначенного круга вопросов в значительной степени находится в рамках компетенции местного самоуправления. </w:t>
      </w:r>
    </w:p>
    <w:p>
      <w:pPr>
        <w:pStyle w:val="Normal"/>
        <w:spacing w:lineRule="auto" w:line="276"/>
        <w:ind w:firstLine="709"/>
        <w:rPr>
          <w:szCs w:val="24"/>
        </w:rPr>
      </w:pPr>
      <w:r>
        <w:rPr>
          <w:szCs w:val="24"/>
        </w:rPr>
        <w:t>Проект учитывает все возможные предпосылки для преодоления кризиса в экономике, курс государства на стимулирование рождаемости, рост продолжительности жизни, а также на расширение миграционного обмена как внутри страны, так и со стороны ближнего и дальнего зарубежья.</w:t>
      </w:r>
    </w:p>
    <w:p>
      <w:pPr>
        <w:pStyle w:val="0212161"/>
        <w:rPr>
          <w:rFonts w:eastAsia="Calibri" w:eastAsiaTheme="minorHAnsi"/>
          <w:szCs w:val="24"/>
        </w:rPr>
      </w:pPr>
      <w:bookmarkStart w:id="68" w:name="_Toc69297532"/>
      <w:bookmarkStart w:id="69" w:name="_Toc494398041"/>
      <w:bookmarkStart w:id="70" w:name="_Toc468200559"/>
      <w:bookmarkStart w:id="71" w:name="_Toc467150773"/>
      <w:bookmarkStart w:id="72" w:name="_Toc286845405"/>
      <w:bookmarkStart w:id="73" w:name="_Toc182210457"/>
      <w:bookmarkStart w:id="74" w:name="_Toc80890997"/>
      <w:bookmarkStart w:id="75" w:name="_Toc494398040"/>
      <w:bookmarkStart w:id="76" w:name="_Toc468200558"/>
      <w:bookmarkStart w:id="77" w:name="_Toc467150772"/>
      <w:bookmarkEnd w:id="68"/>
      <w:bookmarkEnd w:id="69"/>
      <w:bookmarkEnd w:id="70"/>
      <w:bookmarkEnd w:id="71"/>
      <w:bookmarkEnd w:id="72"/>
      <w:r>
        <w:rPr/>
        <w:t>3.2 Рынок труда и перспективы его развития</w:t>
      </w:r>
      <w:bookmarkEnd w:id="73"/>
      <w:bookmarkEnd w:id="74"/>
      <w:bookmarkEnd w:id="75"/>
      <w:bookmarkEnd w:id="76"/>
      <w:bookmarkEnd w:id="77"/>
    </w:p>
    <w:p>
      <w:pPr>
        <w:pStyle w:val="Style26"/>
        <w:spacing w:lineRule="auto" w:line="276"/>
        <w:rPr>
          <w:rFonts w:eastAsia="Calibri"/>
        </w:rPr>
      </w:pPr>
      <w:r>
        <w:rPr>
          <w:rFonts w:eastAsia="Calibri"/>
        </w:rPr>
        <w:t xml:space="preserve">Основным источником обеспечения благосостояния населения муниципального образования является развитый рынок приложения труда, предлагающий населению возможность реализации своих профессиональных знаний и навыков и получения материального вознаграждения, соответствующего качеству и количеству затраченного труда. </w:t>
      </w:r>
    </w:p>
    <w:p>
      <w:pPr>
        <w:pStyle w:val="Normal"/>
        <w:spacing w:lineRule="auto" w:line="276"/>
        <w:ind w:firstLine="709"/>
        <w:rPr>
          <w:szCs w:val="24"/>
        </w:rPr>
      </w:pPr>
      <w:r>
        <w:rPr>
          <w:szCs w:val="24"/>
        </w:rPr>
        <w:t>Трудовые ресурсы являются одним из главных факторов развития территории. К основным показателям, характеризующим состояние рынка труда, относятся: общая численность экономически активного населения, в нем доля занятого в экономике; уровень регистрируемой и общей безработицы; структура занятых по отраслям экономики.</w:t>
      </w:r>
    </w:p>
    <w:p>
      <w:pPr>
        <w:pStyle w:val="Normal"/>
        <w:spacing w:lineRule="auto" w:line="276"/>
        <w:ind w:firstLine="709"/>
        <w:rPr>
          <w:szCs w:val="24"/>
        </w:rPr>
      </w:pPr>
      <w:r>
        <w:rPr>
          <w:szCs w:val="24"/>
        </w:rPr>
        <w:t>Трудовые ресурсы — экономическая категория, характеризующая население, обладающее физическими и интеллектуальными способностями к трудовой деятельности, то есть работающая и неработающая, но трудоспособная часть населения.</w:t>
      </w:r>
    </w:p>
    <w:p>
      <w:pPr>
        <w:pStyle w:val="Normal"/>
        <w:spacing w:lineRule="auto" w:line="276"/>
        <w:ind w:firstLine="709"/>
        <w:rPr>
          <w:szCs w:val="24"/>
        </w:rPr>
      </w:pPr>
      <w:r>
        <w:rPr>
          <w:szCs w:val="24"/>
        </w:rPr>
        <w:t>В состав трудовых ресурсов включаются:</w:t>
      </w:r>
    </w:p>
    <w:p>
      <w:pPr>
        <w:pStyle w:val="ListParagraph"/>
        <w:numPr>
          <w:ilvl w:val="2"/>
          <w:numId w:val="6"/>
        </w:numPr>
        <w:tabs>
          <w:tab w:val="clear" w:pos="708"/>
          <w:tab w:val="left" w:pos="709" w:leader="none"/>
        </w:tabs>
        <w:spacing w:before="0" w:after="0"/>
        <w:ind w:left="0" w:firstLine="426"/>
        <w:contextualSpacing/>
        <w:jc w:val="both"/>
        <w:rPr>
          <w:rFonts w:ascii="Times New Roman" w:hAnsi="Times New Roman"/>
          <w:sz w:val="24"/>
          <w:szCs w:val="24"/>
        </w:rPr>
      </w:pPr>
      <w:r>
        <w:rPr>
          <w:sz w:val="24"/>
          <w:szCs w:val="24"/>
        </w:rPr>
        <w:t>трудоспособное население в трудоспособном возрасте;</w:t>
      </w:r>
    </w:p>
    <w:p>
      <w:pPr>
        <w:pStyle w:val="ListParagraph"/>
        <w:numPr>
          <w:ilvl w:val="2"/>
          <w:numId w:val="6"/>
        </w:numPr>
        <w:tabs>
          <w:tab w:val="clear" w:pos="708"/>
          <w:tab w:val="left" w:pos="709" w:leader="none"/>
        </w:tabs>
        <w:spacing w:before="0" w:after="0"/>
        <w:ind w:left="0" w:firstLine="426"/>
        <w:contextualSpacing/>
        <w:jc w:val="both"/>
        <w:rPr>
          <w:rFonts w:ascii="Times New Roman" w:hAnsi="Times New Roman"/>
          <w:sz w:val="24"/>
          <w:szCs w:val="24"/>
        </w:rPr>
      </w:pPr>
      <w:r>
        <w:rPr>
          <w:sz w:val="24"/>
          <w:szCs w:val="24"/>
        </w:rPr>
        <w:t>иностранные трудовые мигранты (иностранные граждане, временно пребывающие в Российской Федерации и осуществляющие в установленном порядке трудовую деятельность);</w:t>
      </w:r>
    </w:p>
    <w:p>
      <w:pPr>
        <w:pStyle w:val="ListParagraph"/>
        <w:numPr>
          <w:ilvl w:val="2"/>
          <w:numId w:val="6"/>
        </w:numPr>
        <w:tabs>
          <w:tab w:val="clear" w:pos="708"/>
          <w:tab w:val="left" w:pos="709" w:leader="none"/>
        </w:tabs>
        <w:spacing w:before="0" w:after="0"/>
        <w:ind w:left="0" w:firstLine="426"/>
        <w:contextualSpacing/>
        <w:jc w:val="both"/>
        <w:rPr>
          <w:rFonts w:ascii="Times New Roman" w:hAnsi="Times New Roman"/>
          <w:sz w:val="24"/>
          <w:szCs w:val="24"/>
        </w:rPr>
      </w:pPr>
      <w:r>
        <w:rPr>
          <w:sz w:val="24"/>
          <w:szCs w:val="24"/>
        </w:rPr>
        <w:t>работающие лица старших возрастов (мужчины в возрасте 61,5 лет и старше, женщины в возрасте 56,5 лет и старше) и подростки (лица до 16 лет), занятые в экономике.</w:t>
      </w:r>
    </w:p>
    <w:p>
      <w:pPr>
        <w:pStyle w:val="Normal"/>
        <w:spacing w:lineRule="auto" w:line="276"/>
        <w:ind w:firstLine="709"/>
        <w:rPr>
          <w:szCs w:val="24"/>
        </w:rPr>
      </w:pPr>
      <w:r>
        <w:rPr>
          <w:szCs w:val="24"/>
        </w:rPr>
        <w:t>Численность населения в трудоспособном возрасте включает численность женщин в возрасте 16–56,5 лет и мужчин в возрасте 16–61,5 лет, постоянно проживающих на данной территории на начало отчетного года.</w:t>
      </w:r>
    </w:p>
    <w:p>
      <w:pPr>
        <w:pStyle w:val="Normal"/>
        <w:widowControl w:val="false"/>
        <w:spacing w:lineRule="auto" w:line="276"/>
        <w:ind w:firstLine="709"/>
        <w:rPr>
          <w:b/>
          <w:b/>
          <w:szCs w:val="24"/>
        </w:rPr>
      </w:pPr>
      <w:r>
        <w:rPr>
          <w:b/>
          <w:szCs w:val="24"/>
        </w:rPr>
        <w:t>Выводы</w:t>
      </w:r>
    </w:p>
    <w:p>
      <w:pPr>
        <w:pStyle w:val="Normal"/>
        <w:widowControl w:val="false"/>
        <w:spacing w:lineRule="auto" w:line="276"/>
        <w:ind w:firstLine="709"/>
        <w:rPr>
          <w:szCs w:val="24"/>
        </w:rPr>
      </w:pPr>
      <w:r>
        <w:rPr>
          <w:szCs w:val="24"/>
        </w:rPr>
        <w:t xml:space="preserve">Таким образом, на начало 2023 года в Катенинском сельском поселении сложилась стабильно убывающая демографическая ситуация с меняющимися показателями естественного прироста из года в год. </w:t>
      </w:r>
    </w:p>
    <w:p>
      <w:pPr>
        <w:pStyle w:val="Normal"/>
        <w:widowControl w:val="false"/>
        <w:spacing w:lineRule="auto" w:line="276"/>
        <w:ind w:firstLine="709"/>
        <w:rPr>
          <w:szCs w:val="24"/>
        </w:rPr>
      </w:pPr>
      <w:r>
        <w:rPr>
          <w:szCs w:val="24"/>
        </w:rPr>
        <w:t>Положительная стабильность может быть достигнута за счет предложений по развитию сфер социально-культурной инфраструктуры, увеличения жилого фонда за счет незастроенных земель, а также выявления основных проблем Катенинского сельского поселения.</w:t>
      </w:r>
    </w:p>
    <w:p>
      <w:pPr>
        <w:pStyle w:val="0212161"/>
        <w:rPr>
          <w:rFonts w:eastAsia="Calibri" w:eastAsiaTheme="minorHAnsi"/>
          <w:szCs w:val="24"/>
        </w:rPr>
      </w:pPr>
      <w:bookmarkStart w:id="78" w:name="_Toc182210458"/>
      <w:bookmarkStart w:id="79" w:name="_Toc80890998"/>
      <w:r>
        <w:rPr/>
        <w:t>3.3 Демографический прогноз</w:t>
      </w:r>
      <w:bookmarkEnd w:id="78"/>
      <w:bookmarkEnd w:id="79"/>
    </w:p>
    <w:p>
      <w:pPr>
        <w:pStyle w:val="Normal"/>
        <w:spacing w:lineRule="auto" w:line="276"/>
        <w:ind w:firstLine="709"/>
        <w:rPr>
          <w:szCs w:val="24"/>
        </w:rPr>
      </w:pPr>
      <w:r>
        <w:rPr>
          <w:szCs w:val="24"/>
        </w:rPr>
        <w:t>На основе анализа мониторинга численности населения в Катенинском сельском поселении</w:t>
      </w:r>
      <w:r>
        <w:rPr>
          <w:rStyle w:val="Annotationreference"/>
          <w:sz w:val="24"/>
          <w:szCs w:val="24"/>
        </w:rPr>
        <w:t xml:space="preserve"> </w:t>
      </w:r>
      <w:r>
        <w:rPr>
          <w:rFonts w:eastAsia="Times New Roman"/>
          <w:szCs w:val="24"/>
          <w:lang w:eastAsia="ru-RU"/>
        </w:rPr>
        <w:t>Варненского</w:t>
      </w:r>
      <w:r>
        <w:rPr>
          <w:szCs w:val="24"/>
        </w:rPr>
        <w:t xml:space="preserve"> муниципального района в целом, за период 2011–2023 годов был подготовлен прогноз численности населения сельского поселения на период до 2044 года. В качестве базового периода был установлен показатель численности населения муниципального образования на начало 2033 года.</w:t>
      </w:r>
    </w:p>
    <w:p>
      <w:pPr>
        <w:pStyle w:val="Normal"/>
        <w:spacing w:lineRule="auto" w:line="276"/>
        <w:ind w:firstLine="709"/>
        <w:rPr>
          <w:szCs w:val="24"/>
        </w:rPr>
      </w:pPr>
      <w:r>
        <w:rPr>
          <w:szCs w:val="24"/>
        </w:rPr>
        <w:t>Проектом учитываются негативные и позитивные факторы, оказывающие влияние на численность постоянного населения.</w:t>
      </w:r>
    </w:p>
    <w:p>
      <w:pPr>
        <w:pStyle w:val="Normal"/>
        <w:spacing w:lineRule="auto" w:line="276"/>
        <w:ind w:firstLine="709"/>
        <w:rPr>
          <w:szCs w:val="24"/>
        </w:rPr>
      </w:pPr>
      <w:r>
        <w:rPr>
          <w:szCs w:val="24"/>
        </w:rPr>
        <w:t>Расчетная численность населения Катенинского сельского поселения в разрезе населенных пунктов представлена в таблице 3.3.4.</w:t>
      </w:r>
    </w:p>
    <w:p>
      <w:pPr>
        <w:pStyle w:val="Normal"/>
        <w:spacing w:lineRule="auto" w:line="276"/>
        <w:ind w:firstLine="709"/>
        <w:jc w:val="right"/>
        <w:rPr>
          <w:szCs w:val="24"/>
        </w:rPr>
      </w:pPr>
      <w:r>
        <w:rPr>
          <w:szCs w:val="24"/>
        </w:rPr>
        <w:t>Таблица 3.3.4</w:t>
      </w:r>
    </w:p>
    <w:p>
      <w:pPr>
        <w:pStyle w:val="Normal"/>
        <w:spacing w:lineRule="auto" w:line="276"/>
        <w:jc w:val="center"/>
        <w:rPr>
          <w:szCs w:val="24"/>
        </w:rPr>
      </w:pPr>
      <w:r>
        <w:rPr>
          <w:szCs w:val="24"/>
        </w:rPr>
        <w:t>Расчетная численность населения Катенинского сельского поселения в разрезе населенных пунктов</w:t>
      </w:r>
    </w:p>
    <w:tbl>
      <w:tblPr>
        <w:tblStyle w:val="2f9"/>
        <w:tblW w:w="4950" w:type="pct"/>
        <w:jc w:val="left"/>
        <w:tblInd w:w="-108" w:type="dxa"/>
        <w:tblCellMar>
          <w:top w:w="0" w:type="dxa"/>
          <w:left w:w="108" w:type="dxa"/>
          <w:bottom w:w="0" w:type="dxa"/>
          <w:right w:w="108" w:type="dxa"/>
        </w:tblCellMar>
        <w:tblLook w:firstRow="1" w:noVBand="0" w:lastRow="1" w:firstColumn="1" w:lastColumn="1" w:noHBand="0" w:val="01e0"/>
      </w:tblPr>
      <w:tblGrid>
        <w:gridCol w:w="2113"/>
        <w:gridCol w:w="2"/>
        <w:gridCol w:w="2679"/>
        <w:gridCol w:w="6"/>
        <w:gridCol w:w="2534"/>
        <w:gridCol w:w="8"/>
        <w:gridCol w:w="2478"/>
      </w:tblGrid>
      <w:tr>
        <w:trPr>
          <w:trHeight w:val="26" w:hRule="atLeast"/>
        </w:trPr>
        <w:tc>
          <w:tcPr>
            <w:tcW w:w="2115" w:type="dxa"/>
            <w:gridSpan w:val="2"/>
            <w:tcBorders/>
            <w:vAlign w:val="center"/>
          </w:tcPr>
          <w:p>
            <w:pPr>
              <w:pStyle w:val="Normal"/>
              <w:spacing w:lineRule="auto" w:line="240"/>
              <w:jc w:val="center"/>
              <w:rPr>
                <w:b/>
                <w:b/>
                <w:sz w:val="20"/>
                <w:szCs w:val="20"/>
              </w:rPr>
            </w:pPr>
            <w:r>
              <w:rPr>
                <w:b/>
                <w:sz w:val="20"/>
                <w:szCs w:val="20"/>
                <w:lang w:eastAsia="en-US"/>
              </w:rPr>
              <w:t>Наименование населенного пункта</w:t>
            </w:r>
          </w:p>
        </w:tc>
        <w:tc>
          <w:tcPr>
            <w:tcW w:w="2685" w:type="dxa"/>
            <w:gridSpan w:val="2"/>
            <w:tcBorders/>
            <w:vAlign w:val="center"/>
          </w:tcPr>
          <w:p>
            <w:pPr>
              <w:pStyle w:val="Normal"/>
              <w:spacing w:lineRule="auto" w:line="240"/>
              <w:jc w:val="center"/>
              <w:rPr>
                <w:b/>
                <w:b/>
                <w:sz w:val="20"/>
                <w:szCs w:val="20"/>
              </w:rPr>
            </w:pPr>
            <w:r>
              <w:rPr>
                <w:b/>
                <w:sz w:val="20"/>
                <w:szCs w:val="20"/>
                <w:lang w:eastAsia="en-US"/>
              </w:rPr>
              <w:t xml:space="preserve">Существующее положение, </w:t>
              <w:br/>
              <w:t>2024 год</w:t>
            </w:r>
          </w:p>
        </w:tc>
        <w:tc>
          <w:tcPr>
            <w:tcW w:w="2542" w:type="dxa"/>
            <w:gridSpan w:val="2"/>
            <w:tcBorders/>
            <w:vAlign w:val="center"/>
          </w:tcPr>
          <w:p>
            <w:pPr>
              <w:pStyle w:val="Normal"/>
              <w:spacing w:lineRule="auto" w:line="240"/>
              <w:jc w:val="center"/>
              <w:rPr>
                <w:b/>
                <w:b/>
                <w:sz w:val="20"/>
                <w:szCs w:val="20"/>
              </w:rPr>
            </w:pPr>
            <w:r>
              <w:rPr>
                <w:b/>
                <w:bCs/>
                <w:sz w:val="20"/>
                <w:szCs w:val="20"/>
                <w:lang w:eastAsia="en-US"/>
              </w:rPr>
              <w:t>Численность населения на конец 2034 года</w:t>
            </w:r>
          </w:p>
        </w:tc>
        <w:tc>
          <w:tcPr>
            <w:tcW w:w="2478" w:type="dxa"/>
            <w:tcBorders/>
            <w:vAlign w:val="center"/>
          </w:tcPr>
          <w:p>
            <w:pPr>
              <w:pStyle w:val="Normal"/>
              <w:spacing w:lineRule="auto" w:line="240"/>
              <w:jc w:val="center"/>
              <w:rPr>
                <w:b/>
                <w:b/>
                <w:sz w:val="20"/>
                <w:szCs w:val="20"/>
              </w:rPr>
            </w:pPr>
            <w:r>
              <w:rPr>
                <w:b/>
                <w:bCs/>
                <w:sz w:val="20"/>
                <w:szCs w:val="20"/>
                <w:lang w:eastAsia="en-US"/>
              </w:rPr>
              <w:t>Численность населения на конец 2044 года</w:t>
            </w:r>
          </w:p>
        </w:tc>
      </w:tr>
      <w:tr>
        <w:trPr>
          <w:trHeight w:val="81" w:hRule="atLeast"/>
        </w:trPr>
        <w:tc>
          <w:tcPr>
            <w:tcW w:w="2113" w:type="dxa"/>
            <w:tcBorders/>
            <w:shd w:color="auto" w:fill="auto" w:val="clear"/>
            <w:vAlign w:val="center"/>
          </w:tcPr>
          <w:p>
            <w:pPr>
              <w:pStyle w:val="Normal"/>
              <w:spacing w:lineRule="auto" w:line="240"/>
              <w:jc w:val="center"/>
              <w:rPr>
                <w:b/>
                <w:b/>
                <w:sz w:val="20"/>
                <w:szCs w:val="20"/>
              </w:rPr>
            </w:pPr>
            <w:r>
              <w:rPr>
                <w:b/>
                <w:sz w:val="20"/>
                <w:szCs w:val="20"/>
                <w:lang w:eastAsia="en-US"/>
              </w:rPr>
              <w:t>1</w:t>
            </w:r>
          </w:p>
        </w:tc>
        <w:tc>
          <w:tcPr>
            <w:tcW w:w="2681" w:type="dxa"/>
            <w:gridSpan w:val="2"/>
            <w:tcBorders/>
            <w:shd w:color="auto" w:fill="auto" w:val="clear"/>
            <w:vAlign w:val="center"/>
          </w:tcPr>
          <w:p>
            <w:pPr>
              <w:pStyle w:val="Normal"/>
              <w:spacing w:lineRule="auto" w:line="240"/>
              <w:jc w:val="center"/>
              <w:rPr>
                <w:b/>
                <w:b/>
                <w:sz w:val="20"/>
                <w:szCs w:val="20"/>
              </w:rPr>
            </w:pPr>
            <w:r>
              <w:rPr>
                <w:b/>
                <w:sz w:val="20"/>
                <w:szCs w:val="20"/>
                <w:lang w:eastAsia="en-US"/>
              </w:rPr>
              <w:t>2</w:t>
            </w:r>
          </w:p>
        </w:tc>
        <w:tc>
          <w:tcPr>
            <w:tcW w:w="2540" w:type="dxa"/>
            <w:gridSpan w:val="2"/>
            <w:tcBorders/>
            <w:shd w:color="auto" w:fill="auto" w:val="clear"/>
          </w:tcPr>
          <w:p>
            <w:pPr>
              <w:pStyle w:val="Normal"/>
              <w:spacing w:lineRule="auto" w:line="240"/>
              <w:jc w:val="center"/>
              <w:rPr>
                <w:b/>
                <w:b/>
                <w:sz w:val="20"/>
                <w:szCs w:val="20"/>
              </w:rPr>
            </w:pPr>
            <w:r>
              <w:rPr>
                <w:b/>
                <w:sz w:val="20"/>
                <w:szCs w:val="20"/>
                <w:lang w:eastAsia="en-US"/>
              </w:rPr>
              <w:t>3</w:t>
            </w:r>
          </w:p>
        </w:tc>
        <w:tc>
          <w:tcPr>
            <w:tcW w:w="2486" w:type="dxa"/>
            <w:gridSpan w:val="2"/>
            <w:tcBorders/>
            <w:shd w:color="auto" w:fill="auto" w:val="clear"/>
            <w:vAlign w:val="center"/>
          </w:tcPr>
          <w:p>
            <w:pPr>
              <w:pStyle w:val="Normal"/>
              <w:spacing w:lineRule="auto" w:line="240"/>
              <w:jc w:val="center"/>
              <w:rPr>
                <w:b/>
                <w:b/>
                <w:sz w:val="20"/>
                <w:szCs w:val="20"/>
              </w:rPr>
            </w:pPr>
            <w:r>
              <w:rPr>
                <w:b/>
                <w:sz w:val="20"/>
                <w:szCs w:val="20"/>
                <w:lang w:eastAsia="en-US"/>
              </w:rPr>
              <w:t>4</w:t>
            </w:r>
          </w:p>
        </w:tc>
      </w:tr>
      <w:tr>
        <w:trPr>
          <w:trHeight w:val="22" w:hRule="atLeast"/>
        </w:trPr>
        <w:tc>
          <w:tcPr>
            <w:tcW w:w="2113" w:type="dxa"/>
            <w:tcBorders/>
            <w:shd w:color="auto" w:fill="auto" w:val="clear"/>
          </w:tcPr>
          <w:p>
            <w:pPr>
              <w:pStyle w:val="Normal"/>
              <w:spacing w:lineRule="auto" w:line="240"/>
              <w:jc w:val="left"/>
              <w:rPr>
                <w:sz w:val="20"/>
                <w:szCs w:val="20"/>
              </w:rPr>
            </w:pPr>
            <w:r>
              <w:rPr>
                <w:sz w:val="20"/>
                <w:szCs w:val="20"/>
                <w:lang w:eastAsia="en-US"/>
              </w:rPr>
              <w:t>с. Катенино</w:t>
            </w:r>
          </w:p>
        </w:tc>
        <w:tc>
          <w:tcPr>
            <w:tcW w:w="2681" w:type="dxa"/>
            <w:gridSpan w:val="2"/>
            <w:tcBorders/>
            <w:vAlign w:val="center"/>
          </w:tcPr>
          <w:p>
            <w:pPr>
              <w:pStyle w:val="Normal"/>
              <w:spacing w:lineRule="auto" w:line="240"/>
              <w:jc w:val="center"/>
              <w:rPr>
                <w:sz w:val="20"/>
                <w:szCs w:val="20"/>
              </w:rPr>
            </w:pPr>
            <w:r>
              <w:rPr>
                <w:rFonts w:eastAsia="Times New Roman"/>
                <w:sz w:val="20"/>
                <w:szCs w:val="20"/>
                <w:lang w:eastAsia="ru-RU"/>
              </w:rPr>
              <w:t>720</w:t>
            </w:r>
          </w:p>
        </w:tc>
        <w:tc>
          <w:tcPr>
            <w:tcW w:w="2540" w:type="dxa"/>
            <w:gridSpan w:val="2"/>
            <w:tcBorders/>
            <w:shd w:color="auto" w:fill="auto" w:val="clear"/>
          </w:tcPr>
          <w:p>
            <w:pPr>
              <w:pStyle w:val="Normal"/>
              <w:spacing w:lineRule="auto" w:line="240"/>
              <w:jc w:val="center"/>
              <w:rPr>
                <w:sz w:val="20"/>
                <w:szCs w:val="20"/>
              </w:rPr>
            </w:pPr>
            <w:r>
              <w:rPr>
                <w:sz w:val="20"/>
                <w:szCs w:val="20"/>
                <w:lang w:eastAsia="en-US"/>
              </w:rPr>
              <w:t>914</w:t>
            </w:r>
          </w:p>
        </w:tc>
        <w:tc>
          <w:tcPr>
            <w:tcW w:w="2486" w:type="dxa"/>
            <w:gridSpan w:val="2"/>
            <w:tcBorders/>
            <w:shd w:color="auto" w:fill="auto" w:val="clear"/>
            <w:vAlign w:val="bottom"/>
          </w:tcPr>
          <w:p>
            <w:pPr>
              <w:pStyle w:val="Normal"/>
              <w:spacing w:lineRule="auto" w:line="240"/>
              <w:jc w:val="center"/>
              <w:rPr>
                <w:sz w:val="20"/>
                <w:szCs w:val="20"/>
              </w:rPr>
            </w:pPr>
            <w:r>
              <w:rPr>
                <w:sz w:val="20"/>
                <w:szCs w:val="20"/>
                <w:lang w:eastAsia="en-US"/>
              </w:rPr>
              <w:t>930</w:t>
            </w:r>
          </w:p>
        </w:tc>
      </w:tr>
      <w:tr>
        <w:trPr>
          <w:trHeight w:val="22" w:hRule="atLeast"/>
        </w:trPr>
        <w:tc>
          <w:tcPr>
            <w:tcW w:w="2113" w:type="dxa"/>
            <w:tcBorders/>
            <w:shd w:color="auto" w:fill="auto" w:val="clear"/>
          </w:tcPr>
          <w:p>
            <w:pPr>
              <w:pStyle w:val="Normal"/>
              <w:spacing w:lineRule="auto" w:line="240"/>
              <w:jc w:val="left"/>
              <w:rPr>
                <w:sz w:val="20"/>
                <w:szCs w:val="20"/>
              </w:rPr>
            </w:pPr>
            <w:r>
              <w:rPr>
                <w:sz w:val="20"/>
                <w:szCs w:val="20"/>
                <w:lang w:eastAsia="en-US"/>
              </w:rPr>
              <w:t>п. Караоба</w:t>
            </w:r>
          </w:p>
        </w:tc>
        <w:tc>
          <w:tcPr>
            <w:tcW w:w="2681" w:type="dxa"/>
            <w:gridSpan w:val="2"/>
            <w:tcBorders/>
            <w:vAlign w:val="center"/>
          </w:tcPr>
          <w:p>
            <w:pPr>
              <w:pStyle w:val="Normal"/>
              <w:spacing w:lineRule="auto" w:line="240"/>
              <w:jc w:val="center"/>
              <w:rPr>
                <w:sz w:val="20"/>
                <w:szCs w:val="20"/>
              </w:rPr>
            </w:pPr>
            <w:r>
              <w:rPr>
                <w:rFonts w:eastAsia="Times New Roman"/>
                <w:sz w:val="20"/>
                <w:szCs w:val="20"/>
                <w:lang w:eastAsia="ru-RU"/>
              </w:rPr>
              <w:t>99</w:t>
            </w:r>
          </w:p>
        </w:tc>
        <w:tc>
          <w:tcPr>
            <w:tcW w:w="2540" w:type="dxa"/>
            <w:gridSpan w:val="2"/>
            <w:tcBorders/>
            <w:shd w:color="auto" w:fill="auto" w:val="clear"/>
          </w:tcPr>
          <w:p>
            <w:pPr>
              <w:pStyle w:val="Normal"/>
              <w:spacing w:lineRule="auto" w:line="240"/>
              <w:jc w:val="center"/>
              <w:rPr>
                <w:sz w:val="20"/>
                <w:szCs w:val="20"/>
              </w:rPr>
            </w:pPr>
            <w:r>
              <w:rPr>
                <w:sz w:val="20"/>
                <w:szCs w:val="20"/>
                <w:lang w:eastAsia="en-US"/>
              </w:rPr>
              <w:t>130</w:t>
            </w:r>
          </w:p>
        </w:tc>
        <w:tc>
          <w:tcPr>
            <w:tcW w:w="2486" w:type="dxa"/>
            <w:gridSpan w:val="2"/>
            <w:tcBorders/>
            <w:shd w:color="auto" w:fill="auto" w:val="clear"/>
            <w:vAlign w:val="bottom"/>
          </w:tcPr>
          <w:p>
            <w:pPr>
              <w:pStyle w:val="Normal"/>
              <w:spacing w:lineRule="auto" w:line="240"/>
              <w:jc w:val="center"/>
              <w:rPr>
                <w:sz w:val="20"/>
                <w:szCs w:val="20"/>
              </w:rPr>
            </w:pPr>
            <w:r>
              <w:rPr>
                <w:sz w:val="20"/>
                <w:szCs w:val="20"/>
                <w:lang w:eastAsia="en-US"/>
              </w:rPr>
              <w:t>140</w:t>
            </w:r>
          </w:p>
        </w:tc>
      </w:tr>
      <w:tr>
        <w:trPr>
          <w:trHeight w:val="22" w:hRule="atLeast"/>
        </w:trPr>
        <w:tc>
          <w:tcPr>
            <w:tcW w:w="2113" w:type="dxa"/>
            <w:tcBorders/>
            <w:shd w:color="auto" w:fill="auto" w:val="clear"/>
          </w:tcPr>
          <w:p>
            <w:pPr>
              <w:pStyle w:val="Normal"/>
              <w:spacing w:lineRule="auto" w:line="240"/>
              <w:jc w:val="left"/>
              <w:rPr>
                <w:sz w:val="20"/>
                <w:szCs w:val="20"/>
              </w:rPr>
            </w:pPr>
            <w:r>
              <w:rPr>
                <w:sz w:val="20"/>
                <w:szCs w:val="20"/>
                <w:lang w:eastAsia="en-US"/>
              </w:rPr>
              <w:t>п. Комсомольский</w:t>
            </w:r>
          </w:p>
        </w:tc>
        <w:tc>
          <w:tcPr>
            <w:tcW w:w="2681" w:type="dxa"/>
            <w:gridSpan w:val="2"/>
            <w:tcBorders/>
            <w:vAlign w:val="center"/>
          </w:tcPr>
          <w:p>
            <w:pPr>
              <w:pStyle w:val="Normal"/>
              <w:spacing w:lineRule="auto" w:line="240"/>
              <w:jc w:val="center"/>
              <w:rPr>
                <w:sz w:val="20"/>
                <w:szCs w:val="20"/>
              </w:rPr>
            </w:pPr>
            <w:r>
              <w:rPr>
                <w:rFonts w:eastAsia="Times New Roman"/>
                <w:sz w:val="20"/>
                <w:szCs w:val="20"/>
                <w:lang w:eastAsia="ru-RU"/>
              </w:rPr>
              <w:t>180</w:t>
            </w:r>
          </w:p>
        </w:tc>
        <w:tc>
          <w:tcPr>
            <w:tcW w:w="2540" w:type="dxa"/>
            <w:gridSpan w:val="2"/>
            <w:tcBorders/>
            <w:shd w:color="auto" w:fill="auto" w:val="clear"/>
          </w:tcPr>
          <w:p>
            <w:pPr>
              <w:pStyle w:val="Normal"/>
              <w:spacing w:lineRule="auto" w:line="240"/>
              <w:jc w:val="center"/>
              <w:rPr>
                <w:sz w:val="20"/>
                <w:szCs w:val="20"/>
              </w:rPr>
            </w:pPr>
            <w:r>
              <w:rPr>
                <w:sz w:val="20"/>
                <w:szCs w:val="20"/>
                <w:lang w:eastAsia="en-US"/>
              </w:rPr>
              <w:t>213</w:t>
            </w:r>
          </w:p>
        </w:tc>
        <w:tc>
          <w:tcPr>
            <w:tcW w:w="2486" w:type="dxa"/>
            <w:gridSpan w:val="2"/>
            <w:tcBorders/>
            <w:shd w:color="auto" w:fill="auto" w:val="clear"/>
            <w:vAlign w:val="bottom"/>
          </w:tcPr>
          <w:p>
            <w:pPr>
              <w:pStyle w:val="Normal"/>
              <w:spacing w:lineRule="auto" w:line="240"/>
              <w:jc w:val="center"/>
              <w:rPr>
                <w:sz w:val="20"/>
                <w:szCs w:val="20"/>
              </w:rPr>
            </w:pPr>
            <w:r>
              <w:rPr>
                <w:sz w:val="20"/>
                <w:szCs w:val="20"/>
                <w:lang w:eastAsia="en-US"/>
              </w:rPr>
              <w:t>228</w:t>
            </w:r>
          </w:p>
        </w:tc>
      </w:tr>
      <w:tr>
        <w:trPr>
          <w:trHeight w:val="22" w:hRule="atLeast"/>
        </w:trPr>
        <w:tc>
          <w:tcPr>
            <w:tcW w:w="2113" w:type="dxa"/>
            <w:tcBorders/>
            <w:shd w:color="auto" w:fill="auto" w:val="clear"/>
          </w:tcPr>
          <w:p>
            <w:pPr>
              <w:pStyle w:val="Normal"/>
              <w:spacing w:lineRule="auto" w:line="240"/>
              <w:jc w:val="left"/>
              <w:rPr>
                <w:sz w:val="20"/>
                <w:szCs w:val="20"/>
              </w:rPr>
            </w:pPr>
            <w:r>
              <w:rPr>
                <w:sz w:val="20"/>
                <w:szCs w:val="20"/>
                <w:lang w:eastAsia="en-US"/>
              </w:rPr>
              <w:t>п. Красноармейский</w:t>
            </w:r>
          </w:p>
        </w:tc>
        <w:tc>
          <w:tcPr>
            <w:tcW w:w="2681" w:type="dxa"/>
            <w:gridSpan w:val="2"/>
            <w:tcBorders/>
            <w:vAlign w:val="center"/>
          </w:tcPr>
          <w:p>
            <w:pPr>
              <w:pStyle w:val="Normal"/>
              <w:spacing w:lineRule="auto" w:line="240"/>
              <w:jc w:val="center"/>
              <w:rPr>
                <w:sz w:val="20"/>
                <w:szCs w:val="20"/>
              </w:rPr>
            </w:pPr>
            <w:r>
              <w:rPr>
                <w:rFonts w:eastAsia="Times New Roman"/>
                <w:sz w:val="20"/>
                <w:szCs w:val="20"/>
                <w:lang w:eastAsia="ru-RU"/>
              </w:rPr>
              <w:t>198</w:t>
            </w:r>
          </w:p>
        </w:tc>
        <w:tc>
          <w:tcPr>
            <w:tcW w:w="2540" w:type="dxa"/>
            <w:gridSpan w:val="2"/>
            <w:tcBorders/>
            <w:shd w:color="auto" w:fill="auto" w:val="clear"/>
          </w:tcPr>
          <w:p>
            <w:pPr>
              <w:pStyle w:val="Normal"/>
              <w:spacing w:lineRule="auto" w:line="240"/>
              <w:jc w:val="center"/>
              <w:rPr>
                <w:sz w:val="20"/>
                <w:szCs w:val="20"/>
              </w:rPr>
            </w:pPr>
            <w:r>
              <w:rPr>
                <w:sz w:val="20"/>
                <w:szCs w:val="20"/>
                <w:lang w:eastAsia="en-US"/>
              </w:rPr>
              <w:t>220</w:t>
            </w:r>
          </w:p>
        </w:tc>
        <w:tc>
          <w:tcPr>
            <w:tcW w:w="2486" w:type="dxa"/>
            <w:gridSpan w:val="2"/>
            <w:tcBorders/>
            <w:shd w:color="auto" w:fill="auto" w:val="clear"/>
            <w:vAlign w:val="bottom"/>
          </w:tcPr>
          <w:p>
            <w:pPr>
              <w:pStyle w:val="Normal"/>
              <w:spacing w:lineRule="auto" w:line="240"/>
              <w:jc w:val="center"/>
              <w:rPr>
                <w:sz w:val="20"/>
                <w:szCs w:val="20"/>
              </w:rPr>
            </w:pPr>
            <w:r>
              <w:rPr>
                <w:sz w:val="20"/>
                <w:szCs w:val="20"/>
                <w:lang w:eastAsia="en-US"/>
              </w:rPr>
              <w:t>228</w:t>
            </w:r>
          </w:p>
        </w:tc>
      </w:tr>
      <w:tr>
        <w:trPr>
          <w:trHeight w:val="22" w:hRule="atLeast"/>
        </w:trPr>
        <w:tc>
          <w:tcPr>
            <w:tcW w:w="2113" w:type="dxa"/>
            <w:tcBorders/>
            <w:shd w:color="auto" w:fill="auto" w:val="clear"/>
          </w:tcPr>
          <w:p>
            <w:pPr>
              <w:pStyle w:val="Normal"/>
              <w:spacing w:lineRule="auto" w:line="240"/>
              <w:jc w:val="left"/>
              <w:rPr>
                <w:b/>
                <w:b/>
                <w:sz w:val="20"/>
                <w:szCs w:val="20"/>
              </w:rPr>
            </w:pPr>
            <w:r>
              <w:rPr>
                <w:b/>
                <w:sz w:val="20"/>
                <w:szCs w:val="20"/>
                <w:lang w:eastAsia="en-US"/>
              </w:rPr>
              <w:t>Всего населения</w:t>
            </w:r>
          </w:p>
        </w:tc>
        <w:tc>
          <w:tcPr>
            <w:tcW w:w="2681" w:type="dxa"/>
            <w:gridSpan w:val="2"/>
            <w:tcBorders/>
            <w:vAlign w:val="center"/>
          </w:tcPr>
          <w:p>
            <w:pPr>
              <w:pStyle w:val="Normal"/>
              <w:spacing w:lineRule="auto" w:line="240"/>
              <w:jc w:val="center"/>
              <w:rPr>
                <w:b/>
                <w:b/>
                <w:sz w:val="20"/>
                <w:szCs w:val="20"/>
              </w:rPr>
            </w:pPr>
            <w:r>
              <w:rPr>
                <w:b/>
                <w:sz w:val="20"/>
                <w:szCs w:val="20"/>
                <w:lang w:eastAsia="en-US"/>
              </w:rPr>
              <w:t>1197</w:t>
            </w:r>
          </w:p>
        </w:tc>
        <w:tc>
          <w:tcPr>
            <w:tcW w:w="2540" w:type="dxa"/>
            <w:gridSpan w:val="2"/>
            <w:tcBorders/>
            <w:shd w:color="auto" w:fill="auto" w:val="clear"/>
          </w:tcPr>
          <w:p>
            <w:pPr>
              <w:pStyle w:val="Normal"/>
              <w:tabs>
                <w:tab w:val="clear" w:pos="708"/>
                <w:tab w:val="left" w:pos="765" w:leader="none"/>
                <w:tab w:val="center" w:pos="955" w:leader="none"/>
              </w:tabs>
              <w:spacing w:lineRule="auto" w:line="240"/>
              <w:jc w:val="center"/>
              <w:rPr>
                <w:b/>
                <w:b/>
                <w:sz w:val="20"/>
                <w:szCs w:val="20"/>
              </w:rPr>
            </w:pPr>
            <w:r>
              <w:rPr>
                <w:b/>
                <w:sz w:val="20"/>
                <w:szCs w:val="20"/>
                <w:lang w:eastAsia="en-US"/>
              </w:rPr>
              <w:t>1477</w:t>
            </w:r>
          </w:p>
        </w:tc>
        <w:tc>
          <w:tcPr>
            <w:tcW w:w="2486" w:type="dxa"/>
            <w:gridSpan w:val="2"/>
            <w:tcBorders/>
            <w:shd w:color="auto" w:fill="auto" w:val="clear"/>
          </w:tcPr>
          <w:p>
            <w:pPr>
              <w:pStyle w:val="Normal"/>
              <w:spacing w:lineRule="auto" w:line="240"/>
              <w:jc w:val="center"/>
              <w:rPr>
                <w:b/>
                <w:b/>
                <w:sz w:val="20"/>
                <w:szCs w:val="20"/>
              </w:rPr>
            </w:pPr>
            <w:r>
              <w:rPr>
                <w:b/>
                <w:sz w:val="20"/>
                <w:szCs w:val="20"/>
                <w:lang w:eastAsia="en-US"/>
              </w:rPr>
              <w:t>1526</w:t>
            </w:r>
          </w:p>
        </w:tc>
      </w:tr>
    </w:tbl>
    <w:p>
      <w:pPr>
        <w:pStyle w:val="Normal"/>
        <w:spacing w:lineRule="auto" w:line="276" w:before="120" w:after="200"/>
        <w:ind w:firstLine="709"/>
        <w:rPr>
          <w:bCs/>
          <w:iCs/>
          <w:szCs w:val="24"/>
          <w:highlight w:val="white"/>
        </w:rPr>
      </w:pPr>
      <w:r>
        <w:rPr>
          <w:bCs/>
          <w:iCs/>
          <w:szCs w:val="24"/>
          <w:shd w:fill="FFFFFF" w:val="clear"/>
        </w:rPr>
        <w:t xml:space="preserve">Учитывая среднегодовые отклонения показателей увеличения (уменьшения) численности населения, как точки привлечения производственных сил, </w:t>
      </w:r>
      <w:r>
        <w:rPr>
          <w:szCs w:val="24"/>
          <w:shd w:fill="FFFFFF" w:val="clear"/>
        </w:rPr>
        <w:t>рассматривая динамику численности населения, как результат изменения ее составляющих — чисел рождений, смертей и сальдо миграции. Их прогноз осуществляется на основе разработки сценарных переменных. Для рождаемости это показатели среднего возраста матери при рождении ребенка и суммарного коэффициента рождаемости, для смертности — ожидаемой продолжительности жизни при рождении и младенческой смертности. Эти показатели задаются на каждый год прогнозного периода и непосредственно для прогнозных расчетов преобразуются в возрастные коэффициенты рождаемости и смертности.</w:t>
      </w:r>
    </w:p>
    <w:p>
      <w:pPr>
        <w:pStyle w:val="Normal"/>
        <w:spacing w:lineRule="auto" w:line="276"/>
        <w:ind w:firstLine="709"/>
        <w:rPr>
          <w:szCs w:val="24"/>
          <w:highlight w:val="white"/>
        </w:rPr>
      </w:pPr>
      <w:r>
        <w:rPr>
          <w:szCs w:val="24"/>
          <w:shd w:fill="FFFFFF" w:val="clear"/>
        </w:rPr>
        <w:t>Численность населения сельского поселения будет расти за счет положительного естественного прироста и миграционных процессов. Этому способствуют более благоприятные в экономическом отношении условия проживания, миграция из других регионов.</w:t>
      </w:r>
    </w:p>
    <w:p>
      <w:pPr>
        <w:pStyle w:val="Normal"/>
        <w:spacing w:lineRule="auto" w:line="276"/>
        <w:ind w:firstLine="709"/>
        <w:rPr>
          <w:szCs w:val="24"/>
          <w:highlight w:val="white"/>
        </w:rPr>
      </w:pPr>
      <w:r>
        <w:rPr>
          <w:szCs w:val="24"/>
          <w:shd w:fill="FFFFFF" w:val="clear"/>
        </w:rPr>
        <w:t>Реализация социальной политики должна быть направлена на улучшение демографических показателей — повышение рождаемости, снижение показателей смертности, увеличение продолжительности жизни и создание условий для закрепления населения на территории сельского поселения.</w:t>
      </w:r>
    </w:p>
    <w:p>
      <w:pPr>
        <w:pStyle w:val="Normal"/>
        <w:spacing w:lineRule="auto" w:line="276"/>
        <w:ind w:firstLine="709"/>
        <w:rPr>
          <w:szCs w:val="24"/>
          <w:highlight w:val="white"/>
        </w:rPr>
      </w:pPr>
      <w:r>
        <w:rPr>
          <w:szCs w:val="24"/>
          <w:shd w:fill="FFFFFF" w:val="clear"/>
        </w:rPr>
        <w:t xml:space="preserve">Среди приоритетных направлений в сфере демографической политики в муниципальном образовании должны быть следующие: </w:t>
      </w:r>
    </w:p>
    <w:p>
      <w:pPr>
        <w:pStyle w:val="ListParagraph"/>
        <w:numPr>
          <w:ilvl w:val="0"/>
          <w:numId w:val="7"/>
        </w:numPr>
        <w:spacing w:before="0" w:after="0"/>
        <w:ind w:left="0" w:firstLine="425"/>
        <w:contextualSpacing/>
        <w:jc w:val="both"/>
        <w:rPr>
          <w:rFonts w:ascii="Times New Roman" w:hAnsi="Times New Roman"/>
          <w:sz w:val="24"/>
          <w:szCs w:val="24"/>
          <w:highlight w:val="white"/>
        </w:rPr>
      </w:pPr>
      <w:r>
        <w:rPr>
          <w:sz w:val="24"/>
          <w:szCs w:val="24"/>
          <w:shd w:fill="FFFFFF" w:val="clear"/>
        </w:rPr>
        <w:t>разработка и реализация мер непрямого воздействия на негативные демографические процессы (кризис института семьи, снижение качества жизни населения, снижение рождаемости, рост смертности, низкая продолжительность жизни и тому подобное);</w:t>
      </w:r>
    </w:p>
    <w:p>
      <w:pPr>
        <w:pStyle w:val="ListParagraph"/>
        <w:numPr>
          <w:ilvl w:val="0"/>
          <w:numId w:val="7"/>
        </w:numPr>
        <w:spacing w:before="0" w:after="0"/>
        <w:ind w:left="0" w:firstLine="425"/>
        <w:contextualSpacing/>
        <w:jc w:val="both"/>
        <w:rPr>
          <w:rFonts w:ascii="Times New Roman" w:hAnsi="Times New Roman"/>
          <w:sz w:val="24"/>
          <w:szCs w:val="24"/>
          <w:highlight w:val="white"/>
        </w:rPr>
      </w:pPr>
      <w:r>
        <w:rPr>
          <w:sz w:val="24"/>
          <w:szCs w:val="24"/>
          <w:shd w:fill="FFFFFF" w:val="clear"/>
        </w:rPr>
        <w:t>снижение влияния кризисных экономических явлений (снижение уровня жизни, рост безработицы, рост платных услуг и тому подобное) на тенденции демографического развития поселения.</w:t>
      </w:r>
    </w:p>
    <w:p>
      <w:pPr>
        <w:pStyle w:val="Normal"/>
        <w:spacing w:lineRule="auto" w:line="276"/>
        <w:ind w:firstLine="709"/>
        <w:rPr>
          <w:szCs w:val="24"/>
          <w:highlight w:val="white"/>
        </w:rPr>
      </w:pPr>
      <w:r>
        <w:rPr>
          <w:szCs w:val="24"/>
          <w:shd w:fill="FFFFFF" w:val="clear"/>
        </w:rPr>
        <w:t>Необходимым фактором роста численности населения является развитие экономики, обеспечение доступности и качества транспортных услуг для населения, увеличение инвестиционной привлекательности территории, стимулирование предпринимательской и инновационной активности для повышения уровня доходов и качества жизни населения.</w:t>
      </w:r>
    </w:p>
    <w:p>
      <w:pPr>
        <w:pStyle w:val="Normal"/>
        <w:spacing w:lineRule="auto" w:line="276"/>
        <w:ind w:firstLine="709"/>
        <w:rPr>
          <w:szCs w:val="24"/>
          <w:highlight w:val="white"/>
        </w:rPr>
      </w:pPr>
      <w:r>
        <w:rPr>
          <w:szCs w:val="24"/>
          <w:shd w:fill="FFFFFF" w:val="clear"/>
        </w:rPr>
        <w:t>Уровень естественного прироста на перспективу во многом будет зависеть от реализации целевых программ: федеральных, областных, а также мероприятий, которые должны быть осуществлены администрацией района и сельского поселения для решения демографических проблем.</w:t>
      </w:r>
    </w:p>
    <w:p>
      <w:pPr>
        <w:sectPr>
          <w:headerReference w:type="default" r:id="rId66"/>
          <w:footerReference w:type="default" r:id="rId67"/>
          <w:type w:val="nextPage"/>
          <w:pgSz w:w="11906" w:h="16838"/>
          <w:pgMar w:left="1418" w:right="567" w:header="567" w:top="1134" w:footer="567" w:bottom="1134" w:gutter="0"/>
          <w:pgNumType w:fmt="decimal"/>
          <w:formProt w:val="false"/>
          <w:textDirection w:val="lrTb"/>
          <w:docGrid w:type="default" w:linePitch="600" w:charSpace="32768"/>
        </w:sectPr>
        <w:pStyle w:val="Normal"/>
        <w:spacing w:lineRule="auto" w:line="276"/>
        <w:rPr>
          <w:szCs w:val="24"/>
          <w:lang w:eastAsia="ru-RU"/>
        </w:rPr>
      </w:pPr>
      <w:r>
        <w:rPr>
          <w:szCs w:val="24"/>
          <w:lang w:eastAsia="ru-RU"/>
        </w:rPr>
      </w:r>
    </w:p>
    <w:p>
      <w:pPr>
        <w:pStyle w:val="0212164"/>
        <w:rPr>
          <w:szCs w:val="24"/>
          <w:lang w:eastAsia="ru-RU"/>
        </w:rPr>
      </w:pPr>
      <w:bookmarkStart w:id="80" w:name="_Toc182210459"/>
      <w:bookmarkStart w:id="81" w:name="_Toc69297534"/>
      <w:r>
        <w:rPr/>
        <w:t>ГЛАВА 4. ЖИЛИЩНЫЙ ФОНД</w:t>
      </w:r>
      <w:bookmarkEnd w:id="80"/>
      <w:bookmarkEnd w:id="81"/>
    </w:p>
    <w:p>
      <w:pPr>
        <w:pStyle w:val="0212161"/>
        <w:rPr>
          <w:rFonts w:eastAsia="Tahoma"/>
        </w:rPr>
      </w:pPr>
      <w:bookmarkStart w:id="82" w:name="_Toc182210460"/>
      <w:r>
        <w:rPr>
          <w:rFonts w:eastAsia="Tahoma"/>
        </w:rPr>
        <w:t xml:space="preserve">4.1 </w:t>
      </w:r>
      <w:r>
        <w:rPr/>
        <w:t>Анализ</w:t>
      </w:r>
      <w:r>
        <w:rPr>
          <w:rFonts w:eastAsia="Tahoma"/>
        </w:rPr>
        <w:t xml:space="preserve"> </w:t>
      </w:r>
      <w:r>
        <w:rPr/>
        <w:t>существующего</w:t>
      </w:r>
      <w:r>
        <w:rPr>
          <w:rFonts w:eastAsia="Tahoma"/>
        </w:rPr>
        <w:t xml:space="preserve"> состояния</w:t>
      </w:r>
      <w:bookmarkEnd w:id="82"/>
    </w:p>
    <w:p>
      <w:pPr>
        <w:pStyle w:val="Normal"/>
        <w:spacing w:lineRule="auto" w:line="276"/>
        <w:ind w:firstLine="709"/>
        <w:rPr>
          <w:szCs w:val="24"/>
        </w:rPr>
      </w:pPr>
      <w:r>
        <w:rPr>
          <w:szCs w:val="24"/>
        </w:rPr>
        <w:t>По состоянию на 2023 год жилищный фонд Катенинского сельского поселения составляет 31,2 тыс. м</w:t>
      </w:r>
      <w:r>
        <w:rPr>
          <w:szCs w:val="24"/>
          <w:vertAlign w:val="superscript"/>
        </w:rPr>
        <w:t>2</w:t>
      </w:r>
      <w:r>
        <w:rPr/>
        <w:t xml:space="preserve">. </w:t>
      </w:r>
      <w:r>
        <w:rPr>
          <w:szCs w:val="24"/>
        </w:rPr>
        <w:t>Средняя обеспеченность жильем на 01.01.2023 составляет 20,8 м</w:t>
      </w:r>
      <w:r>
        <w:rPr>
          <w:szCs w:val="24"/>
          <w:vertAlign w:val="superscript"/>
        </w:rPr>
        <w:t>2</w:t>
      </w:r>
      <w:r>
        <w:rPr>
          <w:szCs w:val="24"/>
        </w:rPr>
        <w:t xml:space="preserve">/чел. </w:t>
      </w:r>
    </w:p>
    <w:p>
      <w:pPr>
        <w:pStyle w:val="Normal"/>
        <w:spacing w:lineRule="auto" w:line="276"/>
        <w:ind w:firstLine="709"/>
        <w:rPr>
          <w:szCs w:val="24"/>
        </w:rPr>
      </w:pPr>
      <w:r>
        <w:rPr>
          <w:szCs w:val="24"/>
        </w:rPr>
        <w:t>Характеристика жилищного фонда поселения представлена в таблице 3.4.1.</w:t>
      </w:r>
    </w:p>
    <w:p>
      <w:pPr>
        <w:pStyle w:val="Normal"/>
        <w:spacing w:lineRule="auto" w:line="276"/>
        <w:ind w:firstLine="709"/>
        <w:jc w:val="right"/>
        <w:rPr>
          <w:rFonts w:eastAsia="Times New Roman"/>
          <w:b/>
          <w:b/>
          <w:bCs/>
          <w:szCs w:val="24"/>
          <w:lang w:eastAsia="ru-RU"/>
        </w:rPr>
      </w:pPr>
      <w:r>
        <w:rPr>
          <w:szCs w:val="24"/>
        </w:rPr>
        <w:t>Таблица</w:t>
      </w:r>
      <w:r>
        <w:rPr>
          <w:rFonts w:eastAsia="Times New Roman"/>
          <w:b/>
          <w:bCs/>
          <w:szCs w:val="24"/>
          <w:lang w:eastAsia="ru-RU"/>
        </w:rPr>
        <w:t xml:space="preserve"> </w:t>
      </w:r>
      <w:r>
        <w:rPr>
          <w:rFonts w:eastAsia="Times New Roman"/>
          <w:bCs/>
          <w:szCs w:val="24"/>
          <w:lang w:eastAsia="ru-RU"/>
        </w:rPr>
        <w:t>3.4.1</w:t>
      </w:r>
    </w:p>
    <w:p>
      <w:pPr>
        <w:pStyle w:val="Normal"/>
        <w:spacing w:lineRule="auto" w:line="276"/>
        <w:jc w:val="center"/>
        <w:rPr>
          <w:rFonts w:eastAsia="Times New Roman"/>
          <w:bCs/>
          <w:szCs w:val="24"/>
          <w:lang w:eastAsia="ru-RU"/>
        </w:rPr>
      </w:pPr>
      <w:r>
        <w:rPr>
          <w:rFonts w:eastAsia="Times New Roman"/>
          <w:bCs/>
          <w:szCs w:val="24"/>
          <w:lang w:eastAsia="ru-RU"/>
        </w:rPr>
        <w:t>Жилищный фонд поселения по состоянию на 2023 год</w:t>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2133"/>
        <w:gridCol w:w="1705"/>
        <w:gridCol w:w="1411"/>
        <w:gridCol w:w="6"/>
        <w:gridCol w:w="1550"/>
        <w:gridCol w:w="1712"/>
        <w:gridCol w:w="1403"/>
      </w:tblGrid>
      <w:tr>
        <w:trPr>
          <w:tblHeader w:val="true"/>
          <w:trHeight w:val="20" w:hRule="atLeast"/>
          <w:cantSplit w:val="true"/>
        </w:trPr>
        <w:tc>
          <w:tcPr>
            <w:tcW w:w="2133" w:type="dxa"/>
            <w:vMerge w:val="restart"/>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rFonts w:eastAsia="Times New Roman"/>
                <w:b/>
                <w:b/>
                <w:bCs/>
                <w:sz w:val="20"/>
                <w:szCs w:val="20"/>
                <w:lang w:eastAsia="ru-RU"/>
              </w:rPr>
            </w:pPr>
            <w:r>
              <w:rPr>
                <w:rFonts w:eastAsia="Times New Roman"/>
                <w:b/>
                <w:bCs/>
                <w:sz w:val="20"/>
                <w:szCs w:val="20"/>
                <w:lang w:eastAsia="ru-RU"/>
              </w:rPr>
              <w:t>Населенный пункт</w:t>
            </w:r>
          </w:p>
        </w:tc>
        <w:tc>
          <w:tcPr>
            <w:tcW w:w="3116" w:type="dxa"/>
            <w:gridSpan w:val="2"/>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rFonts w:eastAsia="Times New Roman"/>
                <w:b/>
                <w:b/>
                <w:bCs/>
                <w:sz w:val="20"/>
                <w:szCs w:val="20"/>
                <w:lang w:eastAsia="ru-RU"/>
              </w:rPr>
            </w:pPr>
            <w:r>
              <w:rPr>
                <w:rFonts w:eastAsia="Times New Roman"/>
                <w:b/>
                <w:bCs/>
                <w:sz w:val="20"/>
                <w:szCs w:val="20"/>
                <w:lang w:eastAsia="ru-RU"/>
              </w:rPr>
              <w:t>Индивидуальные жилые дома</w:t>
            </w:r>
          </w:p>
        </w:tc>
        <w:tc>
          <w:tcPr>
            <w:tcW w:w="4671" w:type="dxa"/>
            <w:gridSpan w:val="4"/>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rFonts w:eastAsia="Times New Roman"/>
                <w:b/>
                <w:b/>
                <w:bCs/>
                <w:sz w:val="20"/>
                <w:szCs w:val="20"/>
                <w:lang w:eastAsia="ru-RU"/>
              </w:rPr>
            </w:pPr>
            <w:r>
              <w:rPr>
                <w:rFonts w:eastAsia="Times New Roman"/>
                <w:b/>
                <w:bCs/>
                <w:sz w:val="20"/>
                <w:szCs w:val="20"/>
                <w:lang w:eastAsia="ru-RU"/>
              </w:rPr>
              <w:t>Многоквартирные дома</w:t>
            </w:r>
          </w:p>
        </w:tc>
      </w:tr>
      <w:tr>
        <w:trPr>
          <w:tblHeader w:val="true"/>
          <w:trHeight w:val="294" w:hRule="atLeast"/>
          <w:cantSplit w:val="true"/>
        </w:trPr>
        <w:tc>
          <w:tcPr>
            <w:tcW w:w="2133" w:type="dxa"/>
            <w:vMerge w:val="continue"/>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sz w:val="20"/>
                <w:szCs w:val="20"/>
                <w:lang w:eastAsia="ru-RU"/>
              </w:rPr>
            </w:pPr>
            <w:r>
              <w:rPr>
                <w:rFonts w:eastAsia="Times New Roman"/>
                <w:b/>
                <w:bCs/>
                <w:sz w:val="20"/>
                <w:szCs w:val="20"/>
                <w:lang w:eastAsia="ru-RU"/>
              </w:rPr>
            </w:r>
          </w:p>
        </w:tc>
        <w:tc>
          <w:tcPr>
            <w:tcW w:w="1705"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sz w:val="20"/>
                <w:szCs w:val="20"/>
                <w:lang w:eastAsia="ru-RU"/>
              </w:rPr>
            </w:pPr>
            <w:r>
              <w:rPr>
                <w:b/>
                <w:sz w:val="20"/>
                <w:szCs w:val="20"/>
              </w:rPr>
              <w:t>количество домов</w:t>
            </w:r>
          </w:p>
        </w:tc>
        <w:tc>
          <w:tcPr>
            <w:tcW w:w="1417" w:type="dxa"/>
            <w:gridSpan w:val="2"/>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sz w:val="20"/>
                <w:szCs w:val="20"/>
                <w:lang w:eastAsia="ru-RU"/>
              </w:rPr>
            </w:pPr>
            <w:r>
              <w:rPr>
                <w:b/>
                <w:sz w:val="20"/>
                <w:szCs w:val="20"/>
              </w:rPr>
              <w:t>общая площадь, м</w:t>
            </w:r>
            <w:r>
              <w:rPr>
                <w:b/>
                <w:sz w:val="20"/>
                <w:szCs w:val="20"/>
                <w:vertAlign w:val="superscript"/>
              </w:rPr>
              <w:t>2</w:t>
            </w:r>
          </w:p>
        </w:tc>
        <w:tc>
          <w:tcPr>
            <w:tcW w:w="1550"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sz w:val="20"/>
                <w:szCs w:val="20"/>
                <w:lang w:eastAsia="ru-RU"/>
              </w:rPr>
            </w:pPr>
            <w:r>
              <w:rPr>
                <w:b/>
                <w:sz w:val="20"/>
                <w:szCs w:val="20"/>
              </w:rPr>
              <w:t>количество домов</w:t>
            </w:r>
          </w:p>
        </w:tc>
        <w:tc>
          <w:tcPr>
            <w:tcW w:w="1712"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sz w:val="20"/>
                <w:szCs w:val="20"/>
                <w:lang w:eastAsia="ru-RU"/>
              </w:rPr>
            </w:pPr>
            <w:r>
              <w:rPr>
                <w:b/>
                <w:sz w:val="20"/>
                <w:szCs w:val="20"/>
              </w:rPr>
              <w:t>количество квартир</w:t>
            </w:r>
          </w:p>
        </w:tc>
        <w:tc>
          <w:tcPr>
            <w:tcW w:w="1403"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sz w:val="20"/>
                <w:szCs w:val="20"/>
                <w:vertAlign w:val="superscript"/>
                <w:lang w:eastAsia="ru-RU"/>
              </w:rPr>
            </w:pPr>
            <w:r>
              <w:rPr>
                <w:b/>
                <w:sz w:val="20"/>
                <w:szCs w:val="20"/>
              </w:rPr>
              <w:t>общая площадь, м</w:t>
            </w:r>
            <w:r>
              <w:rPr>
                <w:b/>
                <w:sz w:val="20"/>
                <w:szCs w:val="20"/>
                <w:vertAlign w:val="superscript"/>
              </w:rPr>
              <w:t>2</w:t>
            </w:r>
          </w:p>
        </w:tc>
      </w:tr>
    </w:tbl>
    <w:p>
      <w:pPr>
        <w:pStyle w:val="Normal"/>
        <w:spacing w:lineRule="exact" w:line="14"/>
        <w:rPr>
          <w:rFonts w:eastAsia="Times New Roman"/>
          <w:bCs/>
          <w:szCs w:val="24"/>
          <w:lang w:eastAsia="ru-RU"/>
        </w:rPr>
      </w:pPr>
      <w:r>
        <w:rPr>
          <w:rFonts w:eastAsia="Times New Roman"/>
          <w:bCs/>
          <w:szCs w:val="24"/>
          <w:lang w:eastAsia="ru-RU"/>
        </w:rPr>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2124"/>
        <w:gridCol w:w="1706"/>
        <w:gridCol w:w="1416"/>
        <w:gridCol w:w="1587"/>
        <w:gridCol w:w="1732"/>
        <w:gridCol w:w="1355"/>
      </w:tblGrid>
      <w:tr>
        <w:trPr>
          <w:trHeight w:val="68" w:hRule="atLeast"/>
        </w:trPr>
        <w:tc>
          <w:tcPr>
            <w:tcW w:w="212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b/>
                <w:b/>
                <w:bCs/>
                <w:sz w:val="20"/>
                <w:szCs w:val="20"/>
                <w:lang w:eastAsia="ru-RU"/>
              </w:rPr>
            </w:pPr>
            <w:r>
              <w:rPr>
                <w:rFonts w:eastAsia="Times New Roman"/>
                <w:b/>
                <w:bCs/>
                <w:sz w:val="20"/>
                <w:szCs w:val="20"/>
                <w:lang w:eastAsia="ru-RU"/>
              </w:rPr>
              <w:t>1</w:t>
            </w:r>
          </w:p>
        </w:tc>
        <w:tc>
          <w:tcPr>
            <w:tcW w:w="1706"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2</w:t>
            </w:r>
          </w:p>
        </w:tc>
        <w:tc>
          <w:tcPr>
            <w:tcW w:w="1416"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3</w:t>
            </w:r>
          </w:p>
        </w:tc>
        <w:tc>
          <w:tcPr>
            <w:tcW w:w="1587"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4</w:t>
            </w:r>
          </w:p>
        </w:tc>
        <w:tc>
          <w:tcPr>
            <w:tcW w:w="173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5</w:t>
            </w:r>
          </w:p>
        </w:tc>
        <w:tc>
          <w:tcPr>
            <w:tcW w:w="1355"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6</w:t>
            </w:r>
          </w:p>
        </w:tc>
      </w:tr>
      <w:tr>
        <w:trPr>
          <w:trHeight w:val="26" w:hRule="atLeast"/>
        </w:trPr>
        <w:tc>
          <w:tcPr>
            <w:tcW w:w="212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bCs/>
                <w:sz w:val="20"/>
                <w:szCs w:val="20"/>
                <w:lang w:eastAsia="ru-RU"/>
              </w:rPr>
            </w:pPr>
            <w:r>
              <w:rPr>
                <w:rFonts w:eastAsia="Times New Roman"/>
                <w:bCs/>
                <w:sz w:val="20"/>
                <w:szCs w:val="20"/>
                <w:lang w:eastAsia="ru-RU"/>
              </w:rPr>
              <w:t>с. Катенино</w:t>
            </w:r>
          </w:p>
        </w:tc>
        <w:tc>
          <w:tcPr>
            <w:tcW w:w="17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sz w:val="20"/>
              </w:rPr>
            </w:pPr>
            <w:r>
              <w:rPr>
                <w:sz w:val="20"/>
              </w:rPr>
              <w:t>133</w:t>
            </w:r>
          </w:p>
        </w:tc>
        <w:tc>
          <w:tcPr>
            <w:tcW w:w="14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sz w:val="20"/>
              </w:rPr>
            </w:pPr>
            <w:r>
              <w:rPr>
                <w:sz w:val="20"/>
              </w:rPr>
              <w:t>6650</w:t>
            </w:r>
          </w:p>
        </w:tc>
        <w:tc>
          <w:tcPr>
            <w:tcW w:w="158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w:t>
            </w:r>
          </w:p>
        </w:tc>
        <w:tc>
          <w:tcPr>
            <w:tcW w:w="1732"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w:t>
            </w:r>
          </w:p>
        </w:tc>
        <w:tc>
          <w:tcPr>
            <w:tcW w:w="135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w:t>
            </w:r>
          </w:p>
        </w:tc>
      </w:tr>
      <w:tr>
        <w:trPr>
          <w:trHeight w:val="26" w:hRule="atLeast"/>
        </w:trPr>
        <w:tc>
          <w:tcPr>
            <w:tcW w:w="212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bCs/>
                <w:sz w:val="20"/>
                <w:szCs w:val="20"/>
                <w:lang w:eastAsia="ru-RU"/>
              </w:rPr>
            </w:pPr>
            <w:r>
              <w:rPr>
                <w:rFonts w:eastAsia="Times New Roman"/>
                <w:bCs/>
                <w:sz w:val="20"/>
                <w:szCs w:val="20"/>
                <w:lang w:eastAsia="ru-RU"/>
              </w:rPr>
              <w:t>п. Караоба</w:t>
            </w:r>
          </w:p>
        </w:tc>
        <w:tc>
          <w:tcPr>
            <w:tcW w:w="17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sz w:val="20"/>
              </w:rPr>
            </w:pPr>
            <w:r>
              <w:rPr>
                <w:sz w:val="20"/>
              </w:rPr>
              <w:t>15</w:t>
            </w:r>
          </w:p>
        </w:tc>
        <w:tc>
          <w:tcPr>
            <w:tcW w:w="14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sz w:val="20"/>
              </w:rPr>
            </w:pPr>
            <w:r>
              <w:rPr>
                <w:sz w:val="20"/>
              </w:rPr>
              <w:t>750</w:t>
            </w:r>
          </w:p>
        </w:tc>
        <w:tc>
          <w:tcPr>
            <w:tcW w:w="158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w:t>
            </w:r>
          </w:p>
        </w:tc>
        <w:tc>
          <w:tcPr>
            <w:tcW w:w="1732"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w:t>
            </w:r>
          </w:p>
        </w:tc>
        <w:tc>
          <w:tcPr>
            <w:tcW w:w="135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w:t>
            </w:r>
          </w:p>
        </w:tc>
      </w:tr>
      <w:tr>
        <w:trPr>
          <w:trHeight w:val="26" w:hRule="atLeast"/>
        </w:trPr>
        <w:tc>
          <w:tcPr>
            <w:tcW w:w="212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bCs/>
                <w:sz w:val="20"/>
                <w:szCs w:val="20"/>
                <w:lang w:eastAsia="ru-RU"/>
              </w:rPr>
            </w:pPr>
            <w:r>
              <w:rPr>
                <w:rFonts w:eastAsia="Times New Roman"/>
                <w:bCs/>
                <w:sz w:val="20"/>
                <w:szCs w:val="20"/>
                <w:lang w:eastAsia="ru-RU"/>
              </w:rPr>
              <w:t>п. Комсомольское</w:t>
            </w:r>
          </w:p>
        </w:tc>
        <w:tc>
          <w:tcPr>
            <w:tcW w:w="17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sz w:val="20"/>
              </w:rPr>
            </w:pPr>
            <w:r>
              <w:rPr>
                <w:sz w:val="20"/>
              </w:rPr>
              <w:t>24</w:t>
            </w:r>
          </w:p>
        </w:tc>
        <w:tc>
          <w:tcPr>
            <w:tcW w:w="14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sz w:val="20"/>
              </w:rPr>
            </w:pPr>
            <w:r>
              <w:rPr>
                <w:sz w:val="20"/>
              </w:rPr>
              <w:t>1200</w:t>
            </w:r>
          </w:p>
        </w:tc>
        <w:tc>
          <w:tcPr>
            <w:tcW w:w="158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w:t>
            </w:r>
          </w:p>
        </w:tc>
        <w:tc>
          <w:tcPr>
            <w:tcW w:w="1732"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w:t>
            </w:r>
          </w:p>
        </w:tc>
        <w:tc>
          <w:tcPr>
            <w:tcW w:w="135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w:t>
            </w:r>
          </w:p>
        </w:tc>
      </w:tr>
      <w:tr>
        <w:trPr>
          <w:trHeight w:val="26" w:hRule="atLeast"/>
        </w:trPr>
        <w:tc>
          <w:tcPr>
            <w:tcW w:w="212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bCs/>
                <w:sz w:val="20"/>
                <w:szCs w:val="20"/>
                <w:lang w:eastAsia="ru-RU"/>
              </w:rPr>
            </w:pPr>
            <w:r>
              <w:rPr>
                <w:rFonts w:eastAsia="Times New Roman"/>
                <w:bCs/>
                <w:sz w:val="20"/>
                <w:szCs w:val="20"/>
                <w:lang w:eastAsia="ru-RU"/>
              </w:rPr>
              <w:t>п. Красноармейский</w:t>
            </w:r>
          </w:p>
        </w:tc>
        <w:tc>
          <w:tcPr>
            <w:tcW w:w="17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sz w:val="20"/>
              </w:rPr>
            </w:pPr>
            <w:r>
              <w:rPr>
                <w:sz w:val="20"/>
              </w:rPr>
              <w:t>28</w:t>
            </w:r>
          </w:p>
        </w:tc>
        <w:tc>
          <w:tcPr>
            <w:tcW w:w="141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tabs>
                <w:tab w:val="clear" w:pos="708"/>
                <w:tab w:val="left" w:pos="255" w:leader="none"/>
                <w:tab w:val="center" w:pos="598" w:leader="none"/>
              </w:tabs>
              <w:spacing w:lineRule="auto" w:line="240"/>
              <w:jc w:val="center"/>
              <w:rPr>
                <w:sz w:val="20"/>
              </w:rPr>
            </w:pPr>
            <w:r>
              <w:rPr>
                <w:sz w:val="20"/>
              </w:rPr>
              <w:t>1400</w:t>
            </w:r>
          </w:p>
        </w:tc>
        <w:tc>
          <w:tcPr>
            <w:tcW w:w="158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w:t>
            </w:r>
          </w:p>
        </w:tc>
        <w:tc>
          <w:tcPr>
            <w:tcW w:w="1732"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w:t>
            </w:r>
          </w:p>
        </w:tc>
        <w:tc>
          <w:tcPr>
            <w:tcW w:w="135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w:t>
            </w:r>
          </w:p>
        </w:tc>
      </w:tr>
      <w:tr>
        <w:trPr>
          <w:trHeight w:val="26" w:hRule="atLeast"/>
        </w:trPr>
        <w:tc>
          <w:tcPr>
            <w:tcW w:w="212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b/>
                <w:b/>
                <w:bCs/>
                <w:iCs/>
                <w:sz w:val="20"/>
              </w:rPr>
            </w:pPr>
            <w:r>
              <w:rPr>
                <w:b/>
                <w:bCs/>
                <w:iCs/>
                <w:sz w:val="20"/>
              </w:rPr>
              <w:t>Итого по поселению</w:t>
            </w:r>
          </w:p>
        </w:tc>
        <w:tc>
          <w:tcPr>
            <w:tcW w:w="1706"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rPr>
            </w:pPr>
            <w:r>
              <w:rPr>
                <w:b/>
                <w:sz w:val="20"/>
              </w:rPr>
              <w:t>200</w:t>
            </w:r>
          </w:p>
        </w:tc>
        <w:tc>
          <w:tcPr>
            <w:tcW w:w="1416"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bCs/>
                <w:iCs/>
                <w:sz w:val="20"/>
              </w:rPr>
            </w:pPr>
            <w:r>
              <w:rPr>
                <w:b/>
                <w:bCs/>
                <w:iCs/>
                <w:sz w:val="20"/>
              </w:rPr>
              <w:t>10000</w:t>
            </w:r>
          </w:p>
        </w:tc>
        <w:tc>
          <w:tcPr>
            <w:tcW w:w="158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bCs/>
                <w:iCs/>
                <w:sz w:val="20"/>
              </w:rPr>
            </w:pPr>
            <w:r>
              <w:rPr>
                <w:b/>
                <w:bCs/>
                <w:iCs/>
                <w:sz w:val="20"/>
              </w:rPr>
              <w:t>-</w:t>
            </w:r>
          </w:p>
        </w:tc>
        <w:tc>
          <w:tcPr>
            <w:tcW w:w="1732"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bCs/>
                <w:iCs/>
                <w:sz w:val="20"/>
              </w:rPr>
            </w:pPr>
            <w:r>
              <w:rPr>
                <w:b/>
                <w:bCs/>
                <w:iCs/>
                <w:sz w:val="20"/>
              </w:rPr>
              <w:t>-</w:t>
            </w:r>
          </w:p>
        </w:tc>
        <w:tc>
          <w:tcPr>
            <w:tcW w:w="135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bCs/>
                <w:iCs/>
                <w:sz w:val="20"/>
              </w:rPr>
            </w:pPr>
            <w:r>
              <w:rPr>
                <w:b/>
                <w:bCs/>
                <w:iCs/>
                <w:sz w:val="20"/>
              </w:rPr>
              <w:t>-</w:t>
            </w:r>
          </w:p>
        </w:tc>
      </w:tr>
    </w:tbl>
    <w:p>
      <w:pPr>
        <w:pStyle w:val="S"/>
        <w:spacing w:lineRule="auto" w:line="276" w:before="120" w:after="200"/>
        <w:jc w:val="both"/>
        <w:rPr>
          <w:sz w:val="24"/>
        </w:rPr>
      </w:pPr>
      <w:r>
        <w:rPr>
          <w:sz w:val="24"/>
        </w:rPr>
        <w:t xml:space="preserve">В настоящее время приоритетным является строительство индивидуального жилья, которое позволяет увеличить темпы жилищного строительства. </w:t>
      </w:r>
    </w:p>
    <w:p>
      <w:pPr>
        <w:pStyle w:val="S"/>
        <w:spacing w:lineRule="auto" w:line="276"/>
        <w:jc w:val="both"/>
        <w:rPr>
          <w:sz w:val="24"/>
        </w:rPr>
      </w:pPr>
      <w:r>
        <w:rPr>
          <w:sz w:val="24"/>
        </w:rPr>
        <w:t>В сельском поселении строительство индивидуального жилья ведется в основном силами населения за счет собственных средств и с привлечением механизмов субсидирования, ипотечного кредитования.</w:t>
      </w:r>
    </w:p>
    <w:p>
      <w:pPr>
        <w:pStyle w:val="Normal"/>
        <w:spacing w:lineRule="auto" w:line="276"/>
        <w:ind w:right="334" w:firstLine="709"/>
        <w:rPr>
          <w:szCs w:val="24"/>
          <w:lang w:eastAsia="ru-RU"/>
        </w:rPr>
      </w:pPr>
      <w:r>
        <w:rPr>
          <w:rFonts w:eastAsia="Times New Roman"/>
          <w:b/>
        </w:rPr>
        <w:t>Выводы</w:t>
      </w:r>
    </w:p>
    <w:p>
      <w:pPr>
        <w:pStyle w:val="S"/>
        <w:spacing w:lineRule="auto" w:line="276"/>
        <w:jc w:val="both"/>
        <w:rPr>
          <w:sz w:val="24"/>
        </w:rPr>
      </w:pPr>
      <w:r>
        <w:rPr>
          <w:sz w:val="24"/>
        </w:rPr>
        <w:t xml:space="preserve">Функционально-планировочная структура, типы и формы застройки, имеющийся сельский ландшафт демонстрируют разнообразие пространственной среды для жителей населенных пунктов Катенинского сельского поселения.  </w:t>
      </w:r>
    </w:p>
    <w:p>
      <w:pPr>
        <w:pStyle w:val="0212161"/>
        <w:rPr>
          <w:rFonts w:eastAsia="Tahoma"/>
        </w:rPr>
      </w:pPr>
      <w:bookmarkStart w:id="83" w:name="_Toc182210461"/>
      <w:r>
        <w:rPr>
          <w:rFonts w:eastAsia="Tahoma"/>
        </w:rPr>
        <w:t>4.2 Направления развития</w:t>
      </w:r>
      <w:bookmarkEnd w:id="83"/>
    </w:p>
    <w:p>
      <w:pPr>
        <w:pStyle w:val="Normal"/>
        <w:spacing w:lineRule="auto" w:line="276"/>
        <w:ind w:firstLine="709"/>
        <w:rPr>
          <w:szCs w:val="24"/>
        </w:rPr>
      </w:pPr>
      <w:r>
        <w:rPr>
          <w:szCs w:val="24"/>
        </w:rPr>
        <w:t>В настоящее время стратегической целью политики в жилищной сфере является создание комфортной среды обитания и жизнедеятельности для человека, которая позволяет не только удовлетворять жилищные потребности, но и обеспечивает высокое качество жизни в целом.</w:t>
      </w:r>
    </w:p>
    <w:p>
      <w:pPr>
        <w:pStyle w:val="Normal"/>
        <w:spacing w:lineRule="auto" w:line="276"/>
        <w:ind w:firstLine="709"/>
        <w:rPr>
          <w:szCs w:val="24"/>
        </w:rPr>
      </w:pPr>
      <w:r>
        <w:rPr>
          <w:szCs w:val="24"/>
        </w:rPr>
        <w:t>Политика в сфере поддержки массового жилищного строительства реализуется путем повышения эффективности мер по обеспечению жилищного строительства земельными участками, строительства инженерной и социальной инфраструктуры.</w:t>
      </w:r>
    </w:p>
    <w:p>
      <w:pPr>
        <w:pStyle w:val="Normal"/>
        <w:spacing w:lineRule="auto" w:line="276"/>
        <w:ind w:firstLine="709"/>
        <w:rPr>
          <w:szCs w:val="24"/>
        </w:rPr>
      </w:pPr>
      <w:r>
        <w:rPr>
          <w:szCs w:val="24"/>
        </w:rPr>
        <w:t>Развитие индивидуального строительства позволяет решить жилищную проблему представителей различных слоев населения</w:t>
      </w:r>
    </w:p>
    <w:p>
      <w:pPr>
        <w:pStyle w:val="Normal"/>
        <w:spacing w:lineRule="auto" w:line="276"/>
        <w:ind w:firstLine="709"/>
        <w:rPr>
          <w:bCs/>
          <w:szCs w:val="24"/>
        </w:rPr>
      </w:pPr>
      <w:r>
        <w:rPr>
          <w:bCs/>
          <w:szCs w:val="24"/>
        </w:rPr>
        <w:t xml:space="preserve">С улучшением экономической обстановки и повышением доходов населения, введение ипотечного кредитования жилищного строительства будет являться стимулирующим фактором для приобретения жилья и закрепления населения. </w:t>
      </w:r>
    </w:p>
    <w:p>
      <w:pPr>
        <w:pStyle w:val="Normal"/>
        <w:spacing w:lineRule="auto" w:line="276"/>
        <w:ind w:firstLine="709"/>
        <w:rPr>
          <w:bCs/>
          <w:szCs w:val="24"/>
        </w:rPr>
      </w:pPr>
      <w:r>
        <w:rPr>
          <w:bCs/>
          <w:szCs w:val="24"/>
        </w:rPr>
        <w:t>Основные цели решения жилищной проблемы — улучшение качества жизни, качества жилой среды населения, что в свою очередь повысит инвестиционную привлекательность и позволит закрепить молодые кадры в сельских поселениях.</w:t>
      </w:r>
    </w:p>
    <w:p>
      <w:pPr>
        <w:pStyle w:val="Normal"/>
        <w:suppressAutoHyphens w:val="true"/>
        <w:spacing w:lineRule="auto" w:line="300" w:before="120" w:after="200"/>
        <w:ind w:firstLine="709"/>
        <w:rPr>
          <w:szCs w:val="24"/>
          <w:lang w:eastAsia="ru-RU"/>
        </w:rPr>
      </w:pPr>
      <w:r>
        <w:rPr>
          <w:szCs w:val="24"/>
          <w:lang w:eastAsia="ar-SA"/>
        </w:rPr>
        <w:t xml:space="preserve">Расчет нормативной площади </w:t>
      </w:r>
      <w:r>
        <w:rPr/>
        <w:t xml:space="preserve">общего объема жилищного фонда и средней жилищной обеспеченности </w:t>
      </w:r>
      <w:r>
        <w:rPr>
          <w:szCs w:val="24"/>
        </w:rPr>
        <w:t>Катенинского сельского поселения</w:t>
      </w:r>
      <w:r>
        <w:rPr/>
        <w:t xml:space="preserve"> представлен в таблице 3.4.4.</w:t>
      </w:r>
    </w:p>
    <w:p>
      <w:pPr>
        <w:pStyle w:val="Normal"/>
        <w:suppressAutoHyphens w:val="true"/>
        <w:spacing w:lineRule="auto" w:line="300"/>
        <w:ind w:firstLine="709"/>
        <w:jc w:val="right"/>
        <w:rPr>
          <w:szCs w:val="24"/>
          <w:lang w:eastAsia="ru-RU"/>
        </w:rPr>
      </w:pPr>
      <w:r>
        <w:rPr/>
        <w:t>Таблица 3.4.4</w:t>
      </w:r>
    </w:p>
    <w:p>
      <w:pPr>
        <w:pStyle w:val="Normal"/>
        <w:suppressAutoHyphens w:val="true"/>
        <w:spacing w:lineRule="auto" w:line="300"/>
        <w:ind w:firstLine="709"/>
        <w:jc w:val="center"/>
        <w:rPr>
          <w:szCs w:val="24"/>
          <w:lang w:eastAsia="ar-SA"/>
        </w:rPr>
      </w:pPr>
      <w:r>
        <w:rPr>
          <w:szCs w:val="24"/>
          <w:lang w:eastAsia="ar-SA"/>
        </w:rPr>
        <w:t xml:space="preserve">Расчет параметров жилого фонда </w:t>
      </w:r>
      <w:r>
        <w:rPr>
          <w:szCs w:val="24"/>
        </w:rPr>
        <w:t xml:space="preserve">сельского поселения </w:t>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5928"/>
        <w:gridCol w:w="1236"/>
        <w:gridCol w:w="1377"/>
        <w:gridCol w:w="1379"/>
      </w:tblGrid>
      <w:tr>
        <w:trPr>
          <w:trHeight w:val="20" w:hRule="atLeast"/>
        </w:trPr>
        <w:tc>
          <w:tcPr>
            <w:tcW w:w="5928"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Показатель</w:t>
            </w:r>
          </w:p>
        </w:tc>
        <w:tc>
          <w:tcPr>
            <w:tcW w:w="1236"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2024 год</w:t>
            </w:r>
          </w:p>
        </w:tc>
        <w:tc>
          <w:tcPr>
            <w:tcW w:w="1377"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2034 год</w:t>
            </w:r>
          </w:p>
        </w:tc>
        <w:tc>
          <w:tcPr>
            <w:tcW w:w="1379"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2044 год</w:t>
            </w:r>
          </w:p>
        </w:tc>
      </w:tr>
      <w:tr>
        <w:trPr>
          <w:trHeight w:val="20" w:hRule="atLeast"/>
        </w:trPr>
        <w:tc>
          <w:tcPr>
            <w:tcW w:w="5928"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1</w:t>
            </w:r>
          </w:p>
        </w:tc>
        <w:tc>
          <w:tcPr>
            <w:tcW w:w="1236"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2</w:t>
            </w:r>
          </w:p>
        </w:tc>
        <w:tc>
          <w:tcPr>
            <w:tcW w:w="137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3</w:t>
            </w:r>
          </w:p>
        </w:tc>
        <w:tc>
          <w:tcPr>
            <w:tcW w:w="1379"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4</w:t>
            </w:r>
          </w:p>
        </w:tc>
      </w:tr>
      <w:tr>
        <w:trPr>
          <w:trHeight w:val="20" w:hRule="atLeast"/>
        </w:trPr>
        <w:tc>
          <w:tcPr>
            <w:tcW w:w="592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 xml:space="preserve">Жилой фонд без учета нового строительства и ликвидации </w:t>
            </w:r>
          </w:p>
          <w:p>
            <w:pPr>
              <w:pStyle w:val="Normal"/>
              <w:spacing w:lineRule="auto" w:line="240"/>
              <w:jc w:val="left"/>
              <w:rPr>
                <w:rFonts w:eastAsia="Times New Roman"/>
                <w:sz w:val="20"/>
                <w:szCs w:val="20"/>
                <w:lang w:eastAsia="ru-RU"/>
              </w:rPr>
            </w:pPr>
            <w:r>
              <w:rPr>
                <w:rFonts w:eastAsia="Times New Roman"/>
                <w:sz w:val="20"/>
                <w:szCs w:val="20"/>
                <w:lang w:eastAsia="ru-RU"/>
              </w:rPr>
              <w:t xml:space="preserve">Ветхого и аварийного жилого фонда, </w:t>
            </w:r>
            <w:r>
              <w:rPr>
                <w:rFonts w:eastAsia="Times New Roman"/>
                <w:bCs/>
                <w:sz w:val="20"/>
                <w:szCs w:val="20"/>
                <w:lang w:eastAsia="ru-RU"/>
              </w:rPr>
              <w:t>м</w:t>
            </w:r>
            <w:r>
              <w:rPr>
                <w:rFonts w:eastAsia="Times New Roman"/>
                <w:bCs/>
                <w:sz w:val="20"/>
                <w:szCs w:val="20"/>
                <w:vertAlign w:val="superscript"/>
                <w:lang w:eastAsia="ru-RU"/>
              </w:rPr>
              <w:t>2</w:t>
            </w:r>
          </w:p>
        </w:tc>
        <w:tc>
          <w:tcPr>
            <w:tcW w:w="123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bCs/>
                <w:iCs/>
                <w:sz w:val="20"/>
              </w:rPr>
              <w:t>31200</w:t>
            </w:r>
          </w:p>
        </w:tc>
        <w:tc>
          <w:tcPr>
            <w:tcW w:w="137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bCs/>
                <w:iCs/>
                <w:sz w:val="20"/>
              </w:rPr>
              <w:t>31200</w:t>
            </w:r>
          </w:p>
        </w:tc>
        <w:tc>
          <w:tcPr>
            <w:tcW w:w="137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sz w:val="20"/>
                <w:szCs w:val="20"/>
              </w:rPr>
              <w:t>31200</w:t>
            </w:r>
          </w:p>
        </w:tc>
      </w:tr>
      <w:tr>
        <w:trPr>
          <w:trHeight w:val="20" w:hRule="atLeast"/>
        </w:trPr>
        <w:tc>
          <w:tcPr>
            <w:tcW w:w="592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bCs/>
                <w:sz w:val="20"/>
                <w:szCs w:val="20"/>
                <w:vertAlign w:val="superscript"/>
                <w:lang w:eastAsia="ru-RU"/>
              </w:rPr>
            </w:pPr>
            <w:r>
              <w:rPr>
                <w:rFonts w:eastAsia="Times New Roman"/>
                <w:bCs/>
                <w:sz w:val="20"/>
                <w:szCs w:val="20"/>
                <w:lang w:eastAsia="ru-RU"/>
              </w:rPr>
              <w:t>Освоение новых территорий, м</w:t>
            </w:r>
            <w:r>
              <w:rPr>
                <w:rFonts w:eastAsia="Times New Roman"/>
                <w:bCs/>
                <w:sz w:val="20"/>
                <w:szCs w:val="20"/>
                <w:vertAlign w:val="superscript"/>
                <w:lang w:eastAsia="ru-RU"/>
              </w:rPr>
              <w:t>2</w:t>
            </w:r>
          </w:p>
        </w:tc>
        <w:tc>
          <w:tcPr>
            <w:tcW w:w="123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w:t>
            </w:r>
          </w:p>
        </w:tc>
        <w:tc>
          <w:tcPr>
            <w:tcW w:w="137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400</w:t>
            </w:r>
          </w:p>
        </w:tc>
        <w:tc>
          <w:tcPr>
            <w:tcW w:w="137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500</w:t>
            </w:r>
          </w:p>
        </w:tc>
      </w:tr>
      <w:tr>
        <w:trPr>
          <w:trHeight w:val="20" w:hRule="atLeast"/>
        </w:trPr>
        <w:tc>
          <w:tcPr>
            <w:tcW w:w="592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bCs/>
                <w:sz w:val="20"/>
                <w:szCs w:val="20"/>
                <w:vertAlign w:val="superscript"/>
                <w:lang w:eastAsia="ru-RU"/>
              </w:rPr>
            </w:pPr>
            <w:r>
              <w:rPr>
                <w:rFonts w:eastAsia="Times New Roman"/>
                <w:bCs/>
                <w:sz w:val="20"/>
                <w:szCs w:val="20"/>
                <w:lang w:eastAsia="ru-RU"/>
              </w:rPr>
              <w:t>Ликвидация ветхого и аварийного жилья, м</w:t>
            </w:r>
            <w:r>
              <w:rPr>
                <w:rFonts w:eastAsia="Times New Roman"/>
                <w:bCs/>
                <w:sz w:val="20"/>
                <w:szCs w:val="20"/>
                <w:vertAlign w:val="superscript"/>
                <w:lang w:eastAsia="ru-RU"/>
              </w:rPr>
              <w:t>2</w:t>
            </w:r>
          </w:p>
        </w:tc>
        <w:tc>
          <w:tcPr>
            <w:tcW w:w="123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w:t>
            </w:r>
          </w:p>
        </w:tc>
        <w:tc>
          <w:tcPr>
            <w:tcW w:w="1377"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580" w:leader="none"/>
              </w:tabs>
              <w:spacing w:lineRule="auto" w:line="240"/>
              <w:jc w:val="center"/>
              <w:rPr>
                <w:rFonts w:eastAsia="Times New Roman"/>
                <w:sz w:val="20"/>
                <w:szCs w:val="20"/>
                <w:lang w:eastAsia="ru-RU"/>
              </w:rPr>
            </w:pPr>
            <w:r>
              <w:rPr>
                <w:rFonts w:eastAsia="Times New Roman"/>
                <w:sz w:val="20"/>
                <w:szCs w:val="20"/>
                <w:lang w:eastAsia="ru-RU"/>
              </w:rPr>
              <w:t>400</w:t>
            </w:r>
          </w:p>
        </w:tc>
        <w:tc>
          <w:tcPr>
            <w:tcW w:w="137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500</w:t>
            </w:r>
          </w:p>
        </w:tc>
      </w:tr>
      <w:tr>
        <w:trPr>
          <w:trHeight w:val="20" w:hRule="atLeast"/>
        </w:trPr>
        <w:tc>
          <w:tcPr>
            <w:tcW w:w="592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 xml:space="preserve">Общая площадь жилого фонда, с учетом нового строительства </w:t>
            </w:r>
          </w:p>
          <w:p>
            <w:pPr>
              <w:pStyle w:val="Normal"/>
              <w:spacing w:lineRule="auto" w:line="240"/>
              <w:jc w:val="left"/>
              <w:rPr>
                <w:rFonts w:eastAsia="Times New Roman"/>
                <w:sz w:val="20"/>
                <w:szCs w:val="20"/>
                <w:vertAlign w:val="superscript"/>
                <w:lang w:eastAsia="ru-RU"/>
              </w:rPr>
            </w:pPr>
            <w:r>
              <w:rPr>
                <w:rFonts w:eastAsia="Times New Roman"/>
                <w:sz w:val="20"/>
                <w:szCs w:val="20"/>
                <w:lang w:eastAsia="ru-RU"/>
              </w:rPr>
              <w:t>и ликвидации ветхого и аварийного жилого фонда, м</w:t>
            </w:r>
            <w:r>
              <w:rPr>
                <w:rFonts w:eastAsia="Times New Roman"/>
                <w:sz w:val="20"/>
                <w:szCs w:val="20"/>
                <w:vertAlign w:val="superscript"/>
                <w:lang w:eastAsia="ru-RU"/>
              </w:rPr>
              <w:t>2</w:t>
            </w:r>
          </w:p>
        </w:tc>
        <w:tc>
          <w:tcPr>
            <w:tcW w:w="123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w:t>
            </w:r>
          </w:p>
        </w:tc>
        <w:tc>
          <w:tcPr>
            <w:tcW w:w="137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31200</w:t>
            </w:r>
          </w:p>
        </w:tc>
        <w:tc>
          <w:tcPr>
            <w:tcW w:w="137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31200</w:t>
            </w:r>
          </w:p>
        </w:tc>
      </w:tr>
      <w:tr>
        <w:trPr>
          <w:trHeight w:val="20" w:hRule="atLeast"/>
        </w:trPr>
        <w:tc>
          <w:tcPr>
            <w:tcW w:w="592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Численность населения, чел.</w:t>
            </w:r>
          </w:p>
        </w:tc>
        <w:tc>
          <w:tcPr>
            <w:tcW w:w="123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1503</w:t>
            </w:r>
          </w:p>
        </w:tc>
        <w:tc>
          <w:tcPr>
            <w:tcW w:w="1377" w:type="dxa"/>
            <w:tcBorders>
              <w:top w:val="single" w:sz="4" w:space="0" w:color="000000"/>
              <w:left w:val="single" w:sz="4" w:space="0" w:color="000000"/>
              <w:bottom w:val="single" w:sz="4" w:space="0" w:color="000000"/>
              <w:right w:val="single" w:sz="4" w:space="0" w:color="000000"/>
            </w:tcBorders>
          </w:tcPr>
          <w:p>
            <w:pPr>
              <w:pStyle w:val="Normal"/>
              <w:tabs>
                <w:tab w:val="clear" w:pos="708"/>
                <w:tab w:val="left" w:pos="420" w:leader="none"/>
                <w:tab w:val="center" w:pos="580" w:leader="none"/>
              </w:tabs>
              <w:spacing w:lineRule="auto" w:line="240"/>
              <w:jc w:val="center"/>
              <w:rPr>
                <w:rFonts w:eastAsia="Times New Roman"/>
                <w:sz w:val="20"/>
                <w:szCs w:val="20"/>
                <w:lang w:eastAsia="ru-RU"/>
              </w:rPr>
            </w:pPr>
            <w:r>
              <w:rPr>
                <w:sz w:val="20"/>
                <w:szCs w:val="20"/>
              </w:rPr>
              <w:t>1477</w:t>
            </w:r>
          </w:p>
        </w:tc>
        <w:tc>
          <w:tcPr>
            <w:tcW w:w="137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sz w:val="20"/>
                <w:szCs w:val="20"/>
              </w:rPr>
              <w:t>1526</w:t>
            </w:r>
          </w:p>
        </w:tc>
      </w:tr>
      <w:tr>
        <w:trPr>
          <w:trHeight w:val="20" w:hRule="atLeast"/>
        </w:trPr>
        <w:tc>
          <w:tcPr>
            <w:tcW w:w="592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Показатель жилищной обеспеченности, м</w:t>
            </w:r>
            <w:r>
              <w:rPr>
                <w:rFonts w:eastAsia="Times New Roman"/>
                <w:sz w:val="20"/>
                <w:szCs w:val="20"/>
                <w:vertAlign w:val="superscript"/>
                <w:lang w:eastAsia="ru-RU"/>
              </w:rPr>
              <w:t>2</w:t>
            </w:r>
            <w:r>
              <w:rPr>
                <w:rFonts w:eastAsia="Times New Roman"/>
                <w:sz w:val="20"/>
                <w:szCs w:val="20"/>
                <w:lang w:eastAsia="ru-RU"/>
              </w:rPr>
              <w:t>/чел.</w:t>
            </w:r>
          </w:p>
        </w:tc>
        <w:tc>
          <w:tcPr>
            <w:tcW w:w="123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b/>
                <w:sz w:val="20"/>
                <w:szCs w:val="20"/>
                <w:lang w:eastAsia="ru-RU"/>
              </w:rPr>
              <w:t>20,8</w:t>
            </w:r>
          </w:p>
        </w:tc>
        <w:tc>
          <w:tcPr>
            <w:tcW w:w="137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b/>
                <w:sz w:val="20"/>
                <w:szCs w:val="20"/>
                <w:lang w:eastAsia="ru-RU"/>
              </w:rPr>
              <w:t>21,12</w:t>
            </w:r>
          </w:p>
        </w:tc>
        <w:tc>
          <w:tcPr>
            <w:tcW w:w="1379" w:type="dxa"/>
            <w:tcBorders>
              <w:top w:val="single" w:sz="4" w:space="0" w:color="000000"/>
              <w:left w:val="single" w:sz="4" w:space="0" w:color="000000"/>
              <w:bottom w:val="single" w:sz="4" w:space="0" w:color="000000"/>
              <w:right w:val="single" w:sz="4" w:space="0" w:color="000000"/>
            </w:tcBorders>
          </w:tcPr>
          <w:p>
            <w:pPr>
              <w:pStyle w:val="Normal"/>
              <w:tabs>
                <w:tab w:val="clear" w:pos="708"/>
                <w:tab w:val="left" w:pos="367" w:leader="none"/>
                <w:tab w:val="center" w:pos="600" w:leader="none"/>
              </w:tabs>
              <w:spacing w:lineRule="auto" w:line="240"/>
              <w:jc w:val="center"/>
              <w:rPr>
                <w:rFonts w:eastAsia="Times New Roman"/>
                <w:sz w:val="20"/>
                <w:szCs w:val="20"/>
                <w:lang w:eastAsia="ru-RU"/>
              </w:rPr>
            </w:pPr>
            <w:r>
              <w:rPr>
                <w:rFonts w:eastAsia="Times New Roman"/>
                <w:b/>
                <w:sz w:val="20"/>
                <w:szCs w:val="20"/>
                <w:lang w:eastAsia="ru-RU"/>
              </w:rPr>
              <w:t>20,44</w:t>
            </w:r>
          </w:p>
        </w:tc>
      </w:tr>
    </w:tbl>
    <w:p>
      <w:pPr>
        <w:sectPr>
          <w:headerReference w:type="default" r:id="rId68"/>
          <w:footerReference w:type="default" r:id="rId69"/>
          <w:type w:val="nextPage"/>
          <w:pgSz w:w="11906" w:h="16838"/>
          <w:pgMar w:left="1418" w:right="567" w:header="567" w:top="1134" w:footer="567" w:bottom="1134" w:gutter="0"/>
          <w:pgNumType w:fmt="decimal"/>
          <w:formProt w:val="false"/>
          <w:textDirection w:val="lrTb"/>
          <w:docGrid w:type="default" w:linePitch="360" w:charSpace="0"/>
        </w:sectPr>
        <w:pStyle w:val="Normal"/>
        <w:spacing w:lineRule="auto" w:line="276"/>
        <w:ind w:firstLine="709"/>
        <w:rPr>
          <w:bCs/>
          <w:szCs w:val="24"/>
        </w:rPr>
      </w:pPr>
      <w:r>
        <w:rPr>
          <w:bCs/>
          <w:szCs w:val="24"/>
        </w:rPr>
        <w:t>На территории поселка Комсомольский выделена зона под жилую застройку. В ходе расчета потребности поселения Катенинского сельского поселения в объектах социальной инфраструктуры местного значения в период с 2024 года п</w:t>
      </w:r>
      <w:bookmarkStart w:id="84" w:name="_GoBack"/>
      <w:bookmarkEnd w:id="84"/>
      <w:r>
        <w:rPr>
          <w:bCs/>
          <w:szCs w:val="24"/>
        </w:rPr>
        <w:t>о2044 год приведенные в таблице 3.5.1 было выявлено достаточное количество социальных объектов для обслуживания планируемой территории в соответствие с нормативами градостроительного проектирования.</w:t>
      </w:r>
    </w:p>
    <w:p>
      <w:pPr>
        <w:pStyle w:val="0212164"/>
        <w:rPr>
          <w:szCs w:val="24"/>
          <w:lang w:eastAsia="ru-RU"/>
        </w:rPr>
      </w:pPr>
      <w:bookmarkStart w:id="85" w:name="_Toc182210462"/>
      <w:bookmarkStart w:id="86" w:name="_Toc69297537"/>
      <w:r>
        <w:rPr/>
        <w:t>ГЛАВА 5. СОЦИАЛЬНАЯ ИНФРАСТРУКТУРА</w:t>
      </w:r>
      <w:bookmarkStart w:id="87" w:name="_Toc514250310"/>
      <w:bookmarkStart w:id="88" w:name="_Toc494398052"/>
      <w:bookmarkStart w:id="89" w:name="_Toc477453299"/>
      <w:bookmarkStart w:id="90" w:name="_Toc468200609"/>
      <w:bookmarkStart w:id="91" w:name="_Toc467150819"/>
      <w:bookmarkEnd w:id="85"/>
      <w:bookmarkEnd w:id="86"/>
    </w:p>
    <w:p>
      <w:pPr>
        <w:pStyle w:val="0212161"/>
        <w:rPr>
          <w:szCs w:val="24"/>
          <w:lang w:eastAsia="ru-RU"/>
        </w:rPr>
      </w:pPr>
      <w:bookmarkStart w:id="92" w:name="_Toc182210463"/>
      <w:bookmarkStart w:id="93" w:name="_Toc69297538"/>
      <w:r>
        <w:rPr/>
        <w:t xml:space="preserve">5.1 Расчет </w:t>
      </w:r>
      <w:r>
        <w:rPr>
          <w:rFonts w:eastAsia="Tahoma"/>
        </w:rPr>
        <w:t>обеспеченности</w:t>
      </w:r>
      <w:r>
        <w:rPr/>
        <w:t xml:space="preserve"> </w:t>
      </w:r>
      <w:bookmarkEnd w:id="87"/>
      <w:bookmarkEnd w:id="88"/>
      <w:bookmarkEnd w:id="89"/>
      <w:bookmarkEnd w:id="90"/>
      <w:bookmarkEnd w:id="91"/>
      <w:bookmarkEnd w:id="93"/>
      <w:r>
        <w:rPr/>
        <w:t>объектами местного значения</w:t>
      </w:r>
      <w:bookmarkEnd w:id="92"/>
    </w:p>
    <w:p>
      <w:pPr>
        <w:pStyle w:val="Normal"/>
        <w:spacing w:lineRule="auto" w:line="276"/>
        <w:ind w:firstLine="709"/>
        <w:rPr>
          <w:szCs w:val="24"/>
        </w:rPr>
      </w:pPr>
      <w:r>
        <w:rPr>
          <w:szCs w:val="24"/>
        </w:rPr>
        <w:t xml:space="preserve">Расчет потребности населения Катенинского сельского поселения </w:t>
      </w:r>
      <w:r>
        <w:rPr/>
        <w:t>в</w:t>
      </w:r>
      <w:r>
        <w:rPr>
          <w:szCs w:val="24"/>
        </w:rPr>
        <w:t xml:space="preserve"> объектах социальной инфраструктуры местного значения в период с 2024 года по 2044 год приведены в таблице 3.5.1.</w:t>
      </w:r>
    </w:p>
    <w:p>
      <w:pPr>
        <w:pStyle w:val="Normal"/>
        <w:spacing w:lineRule="auto" w:line="276"/>
        <w:ind w:firstLine="709"/>
        <w:rPr>
          <w:szCs w:val="24"/>
        </w:rPr>
      </w:pPr>
      <w:r>
        <w:rPr>
          <w:szCs w:val="24"/>
        </w:rPr>
        <w:t>С учетом прогнозируемой численности населения сельского поселения к 2043 году ожидается дефицит объектов дошкольного образования.</w:t>
      </w:r>
    </w:p>
    <w:p>
      <w:pPr>
        <w:pStyle w:val="Normal"/>
        <w:spacing w:lineRule="auto" w:line="276"/>
        <w:ind w:firstLine="709"/>
        <w:rPr>
          <w:szCs w:val="24"/>
        </w:rPr>
      </w:pPr>
      <w:r>
        <w:rPr>
          <w:szCs w:val="24"/>
        </w:rPr>
        <w:t>Уровень и качество жизни населения Катенинского сельского поселения в значительной мере зависят от развитости системы социальной инфраструктуры, включающей в себя учреждения здравоохранения, физкультуры и массового спорта, образования и науки, культуры и искусства, а также учреждения бытового обслуживания населения.</w:t>
      </w:r>
    </w:p>
    <w:p>
      <w:pPr>
        <w:pStyle w:val="Normal"/>
        <w:spacing w:lineRule="auto" w:line="276"/>
        <w:ind w:firstLine="709"/>
        <w:rPr>
          <w:szCs w:val="24"/>
        </w:rPr>
      </w:pPr>
      <w:r>
        <w:rPr>
          <w:szCs w:val="24"/>
        </w:rPr>
        <w:t>При прогнозировании развития социальной инфраструктуры в современных социально-экономических условиях принципиально выделение двух видов объектов:</w:t>
      </w:r>
    </w:p>
    <w:p>
      <w:pPr>
        <w:pStyle w:val="ListParagraph"/>
        <w:numPr>
          <w:ilvl w:val="0"/>
          <w:numId w:val="8"/>
        </w:numPr>
        <w:spacing w:before="0" w:after="0"/>
        <w:ind w:left="0" w:firstLine="426"/>
        <w:jc w:val="both"/>
        <w:rPr>
          <w:rFonts w:ascii="Times New Roman" w:hAnsi="Times New Roman"/>
          <w:sz w:val="24"/>
          <w:szCs w:val="24"/>
        </w:rPr>
      </w:pPr>
      <w:r>
        <w:rPr>
          <w:sz w:val="24"/>
          <w:szCs w:val="24"/>
        </w:rPr>
        <w:t xml:space="preserve">социально-значимые виды обслуживания, где государственное регулирование </w:t>
        <w:br/>
        <w:t>по-прежнему остается значительным: сферы образования, здравоохранения, физкультуры и спорта, культуры и искусства;</w:t>
      </w:r>
    </w:p>
    <w:p>
      <w:pPr>
        <w:sectPr>
          <w:headerReference w:type="default" r:id="rId70"/>
          <w:footerReference w:type="default" r:id="rId71"/>
          <w:type w:val="nextPage"/>
          <w:pgSz w:w="11906" w:h="16838"/>
          <w:pgMar w:left="1418" w:right="567" w:header="567" w:top="1134" w:footer="567" w:bottom="1134" w:gutter="0"/>
          <w:pgNumType w:fmt="decimal"/>
          <w:formProt w:val="false"/>
          <w:textDirection w:val="lrTb"/>
          <w:docGrid w:type="default" w:linePitch="360" w:charSpace="0"/>
        </w:sectPr>
        <w:pStyle w:val="ListParagraph"/>
        <w:numPr>
          <w:ilvl w:val="0"/>
          <w:numId w:val="8"/>
        </w:numPr>
        <w:spacing w:before="0" w:after="0"/>
        <w:ind w:left="0" w:firstLine="426"/>
        <w:jc w:val="both"/>
        <w:rPr>
          <w:rFonts w:ascii="Times New Roman" w:hAnsi="Times New Roman"/>
          <w:sz w:val="24"/>
          <w:szCs w:val="24"/>
        </w:rPr>
      </w:pPr>
      <w:r>
        <w:rPr>
          <w:sz w:val="24"/>
          <w:szCs w:val="24"/>
        </w:rPr>
        <w:t>виды обслуживания, практически полностью перешедшие или переходящие на рыночные отношения: торговля, общественное питание, бытовое обслуживание, коммунальное хозяйство. Их развитие происходит путем саморегулирования. Важнейшим ограничителем их развития является платежеспособный спрос населения.</w:t>
      </w:r>
    </w:p>
    <w:p>
      <w:pPr>
        <w:pStyle w:val="Normal"/>
        <w:spacing w:lineRule="auto" w:line="276"/>
        <w:jc w:val="right"/>
        <w:rPr>
          <w:szCs w:val="24"/>
        </w:rPr>
      </w:pPr>
      <w:bookmarkStart w:id="94" w:name="_Toc69297539"/>
      <w:bookmarkStart w:id="95" w:name="_Toc494398045"/>
      <w:bookmarkStart w:id="96" w:name="_Toc477453293"/>
      <w:bookmarkStart w:id="97" w:name="_Toc468200603"/>
      <w:bookmarkStart w:id="98" w:name="_Toc467150817"/>
      <w:r>
        <w:rPr>
          <w:szCs w:val="24"/>
        </w:rPr>
        <w:t>Таблица 3.5.1</w:t>
      </w:r>
    </w:p>
    <w:p>
      <w:pPr>
        <w:pStyle w:val="Normal"/>
        <w:spacing w:lineRule="auto" w:line="276"/>
        <w:jc w:val="center"/>
        <w:rPr>
          <w:szCs w:val="24"/>
        </w:rPr>
      </w:pPr>
      <w:r>
        <w:rPr>
          <w:szCs w:val="24"/>
        </w:rPr>
        <w:t xml:space="preserve">Расчет потребности населения Катенинского сельского поселения </w:t>
      </w:r>
      <w:r>
        <w:rPr/>
        <w:t>в</w:t>
      </w:r>
      <w:r>
        <w:rPr>
          <w:szCs w:val="24"/>
        </w:rPr>
        <w:t xml:space="preserve"> объектах социальной инфраструктуры в период с 2024 года по 2044 год</w:t>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2406"/>
        <w:gridCol w:w="3979"/>
        <w:gridCol w:w="910"/>
        <w:gridCol w:w="912"/>
        <w:gridCol w:w="912"/>
        <w:gridCol w:w="909"/>
        <w:gridCol w:w="912"/>
        <w:gridCol w:w="912"/>
        <w:gridCol w:w="911"/>
        <w:gridCol w:w="912"/>
        <w:gridCol w:w="893"/>
      </w:tblGrid>
      <w:tr>
        <w:trPr>
          <w:trHeight w:val="342" w:hRule="atLeast"/>
          <w:cantSplit w:val="true"/>
        </w:trPr>
        <w:tc>
          <w:tcPr>
            <w:tcW w:w="6385" w:type="dxa"/>
            <w:gridSpan w:val="2"/>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spacing w:lineRule="auto" w:line="240"/>
              <w:jc w:val="center"/>
              <w:rPr>
                <w:rFonts w:eastAsia="Times New Roman"/>
                <w:b/>
                <w:b/>
                <w:bCs/>
                <w:sz w:val="20"/>
                <w:szCs w:val="20"/>
              </w:rPr>
            </w:pPr>
            <w:r>
              <w:rPr>
                <w:rFonts w:eastAsia="Times New Roman"/>
                <w:b/>
                <w:bCs/>
                <w:sz w:val="20"/>
                <w:szCs w:val="20"/>
              </w:rPr>
              <w:t>Показатели</w:t>
            </w:r>
          </w:p>
        </w:tc>
        <w:tc>
          <w:tcPr>
            <w:tcW w:w="4555" w:type="dxa"/>
            <w:gridSpan w:val="5"/>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spacing w:lineRule="auto" w:line="240"/>
              <w:jc w:val="center"/>
              <w:rPr>
                <w:rFonts w:eastAsia="Times New Roman"/>
                <w:b/>
                <w:b/>
                <w:bCs/>
                <w:sz w:val="20"/>
                <w:szCs w:val="20"/>
              </w:rPr>
            </w:pPr>
            <w:r>
              <w:rPr>
                <w:rFonts w:eastAsia="Times New Roman"/>
                <w:b/>
                <w:bCs/>
                <w:sz w:val="20"/>
                <w:szCs w:val="20"/>
              </w:rPr>
              <w:t xml:space="preserve">Существующая численность, </w:t>
              <w:br/>
              <w:t>на 01.01.2024</w:t>
            </w:r>
          </w:p>
        </w:tc>
        <w:tc>
          <w:tcPr>
            <w:tcW w:w="1823" w:type="dxa"/>
            <w:gridSpan w:val="2"/>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spacing w:lineRule="auto" w:line="240"/>
              <w:jc w:val="center"/>
              <w:rPr>
                <w:rFonts w:eastAsia="Times New Roman"/>
                <w:b/>
                <w:b/>
                <w:bCs/>
                <w:sz w:val="20"/>
                <w:szCs w:val="20"/>
              </w:rPr>
            </w:pPr>
            <w:r>
              <w:rPr>
                <w:rFonts w:eastAsia="Times New Roman"/>
                <w:b/>
                <w:bCs/>
                <w:sz w:val="20"/>
                <w:szCs w:val="20"/>
              </w:rPr>
              <w:t xml:space="preserve">Численность на </w:t>
              <w:br/>
              <w:t>первую очередь, на 01.01.2034</w:t>
            </w:r>
          </w:p>
        </w:tc>
        <w:tc>
          <w:tcPr>
            <w:tcW w:w="1805" w:type="dxa"/>
            <w:gridSpan w:val="2"/>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spacing w:lineRule="auto" w:line="240"/>
              <w:jc w:val="center"/>
              <w:rPr>
                <w:rFonts w:eastAsia="Times New Roman"/>
                <w:b/>
                <w:b/>
                <w:bCs/>
                <w:sz w:val="20"/>
                <w:szCs w:val="20"/>
              </w:rPr>
            </w:pPr>
            <w:r>
              <w:rPr>
                <w:rFonts w:eastAsia="Times New Roman"/>
                <w:b/>
                <w:bCs/>
                <w:sz w:val="20"/>
                <w:szCs w:val="20"/>
              </w:rPr>
              <w:t xml:space="preserve">Численность на расчетный срок, </w:t>
              <w:br/>
              <w:t>на 01.01.2044</w:t>
            </w:r>
          </w:p>
        </w:tc>
      </w:tr>
      <w:tr>
        <w:trPr>
          <w:trHeight w:val="139" w:hRule="atLeast"/>
          <w:cantSplit w:val="true"/>
        </w:trPr>
        <w:tc>
          <w:tcPr>
            <w:tcW w:w="6385" w:type="dxa"/>
            <w:gridSpan w:val="2"/>
            <w:tcBorders>
              <w:top w:val="single" w:sz="4" w:space="0" w:color="000000"/>
              <w:left w:val="single" w:sz="4" w:space="0" w:color="000000"/>
              <w:bottom w:val="single" w:sz="4" w:space="0" w:color="000000"/>
              <w:right w:val="single" w:sz="4" w:space="0" w:color="000000"/>
            </w:tcBorders>
            <w:shd w:color="auto" w:fill="FFFFFF" w:val="clear"/>
            <w:vAlign w:val="center"/>
          </w:tcPr>
          <w:p>
            <w:pPr>
              <w:pStyle w:val="Normal"/>
              <w:spacing w:lineRule="auto" w:line="240"/>
              <w:jc w:val="center"/>
              <w:rPr>
                <w:rFonts w:eastAsia="Times New Roman"/>
                <w:b/>
                <w:b/>
                <w:bCs/>
                <w:sz w:val="20"/>
                <w:szCs w:val="20"/>
              </w:rPr>
            </w:pPr>
            <w:r>
              <w:rPr>
                <w:rFonts w:eastAsia="Times New Roman"/>
                <w:b/>
                <w:bCs/>
                <w:sz w:val="20"/>
                <w:szCs w:val="20"/>
              </w:rPr>
              <w:t>всего человек</w:t>
            </w:r>
          </w:p>
        </w:tc>
        <w:tc>
          <w:tcPr>
            <w:tcW w:w="4555" w:type="dxa"/>
            <w:gridSpan w:val="5"/>
            <w:tcBorders>
              <w:top w:val="single" w:sz="4" w:space="0" w:color="000000"/>
              <w:left w:val="single" w:sz="4" w:space="0" w:color="000000"/>
              <w:bottom w:val="single" w:sz="4" w:space="0" w:color="000000"/>
              <w:right w:val="single" w:sz="4" w:space="0" w:color="000000"/>
            </w:tcBorders>
            <w:shd w:color="auto" w:fill="FFFFFF" w:val="clear"/>
          </w:tcPr>
          <w:p>
            <w:pPr>
              <w:pStyle w:val="Normal"/>
              <w:spacing w:lineRule="auto" w:line="240"/>
              <w:jc w:val="center"/>
              <w:rPr>
                <w:rFonts w:eastAsia="Times New Roman"/>
                <w:b/>
                <w:b/>
                <w:bCs/>
                <w:sz w:val="20"/>
                <w:szCs w:val="20"/>
              </w:rPr>
            </w:pPr>
            <w:r>
              <w:rPr>
                <w:rFonts w:eastAsia="Times New Roman"/>
                <w:b/>
                <w:sz w:val="20"/>
                <w:szCs w:val="20"/>
                <w:lang w:eastAsia="ru-RU"/>
              </w:rPr>
              <w:t>1503</w:t>
            </w:r>
          </w:p>
        </w:tc>
        <w:tc>
          <w:tcPr>
            <w:tcW w:w="1823" w:type="dxa"/>
            <w:gridSpan w:val="2"/>
            <w:tcBorders>
              <w:top w:val="single" w:sz="4" w:space="0" w:color="000000"/>
              <w:left w:val="single" w:sz="4" w:space="0" w:color="000000"/>
              <w:bottom w:val="single" w:sz="4" w:space="0" w:color="000000"/>
              <w:right w:val="single" w:sz="4" w:space="0" w:color="000000"/>
            </w:tcBorders>
            <w:shd w:color="auto" w:fill="FFFFFF" w:val="clear"/>
          </w:tcPr>
          <w:p>
            <w:pPr>
              <w:pStyle w:val="Normal"/>
              <w:spacing w:lineRule="auto" w:line="240"/>
              <w:jc w:val="center"/>
              <w:rPr>
                <w:rFonts w:eastAsia="Times New Roman"/>
                <w:b/>
                <w:b/>
                <w:bCs/>
                <w:sz w:val="20"/>
                <w:szCs w:val="20"/>
              </w:rPr>
            </w:pPr>
            <w:r>
              <w:rPr>
                <w:b/>
                <w:sz w:val="20"/>
                <w:szCs w:val="20"/>
              </w:rPr>
              <w:t>1477</w:t>
            </w:r>
          </w:p>
        </w:tc>
        <w:tc>
          <w:tcPr>
            <w:tcW w:w="1805" w:type="dxa"/>
            <w:gridSpan w:val="2"/>
            <w:tcBorders>
              <w:top w:val="single" w:sz="4" w:space="0" w:color="000000"/>
              <w:left w:val="single" w:sz="4" w:space="0" w:color="000000"/>
              <w:bottom w:val="single" w:sz="4" w:space="0" w:color="000000"/>
              <w:right w:val="single" w:sz="4" w:space="0" w:color="000000"/>
            </w:tcBorders>
            <w:shd w:color="auto" w:fill="FFFFFF" w:val="clear"/>
          </w:tcPr>
          <w:p>
            <w:pPr>
              <w:pStyle w:val="Normal"/>
              <w:spacing w:lineRule="auto" w:line="240"/>
              <w:jc w:val="center"/>
              <w:rPr>
                <w:rFonts w:eastAsia="Times New Roman"/>
                <w:b/>
                <w:b/>
                <w:bCs/>
                <w:sz w:val="20"/>
                <w:szCs w:val="20"/>
              </w:rPr>
            </w:pPr>
            <w:r>
              <w:rPr>
                <w:b/>
                <w:sz w:val="20"/>
                <w:szCs w:val="20"/>
              </w:rPr>
              <w:t>1526</w:t>
            </w:r>
          </w:p>
        </w:tc>
      </w:tr>
      <w:tr>
        <w:trPr>
          <w:trHeight w:val="2054" w:hRule="atLeast"/>
          <w:cantSplit w:val="true"/>
        </w:trPr>
        <w:tc>
          <w:tcPr>
            <w:tcW w:w="2406" w:type="dxa"/>
            <w:tcBorders>
              <w:top w:val="single" w:sz="4" w:space="0" w:color="000000"/>
              <w:left w:val="single" w:sz="4" w:space="0" w:color="000000"/>
              <w:right w:val="single" w:sz="4" w:space="0" w:color="000000"/>
            </w:tcBorders>
            <w:shd w:color="auto" w:fill="FFFFFF" w:val="clear"/>
            <w:vAlign w:val="center"/>
          </w:tcPr>
          <w:p>
            <w:pPr>
              <w:pStyle w:val="Normal"/>
              <w:spacing w:lineRule="auto" w:line="240"/>
              <w:jc w:val="center"/>
              <w:rPr>
                <w:rFonts w:eastAsia="Times New Roman"/>
                <w:b/>
                <w:b/>
                <w:bCs/>
                <w:sz w:val="20"/>
                <w:szCs w:val="20"/>
              </w:rPr>
            </w:pPr>
            <w:r>
              <w:rPr>
                <w:rFonts w:eastAsia="Times New Roman"/>
                <w:b/>
                <w:bCs/>
                <w:sz w:val="20"/>
                <w:szCs w:val="20"/>
              </w:rPr>
              <w:t>наименование вида объекта</w:t>
            </w:r>
          </w:p>
        </w:tc>
        <w:tc>
          <w:tcPr>
            <w:tcW w:w="3979" w:type="dxa"/>
            <w:tcBorders>
              <w:top w:val="single" w:sz="4" w:space="0" w:color="000000"/>
              <w:left w:val="single" w:sz="4" w:space="0" w:color="000000"/>
              <w:right w:val="single" w:sz="4" w:space="0" w:color="000000"/>
            </w:tcBorders>
            <w:shd w:color="auto" w:fill="FFFFFF" w:val="clear"/>
            <w:vAlign w:val="center"/>
          </w:tcPr>
          <w:p>
            <w:pPr>
              <w:pStyle w:val="Normal"/>
              <w:spacing w:lineRule="auto" w:line="240"/>
              <w:jc w:val="center"/>
              <w:rPr>
                <w:rFonts w:eastAsia="Times New Roman"/>
                <w:b/>
                <w:b/>
                <w:bCs/>
                <w:sz w:val="20"/>
                <w:szCs w:val="20"/>
              </w:rPr>
            </w:pPr>
            <w:r>
              <w:rPr>
                <w:rFonts w:eastAsia="Times New Roman"/>
                <w:b/>
                <w:bCs/>
                <w:sz w:val="20"/>
                <w:szCs w:val="20"/>
              </w:rPr>
              <w:t xml:space="preserve">норма обеспеченности </w:t>
            </w:r>
          </w:p>
        </w:tc>
        <w:tc>
          <w:tcPr>
            <w:tcW w:w="910" w:type="dxa"/>
            <w:tcBorders>
              <w:top w:val="single" w:sz="4" w:space="0" w:color="000000"/>
              <w:left w:val="single" w:sz="4" w:space="0" w:color="000000"/>
              <w:right w:val="single" w:sz="4" w:space="0" w:color="000000"/>
            </w:tcBorders>
            <w:shd w:color="auto" w:fill="FFFFFF" w:val="clear"/>
            <w:textDirection w:val="btLr"/>
            <w:vAlign w:val="center"/>
          </w:tcPr>
          <w:p>
            <w:pPr>
              <w:pStyle w:val="Normal"/>
              <w:spacing w:lineRule="auto" w:line="240"/>
              <w:jc w:val="center"/>
              <w:rPr>
                <w:rFonts w:eastAsia="Times New Roman"/>
                <w:b/>
                <w:b/>
                <w:bCs/>
                <w:sz w:val="20"/>
                <w:szCs w:val="20"/>
              </w:rPr>
            </w:pPr>
            <w:r>
              <w:rPr>
                <w:rFonts w:eastAsia="Times New Roman"/>
                <w:b/>
                <w:bCs/>
                <w:sz w:val="20"/>
                <w:szCs w:val="20"/>
              </w:rPr>
              <w:t>проектная мощность, мест</w:t>
            </w:r>
          </w:p>
        </w:tc>
        <w:tc>
          <w:tcPr>
            <w:tcW w:w="912" w:type="dxa"/>
            <w:tcBorders>
              <w:top w:val="single" w:sz="4" w:space="0" w:color="000000"/>
              <w:left w:val="single" w:sz="4" w:space="0" w:color="000000"/>
              <w:right w:val="single" w:sz="4" w:space="0" w:color="000000"/>
            </w:tcBorders>
            <w:shd w:color="auto" w:fill="FFFFFF" w:val="clear"/>
            <w:textDirection w:val="btLr"/>
            <w:vAlign w:val="center"/>
          </w:tcPr>
          <w:p>
            <w:pPr>
              <w:pStyle w:val="Normal"/>
              <w:spacing w:lineRule="auto" w:line="240"/>
              <w:jc w:val="center"/>
              <w:rPr>
                <w:rFonts w:eastAsia="Times New Roman"/>
                <w:b/>
                <w:b/>
                <w:bCs/>
                <w:sz w:val="20"/>
                <w:szCs w:val="20"/>
              </w:rPr>
            </w:pPr>
            <w:r>
              <w:rPr>
                <w:rFonts w:eastAsia="Times New Roman"/>
                <w:b/>
                <w:bCs/>
                <w:sz w:val="20"/>
                <w:szCs w:val="20"/>
              </w:rPr>
              <w:t>фактическая посещаемость, мест</w:t>
            </w:r>
          </w:p>
        </w:tc>
        <w:tc>
          <w:tcPr>
            <w:tcW w:w="912" w:type="dxa"/>
            <w:tcBorders>
              <w:top w:val="single" w:sz="4" w:space="0" w:color="000000"/>
              <w:left w:val="single" w:sz="4" w:space="0" w:color="000000"/>
              <w:right w:val="single" w:sz="4" w:space="0" w:color="000000"/>
            </w:tcBorders>
            <w:shd w:color="auto" w:fill="FFFFFF" w:val="clear"/>
            <w:textDirection w:val="btLr"/>
            <w:vAlign w:val="center"/>
          </w:tcPr>
          <w:p>
            <w:pPr>
              <w:pStyle w:val="Normal"/>
              <w:spacing w:lineRule="auto" w:line="240"/>
              <w:jc w:val="center"/>
              <w:rPr>
                <w:rFonts w:eastAsia="Times New Roman"/>
                <w:b/>
                <w:b/>
                <w:bCs/>
                <w:sz w:val="20"/>
                <w:szCs w:val="20"/>
              </w:rPr>
            </w:pPr>
            <w:r>
              <w:rPr>
                <w:rFonts w:eastAsia="Times New Roman"/>
                <w:b/>
                <w:bCs/>
                <w:sz w:val="20"/>
                <w:szCs w:val="20"/>
              </w:rPr>
              <w:t>необходимо по норме на текущий момент, мест</w:t>
            </w:r>
          </w:p>
        </w:tc>
        <w:tc>
          <w:tcPr>
            <w:tcW w:w="909" w:type="dxa"/>
            <w:tcBorders>
              <w:top w:val="single" w:sz="4" w:space="0" w:color="000000"/>
              <w:left w:val="single" w:sz="4" w:space="0" w:color="000000"/>
              <w:right w:val="single" w:sz="4" w:space="0" w:color="000000"/>
            </w:tcBorders>
            <w:shd w:color="auto" w:fill="FFFFFF" w:val="clear"/>
            <w:textDirection w:val="btLr"/>
            <w:vAlign w:val="center"/>
          </w:tcPr>
          <w:p>
            <w:pPr>
              <w:pStyle w:val="Normal"/>
              <w:spacing w:lineRule="auto" w:line="240"/>
              <w:jc w:val="center"/>
              <w:rPr>
                <w:rFonts w:eastAsia="Times New Roman"/>
                <w:b/>
                <w:b/>
                <w:bCs/>
                <w:sz w:val="20"/>
                <w:szCs w:val="20"/>
              </w:rPr>
            </w:pPr>
            <w:r>
              <w:rPr>
                <w:rFonts w:eastAsia="Times New Roman"/>
                <w:b/>
                <w:bCs/>
                <w:sz w:val="20"/>
                <w:szCs w:val="20"/>
              </w:rPr>
              <w:t>фактическая обеспеченность, %</w:t>
            </w:r>
          </w:p>
        </w:tc>
        <w:tc>
          <w:tcPr>
            <w:tcW w:w="912" w:type="dxa"/>
            <w:tcBorders>
              <w:top w:val="single" w:sz="4" w:space="0" w:color="000000"/>
              <w:left w:val="single" w:sz="4" w:space="0" w:color="000000"/>
              <w:right w:val="single" w:sz="4" w:space="0" w:color="000000"/>
            </w:tcBorders>
            <w:shd w:color="auto" w:fill="FFFFFF" w:val="clear"/>
            <w:textDirection w:val="btLr"/>
            <w:vAlign w:val="center"/>
          </w:tcPr>
          <w:p>
            <w:pPr>
              <w:pStyle w:val="Normal"/>
              <w:spacing w:lineRule="auto" w:line="240"/>
              <w:jc w:val="center"/>
              <w:rPr>
                <w:rFonts w:eastAsia="Times New Roman"/>
                <w:b/>
                <w:b/>
                <w:bCs/>
                <w:sz w:val="20"/>
                <w:szCs w:val="20"/>
              </w:rPr>
            </w:pPr>
            <w:r>
              <w:rPr>
                <w:rFonts w:eastAsia="Times New Roman"/>
                <w:b/>
                <w:bCs/>
                <w:sz w:val="20"/>
                <w:szCs w:val="20"/>
              </w:rPr>
              <w:t>дефицит «-» / профицит, мест</w:t>
            </w:r>
          </w:p>
        </w:tc>
        <w:tc>
          <w:tcPr>
            <w:tcW w:w="912" w:type="dxa"/>
            <w:tcBorders>
              <w:top w:val="single" w:sz="4" w:space="0" w:color="000000"/>
              <w:left w:val="single" w:sz="4" w:space="0" w:color="000000"/>
              <w:right w:val="single" w:sz="4" w:space="0" w:color="000000"/>
            </w:tcBorders>
            <w:shd w:color="auto" w:fill="FFFFFF" w:val="clear"/>
            <w:textDirection w:val="btLr"/>
            <w:vAlign w:val="center"/>
          </w:tcPr>
          <w:p>
            <w:pPr>
              <w:pStyle w:val="Normal"/>
              <w:spacing w:lineRule="auto" w:line="240"/>
              <w:jc w:val="center"/>
              <w:rPr>
                <w:rFonts w:eastAsia="Times New Roman"/>
                <w:b/>
                <w:b/>
                <w:bCs/>
                <w:sz w:val="20"/>
                <w:szCs w:val="20"/>
              </w:rPr>
            </w:pPr>
            <w:r>
              <w:rPr>
                <w:rFonts w:eastAsia="Times New Roman"/>
                <w:b/>
                <w:bCs/>
                <w:sz w:val="20"/>
                <w:szCs w:val="20"/>
              </w:rPr>
              <w:t>необходимо по норме на первую очередь, мест</w:t>
            </w:r>
          </w:p>
        </w:tc>
        <w:tc>
          <w:tcPr>
            <w:tcW w:w="911" w:type="dxa"/>
            <w:tcBorders>
              <w:top w:val="single" w:sz="4" w:space="0" w:color="000000"/>
              <w:left w:val="single" w:sz="4" w:space="0" w:color="000000"/>
              <w:right w:val="single" w:sz="4" w:space="0" w:color="000000"/>
            </w:tcBorders>
            <w:shd w:color="auto" w:fill="FFFFFF" w:val="clear"/>
            <w:textDirection w:val="btLr"/>
            <w:vAlign w:val="center"/>
          </w:tcPr>
          <w:p>
            <w:pPr>
              <w:pStyle w:val="Normal"/>
              <w:spacing w:lineRule="auto" w:line="240"/>
              <w:jc w:val="center"/>
              <w:rPr>
                <w:rFonts w:eastAsia="Times New Roman"/>
                <w:b/>
                <w:b/>
                <w:bCs/>
                <w:sz w:val="20"/>
                <w:szCs w:val="20"/>
              </w:rPr>
            </w:pPr>
            <w:r>
              <w:rPr>
                <w:rFonts w:eastAsia="Times New Roman"/>
                <w:b/>
                <w:bCs/>
                <w:sz w:val="20"/>
                <w:szCs w:val="20"/>
              </w:rPr>
              <w:t>дефицит «-» / профицит, мест</w:t>
            </w:r>
          </w:p>
        </w:tc>
        <w:tc>
          <w:tcPr>
            <w:tcW w:w="912" w:type="dxa"/>
            <w:tcBorders>
              <w:top w:val="single" w:sz="4" w:space="0" w:color="000000"/>
              <w:left w:val="single" w:sz="4" w:space="0" w:color="000000"/>
              <w:right w:val="single" w:sz="4" w:space="0" w:color="000000"/>
            </w:tcBorders>
            <w:shd w:color="auto" w:fill="FFFFFF" w:val="clear"/>
            <w:textDirection w:val="btLr"/>
            <w:vAlign w:val="center"/>
          </w:tcPr>
          <w:p>
            <w:pPr>
              <w:pStyle w:val="Normal"/>
              <w:spacing w:lineRule="auto" w:line="240"/>
              <w:jc w:val="center"/>
              <w:rPr>
                <w:rFonts w:eastAsia="Times New Roman"/>
                <w:b/>
                <w:b/>
                <w:bCs/>
                <w:sz w:val="20"/>
                <w:szCs w:val="20"/>
              </w:rPr>
            </w:pPr>
            <w:r>
              <w:rPr>
                <w:rFonts w:eastAsia="Times New Roman"/>
                <w:b/>
                <w:bCs/>
                <w:sz w:val="20"/>
                <w:szCs w:val="20"/>
              </w:rPr>
              <w:t>необходимо по норме на расчетный срок, мест</w:t>
            </w:r>
          </w:p>
        </w:tc>
        <w:tc>
          <w:tcPr>
            <w:tcW w:w="893" w:type="dxa"/>
            <w:tcBorders>
              <w:top w:val="single" w:sz="4" w:space="0" w:color="000000"/>
              <w:left w:val="single" w:sz="4" w:space="0" w:color="000000"/>
              <w:right w:val="single" w:sz="4" w:space="0" w:color="000000"/>
            </w:tcBorders>
            <w:shd w:color="auto" w:fill="FFFFFF" w:val="clear"/>
            <w:textDirection w:val="btLr"/>
            <w:vAlign w:val="center"/>
          </w:tcPr>
          <w:p>
            <w:pPr>
              <w:pStyle w:val="Normal"/>
              <w:spacing w:lineRule="auto" w:line="240"/>
              <w:jc w:val="center"/>
              <w:rPr>
                <w:rFonts w:eastAsia="Times New Roman"/>
                <w:b/>
                <w:b/>
                <w:bCs/>
                <w:sz w:val="20"/>
                <w:szCs w:val="20"/>
              </w:rPr>
            </w:pPr>
            <w:r>
              <w:rPr>
                <w:rFonts w:eastAsia="Times New Roman"/>
                <w:b/>
                <w:bCs/>
                <w:sz w:val="20"/>
                <w:szCs w:val="20"/>
              </w:rPr>
              <w:t>дефицит «-» / профицит, мест</w:t>
            </w:r>
          </w:p>
        </w:tc>
      </w:tr>
    </w:tbl>
    <w:p>
      <w:pPr>
        <w:pStyle w:val="Normal"/>
        <w:spacing w:lineRule="auto" w:line="12"/>
        <w:rPr>
          <w:szCs w:val="24"/>
        </w:rPr>
      </w:pPr>
      <w:r>
        <w:rPr/>
      </w:r>
    </w:p>
    <w:tbl>
      <w:tblPr>
        <w:tblW w:w="5000" w:type="pct"/>
        <w:jc w:val="left"/>
        <w:tblInd w:w="-142" w:type="dxa"/>
        <w:tblCellMar>
          <w:top w:w="0" w:type="dxa"/>
          <w:left w:w="5" w:type="dxa"/>
          <w:bottom w:w="0" w:type="dxa"/>
          <w:right w:w="5" w:type="dxa"/>
        </w:tblCellMar>
        <w:tblLook w:firstRow="1" w:noVBand="1" w:lastRow="0" w:firstColumn="1" w:lastColumn="0" w:noHBand="0" w:val="04a0"/>
      </w:tblPr>
      <w:tblGrid>
        <w:gridCol w:w="2514"/>
        <w:gridCol w:w="3931"/>
        <w:gridCol w:w="901"/>
        <w:gridCol w:w="903"/>
        <w:gridCol w:w="903"/>
        <w:gridCol w:w="904"/>
        <w:gridCol w:w="904"/>
        <w:gridCol w:w="8"/>
        <w:gridCol w:w="903"/>
        <w:gridCol w:w="15"/>
        <w:gridCol w:w="893"/>
        <w:gridCol w:w="19"/>
        <w:gridCol w:w="888"/>
        <w:gridCol w:w="24"/>
        <w:gridCol w:w="858"/>
      </w:tblGrid>
      <w:tr>
        <w:trPr>
          <w:tblHeader w:val="true"/>
          <w:trHeight w:val="20" w:hRule="atLeast"/>
        </w:trPr>
        <w:tc>
          <w:tcPr>
            <w:tcW w:w="251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bCs/>
                <w:sz w:val="20"/>
                <w:szCs w:val="20"/>
              </w:rPr>
            </w:pPr>
            <w:r>
              <w:rPr>
                <w:rFonts w:eastAsia="Times New Roman"/>
                <w:b/>
                <w:bCs/>
                <w:sz w:val="20"/>
                <w:szCs w:val="20"/>
              </w:rPr>
              <w:t>1</w:t>
            </w:r>
          </w:p>
        </w:tc>
        <w:tc>
          <w:tcPr>
            <w:tcW w:w="393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bCs/>
                <w:sz w:val="20"/>
                <w:szCs w:val="20"/>
              </w:rPr>
            </w:pPr>
            <w:r>
              <w:rPr>
                <w:rFonts w:eastAsia="Times New Roman"/>
                <w:b/>
                <w:bCs/>
                <w:sz w:val="20"/>
                <w:szCs w:val="20"/>
              </w:rPr>
              <w:t>2</w:t>
            </w:r>
          </w:p>
        </w:tc>
        <w:tc>
          <w:tcPr>
            <w:tcW w:w="90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bCs/>
                <w:sz w:val="20"/>
                <w:szCs w:val="20"/>
              </w:rPr>
            </w:pPr>
            <w:r>
              <w:rPr>
                <w:rFonts w:eastAsia="Times New Roman"/>
                <w:b/>
                <w:bCs/>
                <w:sz w:val="20"/>
                <w:szCs w:val="20"/>
              </w:rPr>
              <w:t>3</w:t>
            </w:r>
          </w:p>
        </w:tc>
        <w:tc>
          <w:tcPr>
            <w:tcW w:w="90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bCs/>
                <w:sz w:val="20"/>
                <w:szCs w:val="20"/>
              </w:rPr>
            </w:pPr>
            <w:r>
              <w:rPr>
                <w:rFonts w:eastAsia="Times New Roman"/>
                <w:b/>
                <w:bCs/>
                <w:sz w:val="20"/>
                <w:szCs w:val="20"/>
              </w:rPr>
              <w:t>4</w:t>
            </w:r>
          </w:p>
        </w:tc>
        <w:tc>
          <w:tcPr>
            <w:tcW w:w="90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bCs/>
                <w:sz w:val="20"/>
                <w:szCs w:val="20"/>
              </w:rPr>
            </w:pPr>
            <w:r>
              <w:rPr>
                <w:rFonts w:eastAsia="Times New Roman"/>
                <w:b/>
                <w:bCs/>
                <w:sz w:val="20"/>
                <w:szCs w:val="20"/>
              </w:rPr>
              <w:t>5</w:t>
            </w:r>
          </w:p>
        </w:tc>
        <w:tc>
          <w:tcPr>
            <w:tcW w:w="90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bCs/>
                <w:sz w:val="20"/>
                <w:szCs w:val="20"/>
              </w:rPr>
            </w:pPr>
            <w:r>
              <w:rPr>
                <w:rFonts w:eastAsia="Times New Roman"/>
                <w:b/>
                <w:bCs/>
                <w:sz w:val="20"/>
                <w:szCs w:val="20"/>
              </w:rPr>
              <w:t>6</w:t>
            </w:r>
          </w:p>
        </w:tc>
        <w:tc>
          <w:tcPr>
            <w:tcW w:w="90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bCs/>
                <w:sz w:val="20"/>
                <w:szCs w:val="20"/>
              </w:rPr>
            </w:pPr>
            <w:r>
              <w:rPr>
                <w:rFonts w:eastAsia="Times New Roman"/>
                <w:b/>
                <w:bCs/>
                <w:sz w:val="20"/>
                <w:szCs w:val="20"/>
              </w:rPr>
              <w:t>7</w:t>
            </w:r>
          </w:p>
        </w:tc>
        <w:tc>
          <w:tcPr>
            <w:tcW w:w="911"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bCs/>
                <w:sz w:val="20"/>
                <w:szCs w:val="20"/>
              </w:rPr>
            </w:pPr>
            <w:r>
              <w:rPr>
                <w:rFonts w:eastAsia="Times New Roman"/>
                <w:b/>
                <w:bCs/>
                <w:sz w:val="20"/>
                <w:szCs w:val="20"/>
              </w:rPr>
              <w:t>8</w:t>
            </w:r>
          </w:p>
        </w:tc>
        <w:tc>
          <w:tcPr>
            <w:tcW w:w="908"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bCs/>
                <w:sz w:val="20"/>
                <w:szCs w:val="20"/>
              </w:rPr>
            </w:pPr>
            <w:r>
              <w:rPr>
                <w:rFonts w:eastAsia="Times New Roman"/>
                <w:b/>
                <w:bCs/>
                <w:sz w:val="20"/>
                <w:szCs w:val="20"/>
              </w:rPr>
              <w:t>9</w:t>
            </w:r>
          </w:p>
        </w:tc>
        <w:tc>
          <w:tcPr>
            <w:tcW w:w="907"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bCs/>
                <w:sz w:val="20"/>
                <w:szCs w:val="20"/>
              </w:rPr>
            </w:pPr>
            <w:r>
              <w:rPr>
                <w:rFonts w:eastAsia="Times New Roman"/>
                <w:b/>
                <w:bCs/>
                <w:sz w:val="20"/>
                <w:szCs w:val="20"/>
              </w:rPr>
              <w:t>10</w:t>
            </w:r>
          </w:p>
        </w:tc>
        <w:tc>
          <w:tcPr>
            <w:tcW w:w="882"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tabs>
                <w:tab w:val="clear" w:pos="708"/>
                <w:tab w:val="left" w:pos="240" w:leader="none"/>
                <w:tab w:val="center" w:pos="431" w:leader="none"/>
              </w:tabs>
              <w:spacing w:lineRule="auto" w:line="240"/>
              <w:jc w:val="left"/>
              <w:rPr>
                <w:rFonts w:eastAsia="Times New Roman"/>
                <w:b/>
                <w:b/>
                <w:bCs/>
                <w:sz w:val="20"/>
                <w:szCs w:val="20"/>
              </w:rPr>
            </w:pPr>
            <w:r>
              <w:rPr>
                <w:rFonts w:eastAsia="Times New Roman"/>
                <w:b/>
                <w:bCs/>
                <w:sz w:val="20"/>
                <w:szCs w:val="20"/>
              </w:rPr>
              <w:tab/>
              <w:tab/>
              <w:t>11</w:t>
            </w:r>
          </w:p>
        </w:tc>
      </w:tr>
      <w:tr>
        <w:trPr>
          <w:trHeight w:val="20" w:hRule="atLeast"/>
        </w:trPr>
        <w:tc>
          <w:tcPr>
            <w:tcW w:w="14568" w:type="dxa"/>
            <w:gridSpan w:val="15"/>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bCs/>
                <w:sz w:val="20"/>
                <w:szCs w:val="20"/>
              </w:rPr>
            </w:pPr>
            <w:r>
              <w:rPr>
                <w:rFonts w:eastAsia="Times New Roman"/>
                <w:b/>
                <w:bCs/>
                <w:sz w:val="20"/>
                <w:szCs w:val="20"/>
              </w:rPr>
              <w:t>Образование и наука (местное значение муниципального района)</w:t>
            </w:r>
          </w:p>
        </w:tc>
      </w:tr>
      <w:tr>
        <w:trPr>
          <w:trHeight w:val="20" w:hRule="atLeast"/>
        </w:trPr>
        <w:tc>
          <w:tcPr>
            <w:tcW w:w="2514" w:type="dxa"/>
            <w:tcBorders>
              <w:top w:val="single" w:sz="4" w:space="0" w:color="000000"/>
              <w:left w:val="single" w:sz="4" w:space="0" w:color="000000"/>
              <w:bottom w:val="single" w:sz="4" w:space="0" w:color="000000"/>
            </w:tcBorders>
            <w:shd w:color="auto" w:fill="auto" w:val="clear"/>
          </w:tcPr>
          <w:p>
            <w:pPr>
              <w:pStyle w:val="Normal"/>
              <w:widowControl w:val="false"/>
              <w:spacing w:lineRule="auto" w:line="240"/>
              <w:jc w:val="left"/>
              <w:rPr>
                <w:rFonts w:eastAsia="Times New Roman"/>
                <w:sz w:val="20"/>
                <w:szCs w:val="20"/>
              </w:rPr>
            </w:pPr>
            <w:r>
              <w:rPr>
                <w:sz w:val="20"/>
                <w:szCs w:val="20"/>
              </w:rPr>
              <w:t>Объекты дошкольного образования</w:t>
            </w:r>
          </w:p>
        </w:tc>
        <w:tc>
          <w:tcPr>
            <w:tcW w:w="3931" w:type="dxa"/>
            <w:tcBorders>
              <w:top w:val="single" w:sz="4" w:space="0" w:color="000000"/>
              <w:bottom w:val="single" w:sz="4" w:space="0" w:color="000000"/>
            </w:tcBorders>
            <w:shd w:color="auto" w:fill="auto" w:val="clear"/>
          </w:tcPr>
          <w:p>
            <w:pPr>
              <w:pStyle w:val="Normal"/>
              <w:spacing w:lineRule="auto" w:line="240"/>
              <w:jc w:val="left"/>
              <w:rPr>
                <w:sz w:val="20"/>
                <w:szCs w:val="20"/>
              </w:rPr>
            </w:pPr>
            <w:r>
              <w:rPr>
                <w:sz w:val="20"/>
                <w:szCs w:val="20"/>
              </w:rPr>
              <w:t>При отсутствии данных по демографии — не менее 100 мест на 1 тыс. человек</w:t>
            </w:r>
          </w:p>
        </w:tc>
        <w:tc>
          <w:tcPr>
            <w:tcW w:w="901" w:type="dxa"/>
            <w:tcBorders>
              <w:top w:val="single" w:sz="4" w:space="0" w:color="000000"/>
              <w:bottom w:val="single" w:sz="4" w:space="0" w:color="000000"/>
            </w:tcBorders>
            <w:shd w:color="auto" w:fill="auto" w:val="clear"/>
          </w:tcPr>
          <w:p>
            <w:pPr>
              <w:pStyle w:val="Normal"/>
              <w:spacing w:lineRule="auto" w:line="240"/>
              <w:jc w:val="center"/>
              <w:rPr>
                <w:rFonts w:eastAsia="Times New Roman"/>
                <w:sz w:val="20"/>
                <w:szCs w:val="20"/>
              </w:rPr>
            </w:pPr>
            <w:r>
              <w:rPr>
                <w:rFonts w:eastAsia="Times New Roman"/>
                <w:sz w:val="20"/>
                <w:szCs w:val="20"/>
              </w:rPr>
              <w:t>120</w:t>
            </w:r>
          </w:p>
        </w:tc>
        <w:tc>
          <w:tcPr>
            <w:tcW w:w="903" w:type="dxa"/>
            <w:tcBorders>
              <w:top w:val="single" w:sz="4" w:space="0" w:color="000000"/>
              <w:bottom w:val="single" w:sz="4" w:space="0" w:color="000000"/>
            </w:tcBorders>
            <w:shd w:color="auto" w:fill="auto" w:val="clear"/>
          </w:tcPr>
          <w:p>
            <w:pPr>
              <w:pStyle w:val="Normal"/>
              <w:spacing w:lineRule="auto" w:line="240"/>
              <w:jc w:val="center"/>
              <w:rPr>
                <w:sz w:val="20"/>
                <w:szCs w:val="20"/>
              </w:rPr>
            </w:pPr>
            <w:r>
              <w:rPr>
                <w:sz w:val="20"/>
                <w:szCs w:val="20"/>
              </w:rPr>
              <w:t>31</w:t>
            </w:r>
          </w:p>
        </w:tc>
        <w:tc>
          <w:tcPr>
            <w:tcW w:w="903" w:type="dxa"/>
            <w:tcBorders>
              <w:top w:val="single" w:sz="4" w:space="0" w:color="000000"/>
              <w:bottom w:val="single" w:sz="4" w:space="0" w:color="000000"/>
            </w:tcBorders>
            <w:shd w:color="auto" w:fill="auto" w:val="clear"/>
          </w:tcPr>
          <w:p>
            <w:pPr>
              <w:pStyle w:val="Normal"/>
              <w:spacing w:lineRule="auto" w:line="240"/>
              <w:jc w:val="center"/>
              <w:rPr>
                <w:sz w:val="20"/>
                <w:szCs w:val="20"/>
              </w:rPr>
            </w:pPr>
            <w:r>
              <w:rPr>
                <w:sz w:val="20"/>
                <w:szCs w:val="20"/>
              </w:rPr>
              <w:t>151</w:t>
            </w:r>
          </w:p>
        </w:tc>
        <w:tc>
          <w:tcPr>
            <w:tcW w:w="904" w:type="dxa"/>
            <w:tcBorders>
              <w:top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80</w:t>
            </w:r>
          </w:p>
        </w:tc>
        <w:tc>
          <w:tcPr>
            <w:tcW w:w="90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-31</w:t>
            </w:r>
          </w:p>
        </w:tc>
        <w:tc>
          <w:tcPr>
            <w:tcW w:w="911"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148</w:t>
            </w:r>
          </w:p>
        </w:tc>
        <w:tc>
          <w:tcPr>
            <w:tcW w:w="908"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-28</w:t>
            </w:r>
          </w:p>
        </w:tc>
        <w:tc>
          <w:tcPr>
            <w:tcW w:w="907"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153</w:t>
            </w:r>
          </w:p>
        </w:tc>
        <w:tc>
          <w:tcPr>
            <w:tcW w:w="882"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-33</w:t>
            </w:r>
          </w:p>
        </w:tc>
      </w:tr>
      <w:tr>
        <w:trPr>
          <w:trHeight w:val="20" w:hRule="atLeast"/>
        </w:trPr>
        <w:tc>
          <w:tcPr>
            <w:tcW w:w="2514" w:type="dxa"/>
            <w:tcBorders>
              <w:top w:val="single" w:sz="4" w:space="0" w:color="000000"/>
              <w:left w:val="single" w:sz="4" w:space="0" w:color="000000"/>
              <w:bottom w:val="single" w:sz="4" w:space="0" w:color="000000"/>
            </w:tcBorders>
            <w:shd w:color="auto" w:fill="auto" w:val="clear"/>
          </w:tcPr>
          <w:p>
            <w:pPr>
              <w:pStyle w:val="Normal"/>
              <w:widowControl w:val="false"/>
              <w:spacing w:lineRule="auto" w:line="240"/>
              <w:jc w:val="left"/>
              <w:rPr>
                <w:rFonts w:eastAsia="Times New Roman"/>
                <w:sz w:val="20"/>
                <w:szCs w:val="20"/>
              </w:rPr>
            </w:pPr>
            <w:r>
              <w:rPr>
                <w:sz w:val="20"/>
                <w:szCs w:val="20"/>
              </w:rPr>
              <w:t>Объекты общеобразовательных организаций</w:t>
            </w:r>
          </w:p>
        </w:tc>
        <w:tc>
          <w:tcPr>
            <w:tcW w:w="3931" w:type="dxa"/>
            <w:tcBorders>
              <w:top w:val="single" w:sz="4" w:space="0" w:color="000000"/>
              <w:bottom w:val="single" w:sz="4" w:space="0" w:color="000000"/>
            </w:tcBorders>
            <w:shd w:color="auto" w:fill="auto" w:val="clear"/>
          </w:tcPr>
          <w:p>
            <w:pPr>
              <w:pStyle w:val="Normal"/>
              <w:spacing w:lineRule="auto" w:line="240"/>
              <w:jc w:val="left"/>
              <w:rPr>
                <w:rFonts w:eastAsia="Times New Roman"/>
                <w:sz w:val="20"/>
                <w:szCs w:val="20"/>
              </w:rPr>
            </w:pPr>
            <w:r>
              <w:rPr>
                <w:rFonts w:eastAsia="Times New Roman"/>
                <w:sz w:val="20"/>
                <w:szCs w:val="20"/>
              </w:rPr>
              <w:t>При отсутствии данных по демографии — не менее 180 учащихся на 1 тыс. человек</w:t>
            </w:r>
          </w:p>
        </w:tc>
        <w:tc>
          <w:tcPr>
            <w:tcW w:w="901" w:type="dxa"/>
            <w:tcBorders>
              <w:top w:val="single" w:sz="4" w:space="0" w:color="000000"/>
              <w:bottom w:val="single" w:sz="4" w:space="0" w:color="000000"/>
            </w:tcBorders>
            <w:shd w:color="auto" w:fill="auto" w:val="clear"/>
          </w:tcPr>
          <w:p>
            <w:pPr>
              <w:pStyle w:val="Normal"/>
              <w:spacing w:lineRule="auto" w:line="240"/>
              <w:jc w:val="center"/>
              <w:rPr>
                <w:rFonts w:eastAsia="Times New Roman"/>
                <w:sz w:val="20"/>
                <w:szCs w:val="20"/>
              </w:rPr>
            </w:pPr>
            <w:r>
              <w:rPr>
                <w:rFonts w:eastAsia="Times New Roman"/>
                <w:sz w:val="20"/>
                <w:szCs w:val="20"/>
              </w:rPr>
              <w:t>395</w:t>
            </w:r>
          </w:p>
        </w:tc>
        <w:tc>
          <w:tcPr>
            <w:tcW w:w="903" w:type="dxa"/>
            <w:tcBorders>
              <w:top w:val="single" w:sz="4" w:space="0" w:color="000000"/>
              <w:bottom w:val="single" w:sz="4" w:space="0" w:color="000000"/>
            </w:tcBorders>
            <w:shd w:color="auto" w:fill="auto" w:val="clear"/>
          </w:tcPr>
          <w:p>
            <w:pPr>
              <w:pStyle w:val="Normal"/>
              <w:spacing w:lineRule="auto" w:line="240"/>
              <w:jc w:val="center"/>
              <w:rPr>
                <w:sz w:val="20"/>
                <w:szCs w:val="20"/>
              </w:rPr>
            </w:pPr>
            <w:r>
              <w:rPr>
                <w:sz w:val="20"/>
                <w:szCs w:val="20"/>
              </w:rPr>
              <w:t>95</w:t>
            </w:r>
          </w:p>
        </w:tc>
        <w:tc>
          <w:tcPr>
            <w:tcW w:w="903" w:type="dxa"/>
            <w:tcBorders>
              <w:top w:val="single" w:sz="4" w:space="0" w:color="000000"/>
              <w:bottom w:val="single" w:sz="4" w:space="0" w:color="000000"/>
            </w:tcBorders>
            <w:shd w:color="auto" w:fill="auto" w:val="clear"/>
          </w:tcPr>
          <w:p>
            <w:pPr>
              <w:pStyle w:val="Normal"/>
              <w:spacing w:lineRule="auto" w:line="240"/>
              <w:jc w:val="center"/>
              <w:rPr>
                <w:sz w:val="20"/>
                <w:szCs w:val="20"/>
              </w:rPr>
            </w:pPr>
            <w:r>
              <w:rPr>
                <w:sz w:val="20"/>
                <w:szCs w:val="20"/>
              </w:rPr>
              <w:t>271</w:t>
            </w:r>
          </w:p>
        </w:tc>
        <w:tc>
          <w:tcPr>
            <w:tcW w:w="904" w:type="dxa"/>
            <w:tcBorders>
              <w:top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w:t>
            </w:r>
          </w:p>
        </w:tc>
        <w:tc>
          <w:tcPr>
            <w:tcW w:w="90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124</w:t>
            </w:r>
          </w:p>
        </w:tc>
        <w:tc>
          <w:tcPr>
            <w:tcW w:w="911"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266</w:t>
            </w:r>
          </w:p>
        </w:tc>
        <w:tc>
          <w:tcPr>
            <w:tcW w:w="908"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129</w:t>
            </w:r>
          </w:p>
        </w:tc>
        <w:tc>
          <w:tcPr>
            <w:tcW w:w="907"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275</w:t>
            </w:r>
          </w:p>
        </w:tc>
        <w:tc>
          <w:tcPr>
            <w:tcW w:w="882"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120</w:t>
            </w:r>
          </w:p>
        </w:tc>
      </w:tr>
      <w:tr>
        <w:trPr>
          <w:trHeight w:val="20" w:hRule="atLeast"/>
        </w:trPr>
        <w:tc>
          <w:tcPr>
            <w:tcW w:w="14568" w:type="dxa"/>
            <w:gridSpan w:val="15"/>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 xml:space="preserve">Здравоохранение </w:t>
            </w:r>
            <w:r>
              <w:rPr>
                <w:rFonts w:eastAsia="Times New Roman"/>
                <w:b/>
                <w:bCs/>
                <w:sz w:val="20"/>
                <w:szCs w:val="20"/>
              </w:rPr>
              <w:t>(региональное значения)</w:t>
            </w:r>
          </w:p>
        </w:tc>
      </w:tr>
      <w:tr>
        <w:trPr>
          <w:trHeight w:val="20" w:hRule="atLeast"/>
        </w:trPr>
        <w:tc>
          <w:tcPr>
            <w:tcW w:w="2514" w:type="dxa"/>
            <w:tcBorders>
              <w:top w:val="single" w:sz="4" w:space="0" w:color="000000"/>
              <w:left w:val="single" w:sz="4" w:space="0" w:color="000000"/>
              <w:bottom w:val="single" w:sz="4" w:space="0" w:color="000000"/>
            </w:tcBorders>
            <w:shd w:color="auto" w:fill="auto" w:val="clear"/>
          </w:tcPr>
          <w:p>
            <w:pPr>
              <w:pStyle w:val="Normal"/>
              <w:spacing w:lineRule="auto" w:line="240"/>
              <w:jc w:val="left"/>
              <w:rPr>
                <w:sz w:val="20"/>
                <w:szCs w:val="20"/>
              </w:rPr>
            </w:pPr>
            <w:r>
              <w:rPr>
                <w:sz w:val="20"/>
                <w:szCs w:val="20"/>
              </w:rPr>
              <w:t>Фельдшерские и фельдшерско-акушерские пункты</w:t>
            </w:r>
          </w:p>
        </w:tc>
        <w:tc>
          <w:tcPr>
            <w:tcW w:w="3931" w:type="dxa"/>
            <w:tcBorders>
              <w:top w:val="single" w:sz="4" w:space="0" w:color="000000"/>
              <w:bottom w:val="single" w:sz="4" w:space="0" w:color="000000"/>
            </w:tcBorders>
            <w:shd w:color="auto" w:fill="auto" w:val="clear"/>
          </w:tcPr>
          <w:p>
            <w:pPr>
              <w:pStyle w:val="Normal"/>
              <w:spacing w:lineRule="auto" w:line="240"/>
              <w:jc w:val="left"/>
              <w:rPr>
                <w:sz w:val="20"/>
                <w:szCs w:val="20"/>
              </w:rPr>
            </w:pPr>
            <w:r>
              <w:rPr>
                <w:sz w:val="20"/>
                <w:szCs w:val="20"/>
              </w:rPr>
              <w:t>Не менее 1 на тыс. чел.</w:t>
            </w:r>
          </w:p>
        </w:tc>
        <w:tc>
          <w:tcPr>
            <w:tcW w:w="901" w:type="dxa"/>
            <w:tcBorders>
              <w:top w:val="single" w:sz="4" w:space="0" w:color="000000"/>
              <w:bottom w:val="single" w:sz="4" w:space="0" w:color="000000"/>
            </w:tcBorders>
            <w:shd w:color="auto" w:fill="auto" w:val="clear"/>
          </w:tcPr>
          <w:p>
            <w:pPr>
              <w:pStyle w:val="Normal"/>
              <w:spacing w:lineRule="auto" w:line="240"/>
              <w:jc w:val="center"/>
              <w:rPr>
                <w:sz w:val="20"/>
                <w:szCs w:val="20"/>
              </w:rPr>
            </w:pPr>
            <w:r>
              <w:rPr>
                <w:sz w:val="20"/>
                <w:szCs w:val="20"/>
              </w:rPr>
              <w:t>4</w:t>
            </w:r>
          </w:p>
        </w:tc>
        <w:tc>
          <w:tcPr>
            <w:tcW w:w="903" w:type="dxa"/>
            <w:tcBorders>
              <w:top w:val="single" w:sz="4" w:space="0" w:color="000000"/>
              <w:bottom w:val="single" w:sz="4" w:space="0" w:color="000000"/>
            </w:tcBorders>
            <w:shd w:color="auto" w:fill="auto" w:val="clear"/>
          </w:tcPr>
          <w:p>
            <w:pPr>
              <w:pStyle w:val="Normal"/>
              <w:spacing w:lineRule="auto" w:line="240"/>
              <w:jc w:val="center"/>
              <w:rPr>
                <w:sz w:val="20"/>
                <w:szCs w:val="20"/>
              </w:rPr>
            </w:pPr>
            <w:r>
              <w:rPr>
                <w:sz w:val="20"/>
                <w:szCs w:val="20"/>
              </w:rPr>
              <w:t>-</w:t>
            </w:r>
          </w:p>
        </w:tc>
        <w:tc>
          <w:tcPr>
            <w:tcW w:w="903" w:type="dxa"/>
            <w:tcBorders>
              <w:top w:val="single" w:sz="4" w:space="0" w:color="000000"/>
              <w:bottom w:val="single" w:sz="4" w:space="0" w:color="000000"/>
            </w:tcBorders>
            <w:shd w:color="auto" w:fill="auto" w:val="clear"/>
          </w:tcPr>
          <w:p>
            <w:pPr>
              <w:pStyle w:val="Normal"/>
              <w:spacing w:lineRule="auto" w:line="240"/>
              <w:jc w:val="center"/>
              <w:rPr>
                <w:sz w:val="20"/>
                <w:szCs w:val="20"/>
              </w:rPr>
            </w:pPr>
            <w:r>
              <w:rPr>
                <w:sz w:val="20"/>
                <w:szCs w:val="20"/>
              </w:rPr>
              <w:t>2</w:t>
            </w:r>
          </w:p>
        </w:tc>
        <w:tc>
          <w:tcPr>
            <w:tcW w:w="904" w:type="dxa"/>
            <w:tcBorders>
              <w:top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w:t>
            </w:r>
          </w:p>
        </w:tc>
        <w:tc>
          <w:tcPr>
            <w:tcW w:w="912"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2</w:t>
            </w:r>
          </w:p>
        </w:tc>
        <w:tc>
          <w:tcPr>
            <w:tcW w:w="918"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2</w:t>
            </w:r>
          </w:p>
        </w:tc>
        <w:tc>
          <w:tcPr>
            <w:tcW w:w="912"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2</w:t>
            </w:r>
          </w:p>
        </w:tc>
        <w:tc>
          <w:tcPr>
            <w:tcW w:w="912"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2</w:t>
            </w:r>
          </w:p>
        </w:tc>
        <w:tc>
          <w:tcPr>
            <w:tcW w:w="85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2</w:t>
            </w:r>
          </w:p>
        </w:tc>
      </w:tr>
      <w:tr>
        <w:trPr>
          <w:trHeight w:val="20" w:hRule="atLeast"/>
        </w:trPr>
        <w:tc>
          <w:tcPr>
            <w:tcW w:w="14568" w:type="dxa"/>
            <w:gridSpan w:val="15"/>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rFonts w:eastAsia="Times New Roman"/>
                <w:b/>
                <w:bCs/>
                <w:sz w:val="20"/>
                <w:szCs w:val="20"/>
              </w:rPr>
              <w:t xml:space="preserve">Физическая культура и массовый спорт </w:t>
            </w:r>
            <w:r>
              <w:rPr>
                <w:rFonts w:eastAsia="Times New Roman"/>
                <w:b/>
                <w:bCs/>
                <w:sz w:val="20"/>
              </w:rPr>
              <w:t>(местного значения поселения)</w:t>
            </w:r>
          </w:p>
        </w:tc>
      </w:tr>
      <w:tr>
        <w:trPr>
          <w:trHeight w:val="20" w:hRule="atLeast"/>
        </w:trPr>
        <w:tc>
          <w:tcPr>
            <w:tcW w:w="2514" w:type="dxa"/>
            <w:tcBorders>
              <w:top w:val="single" w:sz="4" w:space="0" w:color="000000"/>
              <w:left w:val="single" w:sz="4" w:space="0" w:color="000000"/>
              <w:bottom w:val="single" w:sz="4" w:space="0" w:color="000000"/>
            </w:tcBorders>
            <w:shd w:color="auto" w:fill="auto" w:val="clear"/>
          </w:tcPr>
          <w:p>
            <w:pPr>
              <w:pStyle w:val="Normal"/>
              <w:spacing w:lineRule="auto" w:line="240"/>
              <w:jc w:val="left"/>
              <w:rPr>
                <w:sz w:val="20"/>
                <w:szCs w:val="20"/>
              </w:rPr>
            </w:pPr>
            <w:r>
              <w:rPr>
                <w:sz w:val="20"/>
                <w:szCs w:val="20"/>
              </w:rPr>
              <w:t>Плоскостные спортивные сооружения</w:t>
            </w:r>
          </w:p>
        </w:tc>
        <w:tc>
          <w:tcPr>
            <w:tcW w:w="3931" w:type="dxa"/>
            <w:tcBorders>
              <w:top w:val="single" w:sz="4" w:space="0" w:color="000000"/>
              <w:bottom w:val="single" w:sz="4" w:space="0" w:color="000000"/>
            </w:tcBorders>
            <w:shd w:color="auto" w:fill="auto" w:val="clear"/>
          </w:tcPr>
          <w:p>
            <w:pPr>
              <w:pStyle w:val="Normal"/>
              <w:spacing w:lineRule="auto" w:line="240"/>
              <w:jc w:val="left"/>
              <w:rPr>
                <w:sz w:val="20"/>
                <w:szCs w:val="20"/>
              </w:rPr>
            </w:pPr>
            <w:r>
              <w:rPr>
                <w:sz w:val="20"/>
                <w:szCs w:val="20"/>
              </w:rPr>
              <w:t>1950 м</w:t>
            </w:r>
            <w:r>
              <w:rPr>
                <w:sz w:val="20"/>
                <w:szCs w:val="20"/>
                <w:vertAlign w:val="superscript"/>
              </w:rPr>
              <w:t>2</w:t>
            </w:r>
            <w:r>
              <w:rPr>
                <w:sz w:val="20"/>
                <w:szCs w:val="20"/>
              </w:rPr>
              <w:t xml:space="preserve"> общей площади на 1 тыс. человек</w:t>
            </w:r>
          </w:p>
        </w:tc>
        <w:tc>
          <w:tcPr>
            <w:tcW w:w="901" w:type="dxa"/>
            <w:tcBorders>
              <w:top w:val="single" w:sz="4" w:space="0" w:color="000000"/>
              <w:bottom w:val="single" w:sz="4" w:space="0" w:color="000000"/>
            </w:tcBorders>
            <w:shd w:color="auto" w:fill="auto" w:val="clear"/>
          </w:tcPr>
          <w:p>
            <w:pPr>
              <w:pStyle w:val="Normal"/>
              <w:spacing w:lineRule="auto" w:line="240"/>
              <w:jc w:val="center"/>
              <w:rPr>
                <w:sz w:val="20"/>
                <w:szCs w:val="20"/>
              </w:rPr>
            </w:pPr>
            <w:r>
              <w:rPr>
                <w:sz w:val="20"/>
                <w:szCs w:val="20"/>
              </w:rPr>
              <w:t>7000</w:t>
            </w:r>
          </w:p>
        </w:tc>
        <w:tc>
          <w:tcPr>
            <w:tcW w:w="903" w:type="dxa"/>
            <w:tcBorders>
              <w:top w:val="single" w:sz="4" w:space="0" w:color="000000"/>
              <w:bottom w:val="single" w:sz="4" w:space="0" w:color="000000"/>
            </w:tcBorders>
            <w:shd w:color="auto" w:fill="auto" w:val="clear"/>
          </w:tcPr>
          <w:p>
            <w:pPr>
              <w:pStyle w:val="Normal"/>
              <w:spacing w:lineRule="auto" w:line="240"/>
              <w:jc w:val="center"/>
              <w:rPr>
                <w:sz w:val="20"/>
                <w:szCs w:val="20"/>
              </w:rPr>
            </w:pPr>
            <w:r>
              <w:rPr>
                <w:sz w:val="20"/>
                <w:szCs w:val="20"/>
              </w:rPr>
              <w:t>-</w:t>
            </w:r>
          </w:p>
        </w:tc>
        <w:tc>
          <w:tcPr>
            <w:tcW w:w="903" w:type="dxa"/>
            <w:tcBorders>
              <w:top w:val="single" w:sz="4" w:space="0" w:color="000000"/>
              <w:bottom w:val="single" w:sz="4" w:space="0" w:color="000000"/>
            </w:tcBorders>
            <w:shd w:color="auto" w:fill="auto" w:val="clear"/>
          </w:tcPr>
          <w:p>
            <w:pPr>
              <w:pStyle w:val="Normal"/>
              <w:spacing w:lineRule="auto" w:line="240"/>
              <w:jc w:val="center"/>
              <w:rPr>
                <w:sz w:val="20"/>
                <w:szCs w:val="20"/>
              </w:rPr>
            </w:pPr>
            <w:r>
              <w:rPr>
                <w:sz w:val="20"/>
                <w:szCs w:val="20"/>
              </w:rPr>
              <w:t>2934</w:t>
            </w:r>
          </w:p>
        </w:tc>
        <w:tc>
          <w:tcPr>
            <w:tcW w:w="904" w:type="dxa"/>
            <w:tcBorders>
              <w:top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w:t>
            </w:r>
          </w:p>
        </w:tc>
        <w:tc>
          <w:tcPr>
            <w:tcW w:w="912"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4066</w:t>
            </w:r>
          </w:p>
        </w:tc>
        <w:tc>
          <w:tcPr>
            <w:tcW w:w="918"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2880</w:t>
            </w:r>
          </w:p>
        </w:tc>
        <w:tc>
          <w:tcPr>
            <w:tcW w:w="912"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4120</w:t>
            </w:r>
          </w:p>
        </w:tc>
        <w:tc>
          <w:tcPr>
            <w:tcW w:w="912"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2976</w:t>
            </w:r>
          </w:p>
        </w:tc>
        <w:tc>
          <w:tcPr>
            <w:tcW w:w="85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4024</w:t>
            </w:r>
          </w:p>
        </w:tc>
      </w:tr>
      <w:tr>
        <w:trPr>
          <w:trHeight w:val="20" w:hRule="atLeast"/>
        </w:trPr>
        <w:tc>
          <w:tcPr>
            <w:tcW w:w="14568" w:type="dxa"/>
            <w:gridSpan w:val="15"/>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bCs/>
                <w:sz w:val="20"/>
                <w:szCs w:val="20"/>
              </w:rPr>
            </w:pPr>
            <w:r>
              <w:rPr>
                <w:rFonts w:eastAsia="Times New Roman"/>
                <w:b/>
                <w:bCs/>
                <w:sz w:val="20"/>
                <w:szCs w:val="20"/>
              </w:rPr>
              <w:t>Культура и искусство (местное значение муниципального района)</w:t>
            </w:r>
          </w:p>
        </w:tc>
      </w:tr>
      <w:tr>
        <w:trPr>
          <w:trHeight w:val="20" w:hRule="atLeast"/>
        </w:trPr>
        <w:tc>
          <w:tcPr>
            <w:tcW w:w="2514" w:type="dxa"/>
            <w:tcBorders>
              <w:top w:val="single" w:sz="4" w:space="0" w:color="000000"/>
              <w:left w:val="single" w:sz="4" w:space="0" w:color="000000"/>
              <w:bottom w:val="single" w:sz="4" w:space="0" w:color="000000"/>
            </w:tcBorders>
            <w:shd w:color="auto" w:fill="auto" w:val="clear"/>
          </w:tcPr>
          <w:p>
            <w:pPr>
              <w:pStyle w:val="Normal"/>
              <w:spacing w:lineRule="auto" w:line="240"/>
              <w:jc w:val="left"/>
              <w:rPr>
                <w:sz w:val="20"/>
                <w:szCs w:val="20"/>
              </w:rPr>
            </w:pPr>
            <w:r>
              <w:rPr>
                <w:sz w:val="20"/>
                <w:szCs w:val="20"/>
              </w:rPr>
              <w:t xml:space="preserve">Межпоселенческие дома культуры на группу сельских поселений </w:t>
            </w:r>
          </w:p>
        </w:tc>
        <w:tc>
          <w:tcPr>
            <w:tcW w:w="3931" w:type="dxa"/>
            <w:tcBorders>
              <w:top w:val="single" w:sz="4" w:space="0" w:color="000000"/>
              <w:bottom w:val="single" w:sz="4" w:space="0" w:color="000000"/>
            </w:tcBorders>
            <w:shd w:color="auto" w:fill="auto" w:val="clear"/>
          </w:tcPr>
          <w:p>
            <w:pPr>
              <w:pStyle w:val="Normal"/>
              <w:spacing w:lineRule="auto" w:line="240"/>
              <w:jc w:val="left"/>
              <w:rPr>
                <w:sz w:val="20"/>
                <w:szCs w:val="20"/>
                <w:lang w:eastAsia="ru-RU"/>
              </w:rPr>
            </w:pPr>
            <w:r>
              <w:rPr>
                <w:sz w:val="20"/>
                <w:szCs w:val="20"/>
                <w:lang w:eastAsia="ru-RU"/>
              </w:rPr>
              <w:t>1 с вместимостью не менее 80 мест на 1 тыс.</w:t>
            </w:r>
          </w:p>
          <w:p>
            <w:pPr>
              <w:pStyle w:val="Normal"/>
              <w:spacing w:lineRule="auto" w:line="240"/>
              <w:jc w:val="left"/>
              <w:rPr>
                <w:sz w:val="20"/>
                <w:szCs w:val="20"/>
                <w:lang w:eastAsia="ru-RU"/>
              </w:rPr>
            </w:pPr>
            <w:r>
              <w:rPr>
                <w:sz w:val="20"/>
                <w:szCs w:val="20"/>
                <w:lang w:eastAsia="ru-RU"/>
              </w:rPr>
              <w:t>человек</w:t>
            </w:r>
          </w:p>
        </w:tc>
        <w:tc>
          <w:tcPr>
            <w:tcW w:w="901" w:type="dxa"/>
            <w:tcBorders>
              <w:top w:val="single" w:sz="4" w:space="0" w:color="000000"/>
              <w:bottom w:val="single" w:sz="4" w:space="0" w:color="000000"/>
            </w:tcBorders>
            <w:shd w:color="auto" w:fill="auto" w:val="clear"/>
          </w:tcPr>
          <w:p>
            <w:pPr>
              <w:pStyle w:val="Normal"/>
              <w:spacing w:lineRule="auto" w:line="240"/>
              <w:jc w:val="center"/>
              <w:rPr>
                <w:rFonts w:eastAsia="Times New Roman"/>
                <w:sz w:val="20"/>
                <w:szCs w:val="20"/>
              </w:rPr>
            </w:pPr>
            <w:r>
              <w:rPr>
                <w:rFonts w:eastAsia="Times New Roman"/>
                <w:sz w:val="20"/>
                <w:szCs w:val="20"/>
              </w:rPr>
              <w:t>59</w:t>
            </w:r>
          </w:p>
        </w:tc>
        <w:tc>
          <w:tcPr>
            <w:tcW w:w="903" w:type="dxa"/>
            <w:tcBorders>
              <w:top w:val="single" w:sz="4" w:space="0" w:color="000000"/>
              <w:bottom w:val="single" w:sz="4" w:space="0" w:color="000000"/>
            </w:tcBorders>
            <w:shd w:color="auto" w:fill="auto" w:val="clear"/>
          </w:tcPr>
          <w:p>
            <w:pPr>
              <w:pStyle w:val="Normal"/>
              <w:spacing w:lineRule="auto" w:line="240"/>
              <w:jc w:val="center"/>
              <w:rPr>
                <w:sz w:val="20"/>
                <w:szCs w:val="20"/>
              </w:rPr>
            </w:pPr>
            <w:r>
              <w:rPr>
                <w:sz w:val="20"/>
                <w:szCs w:val="20"/>
              </w:rPr>
              <w:t>-</w:t>
            </w:r>
          </w:p>
        </w:tc>
        <w:tc>
          <w:tcPr>
            <w:tcW w:w="903" w:type="dxa"/>
            <w:tcBorders>
              <w:top w:val="single" w:sz="4" w:space="0" w:color="000000"/>
              <w:bottom w:val="single" w:sz="4" w:space="0" w:color="000000"/>
            </w:tcBorders>
            <w:shd w:color="auto" w:fill="auto" w:val="clear"/>
          </w:tcPr>
          <w:p>
            <w:pPr>
              <w:pStyle w:val="Normal"/>
              <w:spacing w:lineRule="auto" w:line="240"/>
              <w:jc w:val="center"/>
              <w:rPr>
                <w:sz w:val="20"/>
                <w:szCs w:val="20"/>
              </w:rPr>
            </w:pPr>
            <w:r>
              <w:rPr>
                <w:sz w:val="20"/>
                <w:szCs w:val="20"/>
              </w:rPr>
              <w:t>121</w:t>
            </w:r>
          </w:p>
        </w:tc>
        <w:tc>
          <w:tcPr>
            <w:tcW w:w="904" w:type="dxa"/>
            <w:tcBorders>
              <w:top w:val="single" w:sz="4" w:space="0" w:color="000000"/>
              <w:bottom w:val="single" w:sz="4" w:space="0" w:color="000000"/>
            </w:tcBorders>
            <w:shd w:color="auto" w:fill="auto" w:val="clear"/>
          </w:tcPr>
          <w:p>
            <w:pPr>
              <w:pStyle w:val="Normal"/>
              <w:spacing w:lineRule="auto" w:line="240"/>
              <w:jc w:val="center"/>
              <w:rPr>
                <w:sz w:val="20"/>
                <w:szCs w:val="20"/>
              </w:rPr>
            </w:pPr>
            <w:r>
              <w:rPr>
                <w:sz w:val="20"/>
                <w:szCs w:val="20"/>
              </w:rPr>
              <w:t>49</w:t>
            </w:r>
          </w:p>
        </w:tc>
        <w:tc>
          <w:tcPr>
            <w:tcW w:w="912" w:type="dxa"/>
            <w:gridSpan w:val="2"/>
            <w:tcBorders>
              <w:top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-62</w:t>
            </w:r>
          </w:p>
        </w:tc>
        <w:tc>
          <w:tcPr>
            <w:tcW w:w="918"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119</w:t>
            </w:r>
          </w:p>
        </w:tc>
        <w:tc>
          <w:tcPr>
            <w:tcW w:w="912"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-60</w:t>
            </w:r>
          </w:p>
        </w:tc>
        <w:tc>
          <w:tcPr>
            <w:tcW w:w="912"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122</w:t>
            </w:r>
          </w:p>
        </w:tc>
        <w:tc>
          <w:tcPr>
            <w:tcW w:w="85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-63</w:t>
            </w:r>
          </w:p>
        </w:tc>
      </w:tr>
      <w:tr>
        <w:trPr>
          <w:trHeight w:val="20" w:hRule="atLeast"/>
        </w:trPr>
        <w:tc>
          <w:tcPr>
            <w:tcW w:w="14568" w:type="dxa"/>
            <w:gridSpan w:val="15"/>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Обеспечение ритуального обслуживания (местного значения поселения)</w:t>
            </w:r>
          </w:p>
        </w:tc>
      </w:tr>
      <w:tr>
        <w:trPr>
          <w:trHeight w:val="20" w:hRule="atLeast"/>
        </w:trPr>
        <w:tc>
          <w:tcPr>
            <w:tcW w:w="2514" w:type="dxa"/>
            <w:tcBorders>
              <w:top w:val="single" w:sz="4" w:space="0" w:color="000000"/>
              <w:left w:val="single" w:sz="4" w:space="0" w:color="000000"/>
              <w:bottom w:val="single" w:sz="4" w:space="0" w:color="000000"/>
            </w:tcBorders>
            <w:shd w:color="auto" w:fill="auto" w:val="clear"/>
          </w:tcPr>
          <w:p>
            <w:pPr>
              <w:pStyle w:val="Normal"/>
              <w:spacing w:lineRule="auto" w:line="240"/>
              <w:jc w:val="left"/>
              <w:rPr>
                <w:sz w:val="20"/>
                <w:szCs w:val="20"/>
              </w:rPr>
            </w:pPr>
            <w:r>
              <w:rPr>
                <w:sz w:val="20"/>
                <w:szCs w:val="20"/>
              </w:rPr>
              <w:t>Кладбища</w:t>
            </w:r>
          </w:p>
        </w:tc>
        <w:tc>
          <w:tcPr>
            <w:tcW w:w="3931" w:type="dxa"/>
            <w:tcBorders>
              <w:top w:val="single" w:sz="4" w:space="0" w:color="000000"/>
              <w:bottom w:val="single" w:sz="4" w:space="0" w:color="000000"/>
            </w:tcBorders>
            <w:shd w:color="auto" w:fill="auto" w:val="clear"/>
          </w:tcPr>
          <w:p>
            <w:pPr>
              <w:pStyle w:val="Normal"/>
              <w:spacing w:lineRule="auto" w:line="240"/>
              <w:jc w:val="left"/>
              <w:rPr>
                <w:sz w:val="20"/>
                <w:szCs w:val="20"/>
                <w:lang w:eastAsia="ru-RU"/>
              </w:rPr>
            </w:pPr>
            <w:r>
              <w:rPr>
                <w:sz w:val="20"/>
                <w:szCs w:val="20"/>
                <w:lang w:eastAsia="ru-RU"/>
              </w:rPr>
              <w:t>0,24 га на 1 тыс. человек</w:t>
            </w:r>
          </w:p>
        </w:tc>
        <w:tc>
          <w:tcPr>
            <w:tcW w:w="901" w:type="dxa"/>
            <w:tcBorders>
              <w:top w:val="single" w:sz="4" w:space="0" w:color="000000"/>
              <w:bottom w:val="single" w:sz="4" w:space="0" w:color="000000"/>
            </w:tcBorders>
            <w:shd w:color="auto" w:fill="auto" w:val="clear"/>
          </w:tcPr>
          <w:p>
            <w:pPr>
              <w:pStyle w:val="Normal"/>
              <w:spacing w:lineRule="auto" w:line="240"/>
              <w:jc w:val="center"/>
              <w:rPr>
                <w:rFonts w:eastAsia="Times New Roman"/>
                <w:sz w:val="20"/>
                <w:szCs w:val="20"/>
              </w:rPr>
            </w:pPr>
            <w:r>
              <w:rPr>
                <w:rFonts w:eastAsia="Times New Roman"/>
                <w:sz w:val="20"/>
                <w:szCs w:val="20"/>
              </w:rPr>
              <w:t>3,69</w:t>
            </w:r>
          </w:p>
        </w:tc>
        <w:tc>
          <w:tcPr>
            <w:tcW w:w="903" w:type="dxa"/>
            <w:tcBorders>
              <w:top w:val="single" w:sz="4" w:space="0" w:color="000000"/>
              <w:bottom w:val="single" w:sz="4" w:space="0" w:color="000000"/>
            </w:tcBorders>
            <w:shd w:color="auto" w:fill="auto" w:val="clear"/>
          </w:tcPr>
          <w:p>
            <w:pPr>
              <w:pStyle w:val="Normal"/>
              <w:spacing w:lineRule="auto" w:line="240"/>
              <w:jc w:val="center"/>
              <w:rPr>
                <w:sz w:val="20"/>
                <w:szCs w:val="20"/>
              </w:rPr>
            </w:pPr>
            <w:r>
              <w:rPr>
                <w:sz w:val="20"/>
                <w:szCs w:val="20"/>
              </w:rPr>
              <w:t>-</w:t>
            </w:r>
          </w:p>
        </w:tc>
        <w:tc>
          <w:tcPr>
            <w:tcW w:w="903" w:type="dxa"/>
            <w:tcBorders>
              <w:top w:val="single" w:sz="4" w:space="0" w:color="000000"/>
              <w:bottom w:val="single" w:sz="4" w:space="0" w:color="000000"/>
            </w:tcBorders>
            <w:shd w:color="auto" w:fill="auto" w:val="clear"/>
          </w:tcPr>
          <w:p>
            <w:pPr>
              <w:pStyle w:val="Normal"/>
              <w:spacing w:lineRule="auto" w:line="240"/>
              <w:jc w:val="center"/>
              <w:rPr>
                <w:sz w:val="20"/>
                <w:szCs w:val="20"/>
              </w:rPr>
            </w:pPr>
            <w:r>
              <w:rPr>
                <w:sz w:val="20"/>
                <w:szCs w:val="20"/>
              </w:rPr>
              <w:t>0,36</w:t>
            </w:r>
          </w:p>
        </w:tc>
        <w:tc>
          <w:tcPr>
            <w:tcW w:w="904" w:type="dxa"/>
            <w:tcBorders>
              <w:top w:val="single" w:sz="4" w:space="0" w:color="000000"/>
              <w:bottom w:val="single" w:sz="4" w:space="0" w:color="000000"/>
            </w:tcBorders>
            <w:shd w:color="auto" w:fill="auto" w:val="clear"/>
          </w:tcPr>
          <w:p>
            <w:pPr>
              <w:pStyle w:val="Normal"/>
              <w:spacing w:lineRule="auto" w:line="240"/>
              <w:jc w:val="center"/>
              <w:rPr>
                <w:sz w:val="20"/>
                <w:szCs w:val="20"/>
              </w:rPr>
            </w:pPr>
            <w:r>
              <w:rPr>
                <w:sz w:val="20"/>
                <w:szCs w:val="20"/>
              </w:rPr>
              <w:t>100</w:t>
            </w:r>
          </w:p>
        </w:tc>
        <w:tc>
          <w:tcPr>
            <w:tcW w:w="912" w:type="dxa"/>
            <w:gridSpan w:val="2"/>
            <w:tcBorders>
              <w:top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3,33</w:t>
            </w:r>
          </w:p>
        </w:tc>
        <w:tc>
          <w:tcPr>
            <w:tcW w:w="918"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0,35</w:t>
            </w:r>
          </w:p>
        </w:tc>
        <w:tc>
          <w:tcPr>
            <w:tcW w:w="912"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3,34</w:t>
            </w:r>
          </w:p>
        </w:tc>
        <w:tc>
          <w:tcPr>
            <w:tcW w:w="912"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0,37</w:t>
            </w:r>
          </w:p>
        </w:tc>
        <w:tc>
          <w:tcPr>
            <w:tcW w:w="85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3,32</w:t>
            </w:r>
          </w:p>
        </w:tc>
      </w:tr>
    </w:tbl>
    <w:p>
      <w:pPr>
        <w:sectPr>
          <w:headerReference w:type="default" r:id="rId72"/>
          <w:footerReference w:type="default" r:id="rId73"/>
          <w:type w:val="nextPage"/>
          <w:pgSz w:orient="landscape" w:w="16838" w:h="11906"/>
          <w:pgMar w:left="1134" w:right="1134" w:header="567" w:top="1418" w:footer="567" w:bottom="624" w:gutter="0"/>
          <w:pgNumType w:fmt="decimal"/>
          <w:formProt w:val="false"/>
          <w:textDirection w:val="lrTb"/>
          <w:docGrid w:type="default" w:linePitch="360" w:charSpace="0"/>
        </w:sectPr>
      </w:pPr>
    </w:p>
    <w:p>
      <w:pPr>
        <w:pStyle w:val="0212161"/>
        <w:rPr>
          <w:szCs w:val="24"/>
        </w:rPr>
      </w:pPr>
      <w:bookmarkStart w:id="99" w:name="_Toc182210464"/>
      <w:r>
        <w:rPr/>
        <w:t xml:space="preserve">5.2 Система </w:t>
      </w:r>
      <w:r>
        <w:rPr>
          <w:rFonts w:eastAsia="Tahoma"/>
        </w:rPr>
        <w:t>социального</w:t>
      </w:r>
      <w:r>
        <w:rPr/>
        <w:t xml:space="preserve"> и культурно-досугового обслуживания </w:t>
      </w:r>
      <w:bookmarkEnd w:id="95"/>
      <w:bookmarkEnd w:id="96"/>
      <w:bookmarkEnd w:id="97"/>
      <w:bookmarkEnd w:id="98"/>
      <w:r>
        <w:rPr/>
        <w:t>муниципального образования</w:t>
      </w:r>
      <w:bookmarkEnd w:id="94"/>
      <w:bookmarkEnd w:id="99"/>
      <w:r>
        <w:rPr/>
        <w:t xml:space="preserve"> </w:t>
      </w:r>
      <w:bookmarkStart w:id="100" w:name="_Toc494398046"/>
      <w:bookmarkStart w:id="101" w:name="_Toc477453294"/>
      <w:bookmarkStart w:id="102" w:name="_Toc468200604"/>
    </w:p>
    <w:p>
      <w:pPr>
        <w:pStyle w:val="0212161"/>
        <w:rPr>
          <w:szCs w:val="24"/>
        </w:rPr>
      </w:pPr>
      <w:bookmarkStart w:id="103" w:name="_Toc182210465"/>
      <w:bookmarkStart w:id="104" w:name="_Toc69297540"/>
      <w:bookmarkStart w:id="105" w:name="_Toc27748720"/>
      <w:r>
        <w:rPr/>
        <w:t xml:space="preserve">5.2.1 </w:t>
      </w:r>
      <w:r>
        <w:rPr>
          <w:rFonts w:eastAsia="Tahoma"/>
        </w:rPr>
        <w:t>Образование</w:t>
      </w:r>
      <w:bookmarkEnd w:id="100"/>
      <w:bookmarkEnd w:id="101"/>
      <w:bookmarkEnd w:id="102"/>
      <w:bookmarkEnd w:id="104"/>
      <w:bookmarkEnd w:id="105"/>
      <w:r>
        <w:rPr/>
        <w:t xml:space="preserve"> и наука</w:t>
      </w:r>
      <w:bookmarkEnd w:id="103"/>
    </w:p>
    <w:p>
      <w:pPr>
        <w:pStyle w:val="Normal"/>
        <w:spacing w:lineRule="auto" w:line="276" w:before="120" w:after="200"/>
        <w:ind w:firstLine="709"/>
        <w:rPr>
          <w:b/>
          <w:b/>
        </w:rPr>
      </w:pPr>
      <w:r>
        <w:rPr>
          <w:b/>
        </w:rPr>
        <w:t>Анализ существующего состояния</w:t>
      </w:r>
    </w:p>
    <w:p>
      <w:pPr>
        <w:pStyle w:val="Normal"/>
        <w:widowControl w:val="false"/>
        <w:tabs>
          <w:tab w:val="clear" w:pos="708"/>
          <w:tab w:val="left" w:pos="709" w:leader="none"/>
          <w:tab w:val="left" w:pos="851" w:leader="none"/>
        </w:tabs>
        <w:spacing w:lineRule="auto" w:line="276"/>
        <w:ind w:firstLine="709"/>
        <w:rPr>
          <w:rFonts w:eastAsia="Times New Roman"/>
          <w:szCs w:val="24"/>
          <w:lang w:eastAsia="ru-RU"/>
        </w:rPr>
      </w:pPr>
      <w:r>
        <w:rPr>
          <w:rFonts w:eastAsia="Times New Roman"/>
          <w:szCs w:val="24"/>
          <w:lang w:eastAsia="ru-RU"/>
        </w:rPr>
        <w:t>Система образования Катенинского сельского поселения формируется дошкольными образовательными организациями, общеобразовательными организациями.</w:t>
      </w:r>
    </w:p>
    <w:p>
      <w:pPr>
        <w:pStyle w:val="Normal"/>
        <w:spacing w:lineRule="auto" w:line="276"/>
        <w:ind w:firstLine="709"/>
        <w:rPr>
          <w:rFonts w:eastAsia="Times New Roman"/>
          <w:szCs w:val="24"/>
          <w:lang w:eastAsia="ru-RU"/>
        </w:rPr>
      </w:pPr>
      <w:r>
        <w:rPr>
          <w:rFonts w:eastAsia="Times New Roman"/>
          <w:szCs w:val="24"/>
          <w:lang w:eastAsia="ru-RU"/>
        </w:rPr>
        <w:t>Сводный перечень объектов в сфере образования и науки, расположенных на территории сельского поселения приведен в таблице 3.5.2.</w:t>
      </w:r>
    </w:p>
    <w:p>
      <w:pPr>
        <w:pStyle w:val="Normal"/>
        <w:spacing w:lineRule="auto" w:line="276"/>
        <w:ind w:firstLine="709"/>
        <w:jc w:val="right"/>
        <w:rPr>
          <w:rFonts w:eastAsia="Times New Roman"/>
          <w:szCs w:val="24"/>
          <w:lang w:eastAsia="ru-RU"/>
        </w:rPr>
      </w:pPr>
      <w:r>
        <w:rPr>
          <w:rFonts w:eastAsia="Times New Roman"/>
          <w:szCs w:val="24"/>
          <w:lang w:eastAsia="ru-RU"/>
        </w:rPr>
        <w:t>Таблица 3.5.2</w:t>
      </w:r>
    </w:p>
    <w:p>
      <w:pPr>
        <w:pStyle w:val="Normal"/>
        <w:spacing w:lineRule="auto" w:line="276"/>
        <w:jc w:val="center"/>
        <w:rPr>
          <w:rFonts w:eastAsia="Times New Roman"/>
          <w:szCs w:val="24"/>
          <w:lang w:eastAsia="ru-RU"/>
        </w:rPr>
      </w:pPr>
      <w:r>
        <w:rPr>
          <w:rFonts w:eastAsia="Times New Roman"/>
          <w:szCs w:val="24"/>
          <w:lang w:eastAsia="ru-RU"/>
        </w:rPr>
        <w:t>Перечень объектов местного значения муниципального района в области образования и науки</w:t>
      </w:r>
    </w:p>
    <w:tbl>
      <w:tblPr>
        <w:tblStyle w:val="1ff9"/>
        <w:tblW w:w="5000" w:type="pct"/>
        <w:jc w:val="left"/>
        <w:tblInd w:w="-142" w:type="dxa"/>
        <w:tblCellMar>
          <w:top w:w="0" w:type="dxa"/>
          <w:left w:w="28" w:type="dxa"/>
          <w:bottom w:w="0" w:type="dxa"/>
          <w:right w:w="28" w:type="dxa"/>
        </w:tblCellMar>
        <w:tblLook w:firstRow="1" w:noVBand="1" w:lastRow="0" w:firstColumn="1" w:lastColumn="0" w:noHBand="0" w:val="04a0"/>
      </w:tblPr>
      <w:tblGrid>
        <w:gridCol w:w="392"/>
        <w:gridCol w:w="839"/>
        <w:gridCol w:w="1543"/>
        <w:gridCol w:w="1963"/>
        <w:gridCol w:w="2104"/>
        <w:gridCol w:w="842"/>
        <w:gridCol w:w="702"/>
        <w:gridCol w:w="982"/>
        <w:gridCol w:w="553"/>
      </w:tblGrid>
      <w:tr>
        <w:trPr>
          <w:trHeight w:val="1556" w:hRule="atLeast"/>
          <w:cantSplit w:val="true"/>
        </w:trPr>
        <w:tc>
          <w:tcPr>
            <w:tcW w:w="392" w:type="dxa"/>
            <w:tcBorders>
              <w:bottom w:val="nil"/>
            </w:tcBorders>
            <w:vAlign w:val="center"/>
          </w:tcPr>
          <w:p>
            <w:pPr>
              <w:pStyle w:val="Normal"/>
              <w:widowControl w:val="false"/>
              <w:spacing w:lineRule="auto" w:line="240"/>
              <w:jc w:val="center"/>
              <w:rPr>
                <w:rFonts w:eastAsia="Times New Roman"/>
                <w:b/>
                <w:b/>
                <w:bCs/>
                <w:sz w:val="20"/>
                <w:highlight w:val="white"/>
                <w:lang w:bidi="ru-RU"/>
              </w:rPr>
            </w:pPr>
            <w:r>
              <w:rPr>
                <w:rFonts w:eastAsia="Times New Roman"/>
                <w:b/>
                <w:bCs/>
                <w:sz w:val="20"/>
                <w:szCs w:val="22"/>
                <w:shd w:fill="FFFFFF" w:val="clear"/>
                <w:lang w:eastAsia="en-US" w:bidi="ru-RU"/>
              </w:rPr>
              <w:t>№</w:t>
            </w:r>
          </w:p>
        </w:tc>
        <w:tc>
          <w:tcPr>
            <w:tcW w:w="839" w:type="dxa"/>
            <w:tcBorders>
              <w:bottom w:val="nil"/>
            </w:tcBorders>
            <w:vAlign w:val="center"/>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 xml:space="preserve">№ </w:t>
            </w:r>
            <w:r>
              <w:rPr>
                <w:b/>
                <w:bCs/>
                <w:sz w:val="20"/>
                <w:szCs w:val="22"/>
                <w:shd w:fill="FFFFFF" w:val="clear"/>
                <w:lang w:eastAsia="en-US" w:bidi="ru-RU"/>
              </w:rPr>
              <w:t>объекта на карте</w:t>
            </w:r>
          </w:p>
        </w:tc>
        <w:tc>
          <w:tcPr>
            <w:tcW w:w="1543" w:type="dxa"/>
            <w:tcBorders>
              <w:bottom w:val="nil"/>
            </w:tcBorders>
            <w:vAlign w:val="center"/>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Наименование</w:t>
            </w:r>
          </w:p>
        </w:tc>
        <w:tc>
          <w:tcPr>
            <w:tcW w:w="1963" w:type="dxa"/>
            <w:tcBorders>
              <w:bottom w:val="nil"/>
            </w:tcBorders>
            <w:vAlign w:val="center"/>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Местоположение</w:t>
            </w:r>
          </w:p>
        </w:tc>
        <w:tc>
          <w:tcPr>
            <w:tcW w:w="2104" w:type="dxa"/>
            <w:tcBorders>
              <w:bottom w:val="nil"/>
            </w:tcBorders>
            <w:vAlign w:val="center"/>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Обслуживаемые населенные пункты</w:t>
            </w:r>
          </w:p>
        </w:tc>
        <w:tc>
          <w:tcPr>
            <w:tcW w:w="842" w:type="dxa"/>
            <w:tcBorders>
              <w:bottom w:val="nil"/>
            </w:tcBorders>
            <w:textDirection w:val="btLr"/>
          </w:tcPr>
          <w:p>
            <w:pPr>
              <w:pStyle w:val="Normal"/>
              <w:spacing w:lineRule="auto" w:line="240"/>
              <w:ind w:left="113" w:right="-2" w:hanging="0"/>
              <w:jc w:val="center"/>
              <w:rPr>
                <w:b/>
                <w:b/>
                <w:bCs/>
                <w:sz w:val="20"/>
                <w:highlight w:val="white"/>
                <w:lang w:bidi="ru-RU"/>
              </w:rPr>
            </w:pPr>
            <w:r>
              <w:rPr>
                <w:b/>
                <w:bCs/>
                <w:sz w:val="20"/>
                <w:szCs w:val="22"/>
                <w:shd w:fill="FFFFFF" w:val="clear"/>
                <w:lang w:eastAsia="en-US" w:bidi="ru-RU"/>
              </w:rPr>
              <w:t>Проектная мощность, места</w:t>
            </w:r>
          </w:p>
        </w:tc>
        <w:tc>
          <w:tcPr>
            <w:tcW w:w="702" w:type="dxa"/>
            <w:tcBorders>
              <w:bottom w:val="nil"/>
            </w:tcBorders>
            <w:textDirection w:val="btLr"/>
            <w:vAlign w:val="center"/>
          </w:tcPr>
          <w:p>
            <w:pPr>
              <w:pStyle w:val="Normal"/>
              <w:spacing w:lineRule="auto" w:line="240"/>
              <w:ind w:left="113" w:right="-2" w:hanging="0"/>
              <w:jc w:val="center"/>
              <w:rPr>
                <w:b/>
                <w:b/>
                <w:bCs/>
                <w:sz w:val="20"/>
                <w:highlight w:val="white"/>
                <w:lang w:bidi="ru-RU"/>
              </w:rPr>
            </w:pPr>
            <w:r>
              <w:rPr>
                <w:b/>
                <w:bCs/>
                <w:sz w:val="20"/>
                <w:szCs w:val="22"/>
                <w:shd w:fill="FFFFFF" w:val="clear"/>
                <w:lang w:eastAsia="en-US" w:bidi="ru-RU"/>
              </w:rPr>
              <w:t>Фактическая посещаемость, мест</w:t>
            </w:r>
          </w:p>
        </w:tc>
        <w:tc>
          <w:tcPr>
            <w:tcW w:w="982" w:type="dxa"/>
            <w:tcBorders>
              <w:bottom w:val="nil"/>
            </w:tcBorders>
            <w:textDirection w:val="btLr"/>
            <w:vAlign w:val="center"/>
          </w:tcPr>
          <w:p>
            <w:pPr>
              <w:pStyle w:val="Normal"/>
              <w:spacing w:lineRule="auto" w:line="240"/>
              <w:ind w:left="113" w:right="-2" w:hanging="0"/>
              <w:jc w:val="center"/>
              <w:rPr>
                <w:b/>
                <w:b/>
                <w:bCs/>
                <w:sz w:val="20"/>
                <w:highlight w:val="white"/>
                <w:lang w:bidi="ru-RU"/>
              </w:rPr>
            </w:pPr>
            <w:r>
              <w:rPr>
                <w:b/>
                <w:bCs/>
                <w:sz w:val="20"/>
                <w:szCs w:val="22"/>
                <w:shd w:fill="FFFFFF" w:val="clear"/>
                <w:lang w:eastAsia="en-US" w:bidi="ru-RU"/>
              </w:rPr>
              <w:t>Год постройки, характеристика объекта</w:t>
            </w:r>
          </w:p>
        </w:tc>
        <w:tc>
          <w:tcPr>
            <w:tcW w:w="553" w:type="dxa"/>
            <w:tcBorders>
              <w:bottom w:val="nil"/>
            </w:tcBorders>
            <w:textDirection w:val="btLr"/>
            <w:vAlign w:val="center"/>
          </w:tcPr>
          <w:p>
            <w:pPr>
              <w:pStyle w:val="Normal"/>
              <w:spacing w:lineRule="auto" w:line="240"/>
              <w:ind w:left="113" w:right="113" w:hanging="0"/>
              <w:jc w:val="center"/>
              <w:rPr>
                <w:b/>
                <w:b/>
                <w:bCs/>
                <w:sz w:val="20"/>
                <w:highlight w:val="white"/>
                <w:lang w:bidi="ru-RU"/>
              </w:rPr>
            </w:pPr>
            <w:r>
              <w:rPr>
                <w:b/>
                <w:bCs/>
                <w:sz w:val="20"/>
                <w:szCs w:val="22"/>
                <w:shd w:fill="FFFFFF" w:val="clear"/>
                <w:lang w:eastAsia="en-US" w:bidi="ru-RU"/>
              </w:rPr>
              <w:t>Физический</w:t>
            </w:r>
          </w:p>
          <w:p>
            <w:pPr>
              <w:pStyle w:val="Normal"/>
              <w:spacing w:lineRule="auto" w:line="240"/>
              <w:ind w:left="113" w:right="-2" w:hanging="0"/>
              <w:jc w:val="center"/>
              <w:rPr>
                <w:b/>
                <w:b/>
                <w:bCs/>
                <w:sz w:val="20"/>
                <w:highlight w:val="white"/>
                <w:lang w:bidi="ru-RU"/>
              </w:rPr>
            </w:pPr>
            <w:r>
              <w:rPr>
                <w:b/>
                <w:bCs/>
                <w:sz w:val="20"/>
                <w:szCs w:val="22"/>
                <w:shd w:fill="FFFFFF" w:val="clear"/>
                <w:lang w:eastAsia="en-US" w:bidi="ru-RU"/>
              </w:rPr>
              <w:t>износ, %</w:t>
            </w:r>
          </w:p>
        </w:tc>
      </w:tr>
    </w:tbl>
    <w:p>
      <w:pPr>
        <w:pStyle w:val="Normal"/>
        <w:spacing w:lineRule="auto" w:line="240"/>
        <w:rPr>
          <w:sz w:val="2"/>
          <w:szCs w:val="2"/>
        </w:rPr>
      </w:pPr>
      <w:r>
        <w:rPr>
          <w:sz w:val="2"/>
          <w:szCs w:val="2"/>
        </w:rPr>
      </w:r>
    </w:p>
    <w:tbl>
      <w:tblPr>
        <w:tblStyle w:val="1ff9"/>
        <w:tblW w:w="5000" w:type="pct"/>
        <w:jc w:val="left"/>
        <w:tblInd w:w="-108" w:type="dxa"/>
        <w:tblCellMar>
          <w:top w:w="0" w:type="dxa"/>
          <w:left w:w="108" w:type="dxa"/>
          <w:bottom w:w="0" w:type="dxa"/>
          <w:right w:w="108" w:type="dxa"/>
        </w:tblCellMar>
        <w:tblLook w:firstRow="1" w:noVBand="1" w:lastRow="0" w:firstColumn="1" w:lastColumn="0" w:noHBand="0" w:val="04a0"/>
      </w:tblPr>
      <w:tblGrid>
        <w:gridCol w:w="278"/>
        <w:gridCol w:w="850"/>
        <w:gridCol w:w="1562"/>
        <w:gridCol w:w="1985"/>
        <w:gridCol w:w="2129"/>
        <w:gridCol w:w="851"/>
        <w:gridCol w:w="712"/>
        <w:gridCol w:w="992"/>
        <w:gridCol w:w="561"/>
      </w:tblGrid>
      <w:tr>
        <w:trPr>
          <w:tblHeader w:val="true"/>
          <w:trHeight w:val="20" w:hRule="atLeast"/>
        </w:trPr>
        <w:tc>
          <w:tcPr>
            <w:tcW w:w="278" w:type="dxa"/>
            <w:tcBorders/>
            <w:vAlign w:val="center"/>
          </w:tcPr>
          <w:p>
            <w:pPr>
              <w:pStyle w:val="Normal"/>
              <w:widowControl w:val="false"/>
              <w:spacing w:lineRule="auto" w:line="240"/>
              <w:jc w:val="center"/>
              <w:rPr>
                <w:rFonts w:eastAsia="Times New Roman"/>
                <w:b/>
                <w:b/>
                <w:bCs/>
                <w:sz w:val="20"/>
                <w:szCs w:val="20"/>
                <w:highlight w:val="white"/>
                <w:lang w:bidi="ru-RU"/>
              </w:rPr>
            </w:pPr>
            <w:r>
              <w:rPr>
                <w:rFonts w:eastAsia="Times New Roman"/>
                <w:b/>
                <w:bCs/>
                <w:sz w:val="20"/>
                <w:szCs w:val="20"/>
                <w:shd w:fill="FFFFFF" w:val="clear"/>
                <w:lang w:eastAsia="en-US" w:bidi="ru-RU"/>
              </w:rPr>
              <w:t>1</w:t>
            </w:r>
          </w:p>
        </w:tc>
        <w:tc>
          <w:tcPr>
            <w:tcW w:w="850" w:type="dxa"/>
            <w:tcBorders/>
          </w:tcPr>
          <w:p>
            <w:pPr>
              <w:pStyle w:val="Normal"/>
              <w:spacing w:lineRule="auto" w:line="240"/>
              <w:ind w:right="-2" w:hanging="0"/>
              <w:jc w:val="center"/>
              <w:rPr>
                <w:b/>
                <w:b/>
                <w:bCs/>
                <w:sz w:val="20"/>
                <w:szCs w:val="20"/>
                <w:highlight w:val="white"/>
                <w:lang w:bidi="ru-RU"/>
              </w:rPr>
            </w:pPr>
            <w:r>
              <w:rPr>
                <w:b/>
                <w:bCs/>
                <w:sz w:val="20"/>
                <w:szCs w:val="20"/>
                <w:shd w:fill="FFFFFF" w:val="clear"/>
                <w:lang w:eastAsia="en-US" w:bidi="ru-RU"/>
              </w:rPr>
              <w:t>2</w:t>
            </w:r>
          </w:p>
        </w:tc>
        <w:tc>
          <w:tcPr>
            <w:tcW w:w="1562" w:type="dxa"/>
            <w:tcBorders/>
            <w:vAlign w:val="center"/>
          </w:tcPr>
          <w:p>
            <w:pPr>
              <w:pStyle w:val="Normal"/>
              <w:spacing w:lineRule="auto" w:line="240"/>
              <w:ind w:right="-2" w:hanging="0"/>
              <w:jc w:val="center"/>
              <w:rPr>
                <w:b/>
                <w:b/>
                <w:bCs/>
                <w:sz w:val="20"/>
                <w:szCs w:val="20"/>
                <w:highlight w:val="white"/>
                <w:lang w:bidi="ru-RU"/>
              </w:rPr>
            </w:pPr>
            <w:r>
              <w:rPr>
                <w:b/>
                <w:bCs/>
                <w:sz w:val="20"/>
                <w:szCs w:val="20"/>
                <w:shd w:fill="FFFFFF" w:val="clear"/>
                <w:lang w:eastAsia="en-US" w:bidi="ru-RU"/>
              </w:rPr>
              <w:t>3</w:t>
            </w:r>
          </w:p>
        </w:tc>
        <w:tc>
          <w:tcPr>
            <w:tcW w:w="1985" w:type="dxa"/>
            <w:tcBorders/>
            <w:vAlign w:val="center"/>
          </w:tcPr>
          <w:p>
            <w:pPr>
              <w:pStyle w:val="Normal"/>
              <w:spacing w:lineRule="auto" w:line="240"/>
              <w:ind w:right="-2" w:hanging="0"/>
              <w:jc w:val="center"/>
              <w:rPr>
                <w:b/>
                <w:b/>
                <w:bCs/>
                <w:sz w:val="20"/>
                <w:szCs w:val="20"/>
                <w:highlight w:val="white"/>
                <w:lang w:bidi="ru-RU"/>
              </w:rPr>
            </w:pPr>
            <w:r>
              <w:rPr>
                <w:b/>
                <w:bCs/>
                <w:sz w:val="20"/>
                <w:szCs w:val="20"/>
                <w:shd w:fill="FFFFFF" w:val="clear"/>
                <w:lang w:eastAsia="en-US" w:bidi="ru-RU"/>
              </w:rPr>
              <w:t>4</w:t>
            </w:r>
          </w:p>
        </w:tc>
        <w:tc>
          <w:tcPr>
            <w:tcW w:w="2129" w:type="dxa"/>
            <w:tcBorders/>
          </w:tcPr>
          <w:p>
            <w:pPr>
              <w:pStyle w:val="Normal"/>
              <w:spacing w:lineRule="auto" w:line="240"/>
              <w:ind w:right="-2" w:hanging="0"/>
              <w:jc w:val="center"/>
              <w:rPr>
                <w:b/>
                <w:b/>
                <w:bCs/>
                <w:sz w:val="20"/>
                <w:szCs w:val="20"/>
                <w:highlight w:val="white"/>
                <w:lang w:bidi="ru-RU"/>
              </w:rPr>
            </w:pPr>
            <w:r>
              <w:rPr>
                <w:b/>
                <w:bCs/>
                <w:sz w:val="20"/>
                <w:szCs w:val="20"/>
                <w:shd w:fill="FFFFFF" w:val="clear"/>
                <w:lang w:eastAsia="en-US" w:bidi="ru-RU"/>
              </w:rPr>
              <w:t>5</w:t>
            </w:r>
          </w:p>
        </w:tc>
        <w:tc>
          <w:tcPr>
            <w:tcW w:w="851" w:type="dxa"/>
            <w:tcBorders/>
          </w:tcPr>
          <w:p>
            <w:pPr>
              <w:pStyle w:val="Normal"/>
              <w:spacing w:lineRule="auto" w:line="240"/>
              <w:ind w:right="-2" w:hanging="0"/>
              <w:jc w:val="center"/>
              <w:rPr>
                <w:b/>
                <w:b/>
                <w:bCs/>
                <w:sz w:val="20"/>
                <w:szCs w:val="20"/>
                <w:highlight w:val="white"/>
                <w:lang w:bidi="ru-RU"/>
              </w:rPr>
            </w:pPr>
            <w:r>
              <w:rPr>
                <w:b/>
                <w:bCs/>
                <w:sz w:val="20"/>
                <w:szCs w:val="20"/>
                <w:shd w:fill="FFFFFF" w:val="clear"/>
                <w:lang w:eastAsia="en-US" w:bidi="ru-RU"/>
              </w:rPr>
              <w:t>6</w:t>
            </w:r>
          </w:p>
        </w:tc>
        <w:tc>
          <w:tcPr>
            <w:tcW w:w="712" w:type="dxa"/>
            <w:tcBorders/>
          </w:tcPr>
          <w:p>
            <w:pPr>
              <w:pStyle w:val="Normal"/>
              <w:spacing w:lineRule="auto" w:line="240"/>
              <w:ind w:right="-2" w:hanging="0"/>
              <w:jc w:val="center"/>
              <w:rPr>
                <w:b/>
                <w:b/>
                <w:bCs/>
                <w:sz w:val="20"/>
                <w:szCs w:val="20"/>
                <w:highlight w:val="white"/>
                <w:lang w:bidi="ru-RU"/>
              </w:rPr>
            </w:pPr>
            <w:r>
              <w:rPr>
                <w:b/>
                <w:bCs/>
                <w:sz w:val="20"/>
                <w:szCs w:val="20"/>
                <w:shd w:fill="FFFFFF" w:val="clear"/>
                <w:lang w:eastAsia="en-US" w:bidi="ru-RU"/>
              </w:rPr>
              <w:t>7</w:t>
            </w:r>
          </w:p>
        </w:tc>
        <w:tc>
          <w:tcPr>
            <w:tcW w:w="992" w:type="dxa"/>
            <w:tcBorders/>
          </w:tcPr>
          <w:p>
            <w:pPr>
              <w:pStyle w:val="Normal"/>
              <w:spacing w:lineRule="auto" w:line="240"/>
              <w:ind w:right="-2" w:hanging="0"/>
              <w:jc w:val="center"/>
              <w:rPr>
                <w:b/>
                <w:b/>
                <w:bCs/>
                <w:sz w:val="20"/>
                <w:szCs w:val="20"/>
                <w:highlight w:val="white"/>
                <w:lang w:bidi="ru-RU"/>
              </w:rPr>
            </w:pPr>
            <w:r>
              <w:rPr>
                <w:b/>
                <w:bCs/>
                <w:sz w:val="20"/>
                <w:szCs w:val="20"/>
                <w:shd w:fill="FFFFFF" w:val="clear"/>
                <w:lang w:eastAsia="en-US" w:bidi="ru-RU"/>
              </w:rPr>
              <w:t>8</w:t>
            </w:r>
          </w:p>
        </w:tc>
        <w:tc>
          <w:tcPr>
            <w:tcW w:w="561" w:type="dxa"/>
            <w:tcBorders/>
          </w:tcPr>
          <w:p>
            <w:pPr>
              <w:pStyle w:val="Normal"/>
              <w:spacing w:lineRule="auto" w:line="240"/>
              <w:ind w:right="-2" w:hanging="0"/>
              <w:jc w:val="center"/>
              <w:rPr>
                <w:b/>
                <w:b/>
                <w:bCs/>
                <w:sz w:val="20"/>
                <w:szCs w:val="20"/>
                <w:highlight w:val="white"/>
                <w:lang w:bidi="ru-RU"/>
              </w:rPr>
            </w:pPr>
            <w:r>
              <w:rPr>
                <w:b/>
                <w:bCs/>
                <w:sz w:val="20"/>
                <w:szCs w:val="20"/>
                <w:shd w:fill="FFFFFF" w:val="clear"/>
                <w:lang w:eastAsia="en-US" w:bidi="ru-RU"/>
              </w:rPr>
              <w:t>9</w:t>
            </w:r>
          </w:p>
        </w:tc>
      </w:tr>
      <w:tr>
        <w:trPr>
          <w:trHeight w:val="20" w:hRule="atLeast"/>
        </w:trPr>
        <w:tc>
          <w:tcPr>
            <w:tcW w:w="9920" w:type="dxa"/>
            <w:gridSpan w:val="9"/>
            <w:tcBorders/>
          </w:tcPr>
          <w:p>
            <w:pPr>
              <w:pStyle w:val="Normal"/>
              <w:spacing w:lineRule="auto" w:line="240"/>
              <w:jc w:val="center"/>
              <w:rPr>
                <w:b/>
                <w:b/>
                <w:bCs/>
                <w:sz w:val="20"/>
                <w:szCs w:val="20"/>
                <w:highlight w:val="white"/>
                <w:lang w:bidi="ru-RU"/>
              </w:rPr>
            </w:pPr>
            <w:r>
              <w:rPr>
                <w:b/>
                <w:bCs/>
                <w:sz w:val="20"/>
                <w:szCs w:val="20"/>
                <w:shd w:fill="FFFFFF" w:val="clear"/>
                <w:lang w:eastAsia="en-US" w:bidi="ru-RU"/>
              </w:rPr>
              <w:t xml:space="preserve"> </w:t>
            </w:r>
            <w:r>
              <w:rPr>
                <w:b/>
                <w:bCs/>
                <w:sz w:val="20"/>
                <w:szCs w:val="20"/>
                <w:shd w:fill="FFFFFF" w:val="clear"/>
                <w:lang w:eastAsia="en-US" w:bidi="ru-RU"/>
              </w:rPr>
              <w:t>Общеобразовательные организации</w:t>
            </w:r>
          </w:p>
        </w:tc>
      </w:tr>
      <w:tr>
        <w:trPr>
          <w:trHeight w:val="20" w:hRule="atLeast"/>
        </w:trPr>
        <w:tc>
          <w:tcPr>
            <w:tcW w:w="278" w:type="dxa"/>
            <w:tcBorders>
              <w:right w:val="nil"/>
            </w:tcBorders>
          </w:tcPr>
          <w:p>
            <w:pPr>
              <w:pStyle w:val="Normal"/>
              <w:widowControl w:val="false"/>
              <w:spacing w:lineRule="auto" w:line="240"/>
              <w:jc w:val="left"/>
              <w:rPr>
                <w:rFonts w:eastAsia="Times New Roman"/>
                <w:bCs/>
                <w:sz w:val="20"/>
                <w:szCs w:val="20"/>
                <w:highlight w:val="white"/>
                <w:lang w:bidi="ru-RU"/>
              </w:rPr>
            </w:pPr>
            <w:r>
              <w:rPr>
                <w:rFonts w:eastAsia="Times New Roman"/>
                <w:bCs/>
                <w:sz w:val="20"/>
                <w:szCs w:val="20"/>
                <w:shd w:fill="FFFFFF" w:val="clear"/>
                <w:lang w:eastAsia="en-US" w:bidi="ru-RU"/>
              </w:rPr>
              <w:t>1</w:t>
            </w:r>
          </w:p>
        </w:tc>
        <w:tc>
          <w:tcPr>
            <w:tcW w:w="850" w:type="dxa"/>
            <w:tcBorders>
              <w:left w:val="nil"/>
              <w:right w:val="nil"/>
            </w:tcBorders>
          </w:tcPr>
          <w:p>
            <w:pPr>
              <w:pStyle w:val="Normal"/>
              <w:widowControl w:val="false"/>
              <w:spacing w:lineRule="auto" w:line="240"/>
              <w:jc w:val="left"/>
              <w:rPr>
                <w:sz w:val="20"/>
                <w:szCs w:val="20"/>
              </w:rPr>
            </w:pPr>
            <w:r>
              <w:rPr>
                <w:sz w:val="20"/>
                <w:szCs w:val="20"/>
                <w:lang w:eastAsia="en-US"/>
              </w:rPr>
              <w:t>ОН.2.1</w:t>
            </w:r>
          </w:p>
        </w:tc>
        <w:tc>
          <w:tcPr>
            <w:tcW w:w="1562" w:type="dxa"/>
            <w:tcBorders>
              <w:left w:val="nil"/>
              <w:right w:val="nil"/>
            </w:tcBorders>
          </w:tcPr>
          <w:p>
            <w:pPr>
              <w:pStyle w:val="Normal"/>
              <w:widowControl w:val="false"/>
              <w:spacing w:lineRule="auto" w:line="240"/>
              <w:jc w:val="left"/>
              <w:rPr>
                <w:rFonts w:eastAsia="Times New Roman"/>
                <w:b/>
                <w:b/>
                <w:sz w:val="20"/>
                <w:szCs w:val="20"/>
              </w:rPr>
            </w:pPr>
            <w:r>
              <w:rPr>
                <w:sz w:val="20"/>
                <w:szCs w:val="20"/>
                <w:lang w:eastAsia="en-US"/>
              </w:rPr>
              <w:t>МОУ СОШ имени Героя Советского Союза И.И. Говорухина</w:t>
            </w:r>
          </w:p>
        </w:tc>
        <w:tc>
          <w:tcPr>
            <w:tcW w:w="1985" w:type="dxa"/>
            <w:tcBorders>
              <w:left w:val="nil"/>
              <w:right w:val="nil"/>
            </w:tcBorders>
          </w:tcPr>
          <w:p>
            <w:pPr>
              <w:pStyle w:val="Normal"/>
              <w:spacing w:lineRule="auto" w:line="240"/>
              <w:jc w:val="left"/>
              <w:rPr>
                <w:rFonts w:eastAsia="Times New Roman"/>
                <w:b/>
                <w:b/>
                <w:sz w:val="20"/>
                <w:szCs w:val="20"/>
                <w:lang w:val="cs-CZ"/>
              </w:rPr>
            </w:pPr>
            <w:r>
              <w:rPr>
                <w:bCs/>
                <w:sz w:val="20"/>
                <w:szCs w:val="20"/>
                <w:shd w:fill="FFFFFF" w:val="clear"/>
                <w:lang w:eastAsia="en-US" w:bidi="ru-RU"/>
              </w:rPr>
              <w:t>Челябинская область, Варненский муниципальный район, Катенинское сельское поселение, с. Катенино</w:t>
            </w:r>
          </w:p>
        </w:tc>
        <w:tc>
          <w:tcPr>
            <w:tcW w:w="2129" w:type="dxa"/>
            <w:tcBorders>
              <w:left w:val="nil"/>
              <w:right w:val="nil"/>
            </w:tcBorders>
          </w:tcPr>
          <w:p>
            <w:pPr>
              <w:pStyle w:val="Normal"/>
              <w:spacing w:lineRule="auto" w:line="240"/>
              <w:jc w:val="left"/>
              <w:rPr>
                <w:bCs/>
                <w:sz w:val="20"/>
                <w:szCs w:val="20"/>
                <w:highlight w:val="white"/>
                <w:lang w:bidi="ru-RU"/>
              </w:rPr>
            </w:pPr>
            <w:r>
              <w:rPr>
                <w:bCs/>
                <w:sz w:val="20"/>
                <w:szCs w:val="20"/>
                <w:shd w:fill="FFFFFF" w:val="clear"/>
                <w:lang w:eastAsia="en-US" w:bidi="ru-RU"/>
              </w:rPr>
              <w:t>с. Катенино</w:t>
            </w:r>
          </w:p>
        </w:tc>
        <w:tc>
          <w:tcPr>
            <w:tcW w:w="851" w:type="dxa"/>
            <w:tcBorders>
              <w:left w:val="nil"/>
              <w:right w:val="nil"/>
            </w:tcBorders>
          </w:tcPr>
          <w:p>
            <w:pPr>
              <w:pStyle w:val="Normal"/>
              <w:spacing w:lineRule="auto" w:line="240"/>
              <w:jc w:val="center"/>
              <w:rPr>
                <w:bCs/>
                <w:sz w:val="20"/>
                <w:szCs w:val="20"/>
                <w:highlight w:val="white"/>
                <w:lang w:bidi="ru-RU"/>
              </w:rPr>
            </w:pPr>
            <w:r>
              <w:rPr>
                <w:sz w:val="20"/>
                <w:szCs w:val="20"/>
                <w:lang w:eastAsia="en-US"/>
              </w:rPr>
              <w:t>395</w:t>
            </w:r>
          </w:p>
        </w:tc>
        <w:tc>
          <w:tcPr>
            <w:tcW w:w="712" w:type="dxa"/>
            <w:tcBorders>
              <w:left w:val="nil"/>
              <w:right w:val="nil"/>
            </w:tcBorders>
          </w:tcPr>
          <w:p>
            <w:pPr>
              <w:pStyle w:val="Normal"/>
              <w:spacing w:lineRule="auto" w:line="240"/>
              <w:jc w:val="center"/>
              <w:rPr>
                <w:sz w:val="20"/>
                <w:szCs w:val="20"/>
              </w:rPr>
            </w:pPr>
            <w:r>
              <w:rPr>
                <w:sz w:val="20"/>
                <w:szCs w:val="20"/>
                <w:lang w:eastAsia="en-US"/>
              </w:rPr>
              <w:t>95</w:t>
            </w:r>
          </w:p>
        </w:tc>
        <w:tc>
          <w:tcPr>
            <w:tcW w:w="992" w:type="dxa"/>
            <w:tcBorders>
              <w:left w:val="nil"/>
              <w:right w:val="nil"/>
            </w:tcBorders>
          </w:tcPr>
          <w:p>
            <w:pPr>
              <w:pStyle w:val="Normal"/>
              <w:spacing w:lineRule="auto" w:line="240"/>
              <w:jc w:val="center"/>
              <w:rPr>
                <w:bCs/>
                <w:sz w:val="20"/>
                <w:szCs w:val="20"/>
                <w:highlight w:val="white"/>
                <w:lang w:bidi="ru-RU"/>
              </w:rPr>
            </w:pPr>
            <w:r>
              <w:rPr>
                <w:sz w:val="20"/>
                <w:szCs w:val="20"/>
                <w:lang w:eastAsia="en-US"/>
              </w:rPr>
              <w:t>-</w:t>
            </w:r>
          </w:p>
        </w:tc>
        <w:tc>
          <w:tcPr>
            <w:tcW w:w="561" w:type="dxa"/>
            <w:tcBorders>
              <w:left w:val="nil"/>
            </w:tcBorders>
          </w:tcPr>
          <w:p>
            <w:pPr>
              <w:pStyle w:val="Normal"/>
              <w:spacing w:lineRule="auto" w:line="240"/>
              <w:jc w:val="center"/>
              <w:rPr>
                <w:sz w:val="20"/>
                <w:szCs w:val="20"/>
              </w:rPr>
            </w:pPr>
            <w:r>
              <w:rPr>
                <w:sz w:val="20"/>
                <w:szCs w:val="20"/>
                <w:lang w:eastAsia="en-US"/>
              </w:rPr>
              <w:t>-</w:t>
            </w:r>
          </w:p>
        </w:tc>
      </w:tr>
      <w:tr>
        <w:trPr>
          <w:trHeight w:val="20" w:hRule="atLeast"/>
        </w:trPr>
        <w:tc>
          <w:tcPr>
            <w:tcW w:w="9920" w:type="dxa"/>
            <w:gridSpan w:val="9"/>
            <w:tcBorders/>
          </w:tcPr>
          <w:p>
            <w:pPr>
              <w:pStyle w:val="Normal"/>
              <w:spacing w:lineRule="auto" w:line="240"/>
              <w:jc w:val="center"/>
              <w:rPr>
                <w:b/>
                <w:b/>
                <w:sz w:val="20"/>
                <w:szCs w:val="20"/>
              </w:rPr>
            </w:pPr>
            <w:r>
              <w:rPr>
                <w:b/>
                <w:sz w:val="20"/>
                <w:szCs w:val="20"/>
                <w:lang w:eastAsia="en-US"/>
              </w:rPr>
              <w:t>Организации дошкольного образования</w:t>
            </w:r>
          </w:p>
        </w:tc>
      </w:tr>
      <w:tr>
        <w:trPr>
          <w:trHeight w:val="20" w:hRule="atLeast"/>
        </w:trPr>
        <w:tc>
          <w:tcPr>
            <w:tcW w:w="278" w:type="dxa"/>
            <w:tcBorders>
              <w:right w:val="nil"/>
            </w:tcBorders>
          </w:tcPr>
          <w:p>
            <w:pPr>
              <w:pStyle w:val="Normal"/>
              <w:spacing w:lineRule="auto" w:line="240"/>
              <w:jc w:val="left"/>
              <w:rPr>
                <w:sz w:val="20"/>
                <w:szCs w:val="20"/>
              </w:rPr>
            </w:pPr>
            <w:r>
              <w:rPr>
                <w:sz w:val="20"/>
                <w:szCs w:val="20"/>
                <w:lang w:eastAsia="en-US"/>
              </w:rPr>
              <w:t>1</w:t>
            </w:r>
          </w:p>
        </w:tc>
        <w:tc>
          <w:tcPr>
            <w:tcW w:w="850" w:type="dxa"/>
            <w:tcBorders>
              <w:left w:val="nil"/>
              <w:right w:val="nil"/>
            </w:tcBorders>
          </w:tcPr>
          <w:p>
            <w:pPr>
              <w:pStyle w:val="Normal"/>
              <w:spacing w:lineRule="auto" w:line="240"/>
              <w:jc w:val="left"/>
              <w:rPr>
                <w:sz w:val="20"/>
                <w:szCs w:val="20"/>
              </w:rPr>
            </w:pPr>
            <w:r>
              <w:rPr>
                <w:sz w:val="20"/>
                <w:szCs w:val="20"/>
                <w:lang w:eastAsia="en-US"/>
              </w:rPr>
              <w:t>ОН.1.1</w:t>
            </w:r>
          </w:p>
        </w:tc>
        <w:tc>
          <w:tcPr>
            <w:tcW w:w="1562" w:type="dxa"/>
            <w:tcBorders>
              <w:left w:val="nil"/>
              <w:right w:val="nil"/>
            </w:tcBorders>
          </w:tcPr>
          <w:p>
            <w:pPr>
              <w:pStyle w:val="Normal"/>
              <w:spacing w:lineRule="auto" w:line="240"/>
              <w:jc w:val="left"/>
              <w:rPr>
                <w:rFonts w:eastAsia="Times New Roman"/>
                <w:sz w:val="20"/>
                <w:szCs w:val="20"/>
              </w:rPr>
            </w:pPr>
            <w:r>
              <w:rPr>
                <w:rFonts w:eastAsia="Times New Roman"/>
                <w:sz w:val="20"/>
                <w:szCs w:val="20"/>
                <w:lang w:eastAsia="en-US"/>
              </w:rPr>
              <w:t>Детский сад №39</w:t>
            </w:r>
          </w:p>
        </w:tc>
        <w:tc>
          <w:tcPr>
            <w:tcW w:w="1985" w:type="dxa"/>
            <w:tcBorders>
              <w:left w:val="nil"/>
              <w:right w:val="nil"/>
            </w:tcBorders>
          </w:tcPr>
          <w:p>
            <w:pPr>
              <w:pStyle w:val="Normal"/>
              <w:spacing w:lineRule="auto" w:line="240"/>
              <w:jc w:val="left"/>
              <w:rPr>
                <w:rFonts w:eastAsia="Times New Roman"/>
                <w:sz w:val="20"/>
                <w:szCs w:val="20"/>
                <w:lang w:val="cs-CZ"/>
              </w:rPr>
            </w:pPr>
            <w:r>
              <w:rPr>
                <w:bCs/>
                <w:sz w:val="20"/>
                <w:szCs w:val="20"/>
                <w:shd w:fill="FFFFFF" w:val="clear"/>
                <w:lang w:eastAsia="en-US" w:bidi="ru-RU"/>
              </w:rPr>
              <w:t>Челябинская область, Варненский муниципальный район, Катенинское сельское поселение, с. Катенино</w:t>
            </w:r>
          </w:p>
        </w:tc>
        <w:tc>
          <w:tcPr>
            <w:tcW w:w="2129" w:type="dxa"/>
            <w:tcBorders>
              <w:left w:val="nil"/>
              <w:right w:val="nil"/>
            </w:tcBorders>
          </w:tcPr>
          <w:p>
            <w:pPr>
              <w:pStyle w:val="Normal"/>
              <w:jc w:val="left"/>
              <w:rPr>
                <w:sz w:val="20"/>
                <w:szCs w:val="20"/>
                <w:lang w:bidi="ru-RU"/>
              </w:rPr>
            </w:pPr>
            <w:r>
              <w:rPr>
                <w:bCs/>
                <w:sz w:val="20"/>
                <w:szCs w:val="20"/>
                <w:shd w:fill="FFFFFF" w:val="clear"/>
                <w:lang w:eastAsia="en-US" w:bidi="ru-RU"/>
              </w:rPr>
              <w:t>с. Катенино</w:t>
            </w:r>
          </w:p>
        </w:tc>
        <w:tc>
          <w:tcPr>
            <w:tcW w:w="851" w:type="dxa"/>
            <w:tcBorders>
              <w:left w:val="nil"/>
              <w:right w:val="nil"/>
            </w:tcBorders>
          </w:tcPr>
          <w:p>
            <w:pPr>
              <w:pStyle w:val="Normal"/>
              <w:spacing w:lineRule="auto" w:line="240"/>
              <w:jc w:val="center"/>
              <w:rPr>
                <w:bCs/>
                <w:sz w:val="20"/>
                <w:szCs w:val="20"/>
                <w:highlight w:val="white"/>
                <w:lang w:bidi="ru-RU"/>
              </w:rPr>
            </w:pPr>
            <w:r>
              <w:rPr>
                <w:sz w:val="20"/>
                <w:szCs w:val="20"/>
                <w:lang w:eastAsia="en-US"/>
              </w:rPr>
              <w:t>120</w:t>
            </w:r>
          </w:p>
        </w:tc>
        <w:tc>
          <w:tcPr>
            <w:tcW w:w="712" w:type="dxa"/>
            <w:tcBorders>
              <w:left w:val="nil"/>
              <w:right w:val="nil"/>
            </w:tcBorders>
          </w:tcPr>
          <w:p>
            <w:pPr>
              <w:pStyle w:val="Normal"/>
              <w:spacing w:lineRule="auto" w:line="240"/>
              <w:jc w:val="center"/>
              <w:rPr>
                <w:bCs/>
                <w:sz w:val="20"/>
                <w:szCs w:val="20"/>
                <w:highlight w:val="white"/>
                <w:lang w:bidi="ru-RU"/>
              </w:rPr>
            </w:pPr>
            <w:r>
              <w:rPr>
                <w:sz w:val="20"/>
                <w:szCs w:val="20"/>
                <w:lang w:eastAsia="en-US"/>
              </w:rPr>
              <w:t>31</w:t>
            </w:r>
          </w:p>
        </w:tc>
        <w:tc>
          <w:tcPr>
            <w:tcW w:w="992" w:type="dxa"/>
            <w:tcBorders>
              <w:left w:val="nil"/>
              <w:right w:val="nil"/>
            </w:tcBorders>
          </w:tcPr>
          <w:p>
            <w:pPr>
              <w:pStyle w:val="Normal"/>
              <w:spacing w:lineRule="auto" w:line="240"/>
              <w:jc w:val="center"/>
              <w:rPr>
                <w:bCs/>
                <w:sz w:val="20"/>
                <w:szCs w:val="20"/>
                <w:highlight w:val="white"/>
                <w:lang w:bidi="ru-RU"/>
              </w:rPr>
            </w:pPr>
            <w:r>
              <w:rPr>
                <w:sz w:val="20"/>
                <w:szCs w:val="20"/>
                <w:lang w:eastAsia="en-US"/>
              </w:rPr>
              <w:t>-</w:t>
            </w:r>
          </w:p>
        </w:tc>
        <w:tc>
          <w:tcPr>
            <w:tcW w:w="561" w:type="dxa"/>
            <w:tcBorders>
              <w:left w:val="nil"/>
            </w:tcBorders>
          </w:tcPr>
          <w:p>
            <w:pPr>
              <w:pStyle w:val="Normal"/>
              <w:spacing w:lineRule="auto" w:line="240"/>
              <w:jc w:val="center"/>
              <w:rPr>
                <w:bCs/>
                <w:sz w:val="20"/>
                <w:szCs w:val="20"/>
                <w:highlight w:val="white"/>
                <w:lang w:bidi="ru-RU"/>
              </w:rPr>
            </w:pPr>
            <w:r>
              <w:rPr>
                <w:sz w:val="20"/>
                <w:szCs w:val="20"/>
                <w:lang w:eastAsia="en-US"/>
              </w:rPr>
              <w:t>-</w:t>
            </w:r>
          </w:p>
        </w:tc>
      </w:tr>
    </w:tbl>
    <w:p>
      <w:pPr>
        <w:pStyle w:val="Normal"/>
        <w:spacing w:lineRule="auto" w:line="276" w:before="120" w:after="200"/>
        <w:ind w:firstLine="709"/>
        <w:jc w:val="left"/>
        <w:rPr>
          <w:b/>
          <w:b/>
          <w:szCs w:val="24"/>
        </w:rPr>
      </w:pPr>
      <w:r>
        <w:rPr>
          <w:b/>
          <w:szCs w:val="24"/>
        </w:rPr>
        <w:t>Информация об основных проблемах и ограничениях</w:t>
      </w:r>
    </w:p>
    <w:p>
      <w:pPr>
        <w:pStyle w:val="Normal"/>
        <w:spacing w:lineRule="auto" w:line="276"/>
        <w:ind w:firstLine="709"/>
        <w:rPr>
          <w:szCs w:val="24"/>
        </w:rPr>
      </w:pPr>
      <w:r>
        <w:rPr>
          <w:szCs w:val="24"/>
        </w:rPr>
        <w:t xml:space="preserve">Для объектов местного значения муниципального района в области образования и науки, расположенных на территории </w:t>
      </w:r>
      <w:r>
        <w:rPr>
          <w:rFonts w:eastAsia="Times New Roman"/>
          <w:szCs w:val="24"/>
          <w:lang w:eastAsia="ru-RU"/>
        </w:rPr>
        <w:t>Катенинского сельского поселения характерны</w:t>
      </w:r>
      <w:r>
        <w:rPr>
          <w:szCs w:val="24"/>
        </w:rPr>
        <w:t xml:space="preserve"> следующие проблемы:</w:t>
      </w:r>
    </w:p>
    <w:p>
      <w:pPr>
        <w:pStyle w:val="Normal"/>
        <w:widowControl w:val="false"/>
        <w:numPr>
          <w:ilvl w:val="0"/>
          <w:numId w:val="9"/>
        </w:numPr>
        <w:tabs>
          <w:tab w:val="clear" w:pos="708"/>
          <w:tab w:val="left" w:pos="709" w:leader="none"/>
        </w:tabs>
        <w:spacing w:lineRule="auto" w:line="276" w:before="0" w:after="200"/>
        <w:ind w:left="0" w:firstLine="425"/>
        <w:contextualSpacing/>
        <w:rPr>
          <w:szCs w:val="24"/>
        </w:rPr>
      </w:pPr>
      <w:r>
        <w:rPr>
          <w:szCs w:val="24"/>
        </w:rPr>
        <w:t>недостаточный уровень развития материально-технической базы учреждений образования;</w:t>
      </w:r>
    </w:p>
    <w:p>
      <w:pPr>
        <w:pStyle w:val="Normal"/>
        <w:widowControl w:val="false"/>
        <w:numPr>
          <w:ilvl w:val="0"/>
          <w:numId w:val="9"/>
        </w:numPr>
        <w:tabs>
          <w:tab w:val="clear" w:pos="708"/>
          <w:tab w:val="left" w:pos="709" w:leader="none"/>
        </w:tabs>
        <w:spacing w:lineRule="auto" w:line="276" w:before="0" w:after="200"/>
        <w:ind w:left="0" w:firstLine="425"/>
        <w:contextualSpacing/>
        <w:rPr>
          <w:szCs w:val="24"/>
        </w:rPr>
      </w:pPr>
      <w:r>
        <w:rPr>
          <w:szCs w:val="24"/>
        </w:rPr>
        <w:t xml:space="preserve">необходимость проведения капитального ремонта спортивных залов, </w:t>
      </w:r>
      <w:r>
        <w:rPr>
          <w:szCs w:val="24"/>
          <w:lang w:val="cs-CZ"/>
        </w:rPr>
        <w:t>кровель</w:t>
      </w:r>
      <w:r>
        <w:rPr>
          <w:szCs w:val="24"/>
        </w:rPr>
        <w:t xml:space="preserve"> и инженерных </w:t>
      </w:r>
      <w:r>
        <w:rPr>
          <w:szCs w:val="24"/>
          <w:lang w:val="cs-CZ"/>
        </w:rPr>
        <w:t xml:space="preserve">сетей </w:t>
      </w:r>
      <w:r>
        <w:rPr>
          <w:szCs w:val="24"/>
        </w:rPr>
        <w:t>общеобразовательных организаций;</w:t>
      </w:r>
    </w:p>
    <w:p>
      <w:pPr>
        <w:pStyle w:val="Normal"/>
        <w:widowControl w:val="false"/>
        <w:numPr>
          <w:ilvl w:val="0"/>
          <w:numId w:val="9"/>
        </w:numPr>
        <w:tabs>
          <w:tab w:val="clear" w:pos="708"/>
          <w:tab w:val="left" w:pos="709" w:leader="none"/>
        </w:tabs>
        <w:spacing w:lineRule="auto" w:line="276"/>
        <w:ind w:left="0" w:firstLine="425"/>
        <w:rPr>
          <w:szCs w:val="24"/>
        </w:rPr>
      </w:pPr>
      <w:r>
        <w:rPr>
          <w:szCs w:val="24"/>
        </w:rPr>
        <w:t xml:space="preserve">необходимость </w:t>
      </w:r>
      <w:r>
        <w:rPr>
          <w:szCs w:val="24"/>
          <w:lang w:val="cs-CZ"/>
        </w:rPr>
        <w:t>обустройств</w:t>
      </w:r>
      <w:r>
        <w:rPr>
          <w:szCs w:val="24"/>
        </w:rPr>
        <w:t xml:space="preserve">а </w:t>
      </w:r>
      <w:r>
        <w:rPr>
          <w:szCs w:val="24"/>
          <w:lang w:val="cs-CZ"/>
        </w:rPr>
        <w:t xml:space="preserve">спортивных площадок </w:t>
      </w:r>
      <w:r>
        <w:rPr>
          <w:szCs w:val="24"/>
        </w:rPr>
        <w:t xml:space="preserve">в ряде </w:t>
      </w:r>
      <w:r>
        <w:rPr>
          <w:szCs w:val="24"/>
          <w:lang w:val="cs-CZ"/>
        </w:rPr>
        <w:t>общеобразовательных организаций.</w:t>
      </w:r>
    </w:p>
    <w:p>
      <w:pPr>
        <w:pStyle w:val="Normal"/>
        <w:widowControl w:val="false"/>
        <w:tabs>
          <w:tab w:val="clear" w:pos="708"/>
          <w:tab w:val="left" w:pos="709" w:leader="none"/>
        </w:tabs>
        <w:spacing w:lineRule="auto" w:line="276"/>
        <w:ind w:left="709" w:hanging="0"/>
        <w:rPr>
          <w:b/>
          <w:b/>
          <w:szCs w:val="24"/>
        </w:rPr>
      </w:pPr>
      <w:r>
        <w:rPr>
          <w:b/>
          <w:szCs w:val="24"/>
        </w:rPr>
        <w:t>Направления развития</w:t>
      </w:r>
    </w:p>
    <w:p>
      <w:pPr>
        <w:pStyle w:val="Normal"/>
        <w:spacing w:lineRule="auto" w:line="276"/>
        <w:ind w:firstLine="709"/>
        <w:rPr>
          <w:szCs w:val="24"/>
        </w:rPr>
      </w:pPr>
      <w:r>
        <w:rPr/>
        <w:t>При расчете существующей обеспеченности объектами местного значения муниципального района в области образования и науки (таблица 3.5.1) были взяты предельные значения расчетных показателей минимально допустимого уровня обеспеченности муниципального района объектами образования в соответствии с местными нормативами градостроительного проектирования Варненского муниципального района. По результатам расчета выявлен дефицит мест в дошкольных образовательных учреждениях — 31 место.</w:t>
      </w:r>
    </w:p>
    <w:p>
      <w:pPr>
        <w:pStyle w:val="Normal"/>
        <w:spacing w:lineRule="auto" w:line="276"/>
        <w:ind w:firstLine="709"/>
        <w:rPr>
          <w:szCs w:val="24"/>
        </w:rPr>
      </w:pPr>
      <w:r>
        <w:rPr/>
        <w:t>Схемой территориального планирования Варненского муниципального района Челябинской области (утверждена Решением Собрания депутатов от 24.04.2009 г. №29) предусмотрены следующие мероприятия по развитию объектов местного значения муниципального района в области образования и науки на территории Катенинского сельского поселения (таблица 3.5.3).</w:t>
      </w:r>
    </w:p>
    <w:p>
      <w:pPr>
        <w:pStyle w:val="Normal"/>
        <w:spacing w:lineRule="auto" w:line="276"/>
        <w:ind w:firstLine="709"/>
        <w:jc w:val="right"/>
        <w:rPr>
          <w:szCs w:val="24"/>
        </w:rPr>
      </w:pPr>
      <w:r>
        <w:rPr/>
        <w:t xml:space="preserve">Таблица </w:t>
      </w:r>
      <w:r>
        <w:rPr>
          <w:szCs w:val="24"/>
        </w:rPr>
        <w:t>3.5.3</w:t>
      </w:r>
    </w:p>
    <w:p>
      <w:pPr>
        <w:pStyle w:val="Normal"/>
        <w:spacing w:lineRule="auto" w:line="276"/>
        <w:jc w:val="center"/>
        <w:rPr>
          <w:szCs w:val="24"/>
        </w:rPr>
      </w:pPr>
      <w:r>
        <w:rPr/>
        <w:t>Планируемые для размещения объекты местного значения муниципального района в области образования и науки</w:t>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418"/>
        <w:gridCol w:w="997"/>
        <w:gridCol w:w="1560"/>
        <w:gridCol w:w="1845"/>
        <w:gridCol w:w="2836"/>
        <w:gridCol w:w="2264"/>
      </w:tblGrid>
      <w:tr>
        <w:trPr>
          <w:tblHeader w:val="true"/>
          <w:trHeight w:val="20" w:hRule="atLeast"/>
        </w:trPr>
        <w:tc>
          <w:tcPr>
            <w:tcW w:w="418"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sz w:val="20"/>
                <w:szCs w:val="20"/>
              </w:rPr>
              <w:t>№</w:t>
            </w:r>
          </w:p>
        </w:tc>
        <w:tc>
          <w:tcPr>
            <w:tcW w:w="997"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bCs/>
                <w:color w:val="000000"/>
                <w:sz w:val="20"/>
                <w:shd w:fill="FFFFFF" w:val="clear"/>
                <w:lang w:bidi="ru-RU"/>
              </w:rPr>
              <w:t xml:space="preserve">№ </w:t>
            </w:r>
            <w:r>
              <w:rPr>
                <w:b/>
                <w:bCs/>
                <w:color w:val="000000"/>
                <w:sz w:val="20"/>
                <w:shd w:fill="FFFFFF" w:val="clear"/>
                <w:lang w:bidi="ru-RU"/>
              </w:rPr>
              <w:t>объекта на карте</w:t>
            </w:r>
          </w:p>
        </w:tc>
        <w:tc>
          <w:tcPr>
            <w:tcW w:w="1560"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Наименование</w:t>
            </w:r>
          </w:p>
        </w:tc>
        <w:tc>
          <w:tcPr>
            <w:tcW w:w="1845"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Местоположение</w:t>
            </w:r>
          </w:p>
        </w:tc>
        <w:tc>
          <w:tcPr>
            <w:tcW w:w="2836"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Описание планируемых мероприятий</w:t>
            </w:r>
          </w:p>
        </w:tc>
        <w:tc>
          <w:tcPr>
            <w:tcW w:w="2264"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Arial Unicode MS"/>
                <w:b/>
                <w:b/>
                <w:sz w:val="20"/>
                <w:szCs w:val="20"/>
              </w:rPr>
            </w:pPr>
            <w:r>
              <w:rPr>
                <w:rFonts w:eastAsia="Arial Unicode MS"/>
                <w:b/>
                <w:sz w:val="20"/>
                <w:szCs w:val="20"/>
              </w:rPr>
              <w:t>Основные характеристики объекта</w:t>
            </w:r>
          </w:p>
        </w:tc>
      </w:tr>
    </w:tbl>
    <w:p>
      <w:pPr>
        <w:pStyle w:val="Normal"/>
        <w:spacing w:lineRule="auto" w:line="240"/>
        <w:rPr>
          <w:sz w:val="2"/>
          <w:szCs w:val="2"/>
        </w:rPr>
      </w:pPr>
      <w:r>
        <w:rPr>
          <w:sz w:val="2"/>
          <w:szCs w:val="2"/>
        </w:rPr>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420"/>
        <w:gridCol w:w="994"/>
        <w:gridCol w:w="1561"/>
        <w:gridCol w:w="1844"/>
        <w:gridCol w:w="2837"/>
        <w:gridCol w:w="2264"/>
      </w:tblGrid>
      <w:tr>
        <w:trPr>
          <w:tblHeader w:val="true"/>
          <w:trHeight w:val="20" w:hRule="atLeast"/>
        </w:trPr>
        <w:tc>
          <w:tcPr>
            <w:tcW w:w="42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1</w:t>
            </w:r>
          </w:p>
        </w:tc>
        <w:tc>
          <w:tcPr>
            <w:tcW w:w="99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2</w:t>
            </w:r>
          </w:p>
        </w:tc>
        <w:tc>
          <w:tcPr>
            <w:tcW w:w="156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3</w:t>
            </w:r>
          </w:p>
        </w:tc>
        <w:tc>
          <w:tcPr>
            <w:tcW w:w="184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4</w:t>
            </w:r>
          </w:p>
        </w:tc>
        <w:tc>
          <w:tcPr>
            <w:tcW w:w="283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5</w:t>
            </w:r>
          </w:p>
        </w:tc>
        <w:tc>
          <w:tcPr>
            <w:tcW w:w="226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Arial Unicode MS"/>
                <w:b/>
                <w:b/>
                <w:sz w:val="20"/>
                <w:szCs w:val="20"/>
              </w:rPr>
            </w:pPr>
            <w:r>
              <w:rPr>
                <w:rFonts w:eastAsia="Arial Unicode MS"/>
                <w:b/>
                <w:sz w:val="20"/>
                <w:szCs w:val="20"/>
              </w:rPr>
              <w:t>6</w:t>
            </w:r>
          </w:p>
        </w:tc>
      </w:tr>
      <w:tr>
        <w:trPr>
          <w:trHeight w:val="70" w:hRule="atLeast"/>
        </w:trPr>
        <w:tc>
          <w:tcPr>
            <w:tcW w:w="420"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w:t>
            </w:r>
          </w:p>
        </w:tc>
        <w:tc>
          <w:tcPr>
            <w:tcW w:w="99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ОН.1.2</w:t>
            </w:r>
          </w:p>
        </w:tc>
        <w:tc>
          <w:tcPr>
            <w:tcW w:w="156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Детский сад</w:t>
            </w:r>
          </w:p>
        </w:tc>
        <w:tc>
          <w:tcPr>
            <w:tcW w:w="184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bCs/>
                <w:sz w:val="20"/>
                <w:szCs w:val="20"/>
                <w:shd w:fill="FFFFFF" w:val="clear"/>
                <w:lang w:bidi="ru-RU"/>
              </w:rPr>
              <w:t xml:space="preserve">Челябинская область, Варненский муниципальный район, Катенинское сельское поселение, </w:t>
            </w:r>
            <w:r>
              <w:rPr>
                <w:sz w:val="20"/>
                <w:szCs w:val="20"/>
              </w:rPr>
              <w:t>п. Караоба</w:t>
            </w:r>
          </w:p>
        </w:tc>
        <w:tc>
          <w:tcPr>
            <w:tcW w:w="283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ind w:right="-108" w:hanging="0"/>
              <w:jc w:val="left"/>
              <w:rPr>
                <w:sz w:val="20"/>
                <w:szCs w:val="20"/>
              </w:rPr>
            </w:pPr>
            <w:r>
              <w:rPr>
                <w:sz w:val="20"/>
                <w:szCs w:val="20"/>
              </w:rPr>
              <w:t>1. Строительство.</w:t>
            </w:r>
          </w:p>
          <w:p>
            <w:pPr>
              <w:pStyle w:val="Normal"/>
              <w:spacing w:lineRule="auto" w:line="240"/>
              <w:ind w:right="-108" w:hanging="0"/>
              <w:jc w:val="left"/>
              <w:rPr>
                <w:sz w:val="20"/>
                <w:szCs w:val="20"/>
              </w:rPr>
            </w:pPr>
            <w:r>
              <w:rPr>
                <w:sz w:val="20"/>
                <w:szCs w:val="20"/>
              </w:rPr>
              <w:t>2. Срок реализации — 2042 г.</w:t>
            </w:r>
          </w:p>
        </w:tc>
        <w:tc>
          <w:tcPr>
            <w:tcW w:w="226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Arial Unicode MS"/>
                <w:sz w:val="20"/>
                <w:szCs w:val="20"/>
              </w:rPr>
            </w:pPr>
            <w:r>
              <w:rPr>
                <w:rFonts w:eastAsia="Arial Unicode MS"/>
                <w:sz w:val="20"/>
                <w:szCs w:val="20"/>
              </w:rPr>
              <w:t xml:space="preserve">Проектная мощность </w:t>
            </w:r>
            <w:r>
              <w:rPr>
                <w:sz w:val="20"/>
                <w:szCs w:val="20"/>
              </w:rPr>
              <w:t>— 30 мест</w:t>
            </w:r>
          </w:p>
        </w:tc>
      </w:tr>
      <w:tr>
        <w:trPr>
          <w:trHeight w:val="70" w:hRule="atLeast"/>
        </w:trPr>
        <w:tc>
          <w:tcPr>
            <w:tcW w:w="420"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2</w:t>
            </w:r>
          </w:p>
        </w:tc>
        <w:tc>
          <w:tcPr>
            <w:tcW w:w="99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ОН.1.3</w:t>
            </w:r>
          </w:p>
        </w:tc>
        <w:tc>
          <w:tcPr>
            <w:tcW w:w="156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Детский сад</w:t>
            </w:r>
          </w:p>
        </w:tc>
        <w:tc>
          <w:tcPr>
            <w:tcW w:w="184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bCs/>
                <w:sz w:val="20"/>
                <w:szCs w:val="20"/>
                <w:shd w:fill="FFFFFF" w:val="clear"/>
                <w:lang w:bidi="ru-RU"/>
              </w:rPr>
              <w:t xml:space="preserve">Челябинская область, Варненский муниципальный район, Катенинское сельское поселение, </w:t>
            </w:r>
            <w:r>
              <w:rPr>
                <w:sz w:val="20"/>
                <w:szCs w:val="20"/>
              </w:rPr>
              <w:t>п. Комсомольский</w:t>
            </w:r>
          </w:p>
        </w:tc>
        <w:tc>
          <w:tcPr>
            <w:tcW w:w="283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ind w:right="-108" w:hanging="0"/>
              <w:jc w:val="left"/>
              <w:rPr>
                <w:sz w:val="20"/>
                <w:szCs w:val="20"/>
              </w:rPr>
            </w:pPr>
            <w:r>
              <w:rPr>
                <w:sz w:val="20"/>
                <w:szCs w:val="20"/>
              </w:rPr>
              <w:t>1. Строительство.</w:t>
            </w:r>
          </w:p>
          <w:p>
            <w:pPr>
              <w:pStyle w:val="Normal"/>
              <w:spacing w:lineRule="auto" w:line="240"/>
              <w:ind w:right="-108" w:hanging="0"/>
              <w:jc w:val="left"/>
              <w:rPr>
                <w:sz w:val="20"/>
                <w:szCs w:val="20"/>
              </w:rPr>
            </w:pPr>
            <w:r>
              <w:rPr>
                <w:sz w:val="20"/>
                <w:szCs w:val="20"/>
              </w:rPr>
              <w:t>2. Срок реализации — 2042 г</w:t>
            </w:r>
          </w:p>
        </w:tc>
        <w:tc>
          <w:tcPr>
            <w:tcW w:w="226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Arial Unicode MS"/>
                <w:sz w:val="20"/>
                <w:szCs w:val="20"/>
              </w:rPr>
            </w:pPr>
            <w:r>
              <w:rPr>
                <w:rFonts w:eastAsia="Arial Unicode MS"/>
                <w:sz w:val="20"/>
                <w:szCs w:val="20"/>
              </w:rPr>
              <w:t xml:space="preserve">Проектная мощность </w:t>
            </w:r>
            <w:r>
              <w:rPr>
                <w:sz w:val="20"/>
                <w:szCs w:val="20"/>
              </w:rPr>
              <w:t>— 30 мест</w:t>
            </w:r>
          </w:p>
        </w:tc>
      </w:tr>
      <w:tr>
        <w:trPr>
          <w:trHeight w:val="70" w:hRule="atLeast"/>
        </w:trPr>
        <w:tc>
          <w:tcPr>
            <w:tcW w:w="420"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3</w:t>
            </w:r>
          </w:p>
        </w:tc>
        <w:tc>
          <w:tcPr>
            <w:tcW w:w="99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ОН.1.4</w:t>
            </w:r>
          </w:p>
        </w:tc>
        <w:tc>
          <w:tcPr>
            <w:tcW w:w="156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Детский сад</w:t>
            </w:r>
          </w:p>
        </w:tc>
        <w:tc>
          <w:tcPr>
            <w:tcW w:w="184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bCs/>
                <w:sz w:val="20"/>
                <w:szCs w:val="20"/>
                <w:shd w:fill="FFFFFF" w:val="clear"/>
                <w:lang w:bidi="ru-RU"/>
              </w:rPr>
              <w:t xml:space="preserve">Челябинская область, Варненский муниципальный район, Катенинское сельское поселение, </w:t>
            </w:r>
            <w:r>
              <w:rPr>
                <w:sz w:val="20"/>
                <w:szCs w:val="20"/>
              </w:rPr>
              <w:t>п. Красноармейский</w:t>
            </w:r>
          </w:p>
        </w:tc>
        <w:tc>
          <w:tcPr>
            <w:tcW w:w="283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ind w:right="-108" w:hanging="0"/>
              <w:jc w:val="left"/>
              <w:rPr>
                <w:sz w:val="20"/>
                <w:szCs w:val="20"/>
              </w:rPr>
            </w:pPr>
            <w:r>
              <w:rPr>
                <w:sz w:val="20"/>
                <w:szCs w:val="20"/>
              </w:rPr>
              <w:t>1. Строительство.</w:t>
            </w:r>
          </w:p>
          <w:p>
            <w:pPr>
              <w:pStyle w:val="Normal"/>
              <w:spacing w:lineRule="auto" w:line="240"/>
              <w:ind w:right="-108" w:hanging="0"/>
              <w:jc w:val="left"/>
              <w:rPr>
                <w:sz w:val="20"/>
                <w:szCs w:val="20"/>
              </w:rPr>
            </w:pPr>
            <w:r>
              <w:rPr>
                <w:sz w:val="20"/>
                <w:szCs w:val="20"/>
              </w:rPr>
              <w:t>2. Срок реализации — 2042 г</w:t>
            </w:r>
          </w:p>
        </w:tc>
        <w:tc>
          <w:tcPr>
            <w:tcW w:w="226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Arial Unicode MS"/>
                <w:sz w:val="20"/>
                <w:szCs w:val="20"/>
              </w:rPr>
            </w:pPr>
            <w:r>
              <w:rPr>
                <w:rFonts w:eastAsia="Arial Unicode MS"/>
                <w:sz w:val="20"/>
                <w:szCs w:val="20"/>
              </w:rPr>
              <w:t xml:space="preserve">Проектная мощность </w:t>
            </w:r>
            <w:r>
              <w:rPr>
                <w:sz w:val="20"/>
                <w:szCs w:val="20"/>
              </w:rPr>
              <w:t>— 30 мест</w:t>
            </w:r>
          </w:p>
        </w:tc>
      </w:tr>
    </w:tbl>
    <w:p>
      <w:pPr>
        <w:pStyle w:val="0212161"/>
        <w:rPr>
          <w:szCs w:val="24"/>
        </w:rPr>
      </w:pPr>
      <w:bookmarkStart w:id="106" w:name="_Toc182210466"/>
      <w:bookmarkStart w:id="107" w:name="_Toc69297541"/>
      <w:bookmarkStart w:id="108" w:name="_Toc17711358"/>
      <w:r>
        <w:rPr/>
        <w:t>5.2.2 Физическая культура и массовый спорт</w:t>
      </w:r>
      <w:bookmarkEnd w:id="106"/>
      <w:bookmarkEnd w:id="107"/>
      <w:bookmarkEnd w:id="108"/>
    </w:p>
    <w:p>
      <w:pPr>
        <w:pStyle w:val="Normal"/>
        <w:widowControl w:val="false"/>
        <w:tabs>
          <w:tab w:val="clear" w:pos="708"/>
          <w:tab w:val="left" w:pos="709" w:leader="none"/>
          <w:tab w:val="left" w:pos="851" w:leader="none"/>
        </w:tabs>
        <w:spacing w:lineRule="auto" w:line="276" w:before="120" w:after="200"/>
        <w:ind w:firstLine="709"/>
        <w:rPr>
          <w:rFonts w:eastAsia="Times New Roman"/>
          <w:b/>
          <w:b/>
          <w:color w:val="000000"/>
          <w:szCs w:val="24"/>
          <w:lang w:eastAsia="ru-RU"/>
        </w:rPr>
      </w:pPr>
      <w:bookmarkStart w:id="109" w:name="_Toc69297542"/>
      <w:bookmarkStart w:id="110" w:name="_Toc27748722"/>
      <w:r>
        <w:rPr>
          <w:rFonts w:eastAsia="Times New Roman"/>
          <w:b/>
          <w:color w:val="000000"/>
          <w:szCs w:val="24"/>
          <w:lang w:eastAsia="ru-RU"/>
        </w:rPr>
        <w:t>Анализ существующего состояния</w:t>
      </w:r>
    </w:p>
    <w:p>
      <w:pPr>
        <w:pStyle w:val="Normal"/>
        <w:spacing w:lineRule="auto" w:line="276"/>
        <w:ind w:left="238" w:firstLine="708"/>
        <w:rPr>
          <w:szCs w:val="24"/>
        </w:rPr>
      </w:pPr>
      <w:r>
        <w:rPr/>
        <w:t>Спортивная база поселения представлена 2 спортивными сооружениями, один из них спортивный зал в общеобразовательной школе с. Катенино.</w:t>
      </w:r>
    </w:p>
    <w:p>
      <w:pPr>
        <w:pStyle w:val="Normal"/>
        <w:widowControl w:val="false"/>
        <w:tabs>
          <w:tab w:val="clear" w:pos="708"/>
          <w:tab w:val="left" w:pos="709" w:leader="none"/>
          <w:tab w:val="left" w:pos="851" w:leader="none"/>
        </w:tabs>
        <w:spacing w:lineRule="auto" w:line="276"/>
        <w:ind w:firstLine="709"/>
        <w:rPr>
          <w:rFonts w:eastAsia="Times New Roman"/>
          <w:color w:val="000000"/>
          <w:szCs w:val="24"/>
          <w:lang w:eastAsia="ru-RU"/>
        </w:rPr>
      </w:pPr>
      <w:r>
        <w:rPr>
          <w:rFonts w:eastAsia="Times New Roman"/>
          <w:color w:val="000000"/>
          <w:szCs w:val="24"/>
          <w:lang w:eastAsia="ru-RU"/>
        </w:rPr>
        <w:t>Перечень объектов в области физической культуры и массового спорта представлен в таблице 3.5.4</w:t>
      </w:r>
    </w:p>
    <w:p>
      <w:pPr>
        <w:pStyle w:val="Normal"/>
        <w:spacing w:lineRule="auto" w:line="276"/>
        <w:ind w:right="-2" w:firstLine="709"/>
        <w:jc w:val="right"/>
        <w:rPr>
          <w:rFonts w:eastAsia="Times New Roman"/>
          <w:color w:val="000000"/>
          <w:szCs w:val="24"/>
          <w:lang w:eastAsia="ru-RU"/>
        </w:rPr>
      </w:pPr>
      <w:r>
        <w:rPr>
          <w:rFonts w:eastAsia="Times New Roman"/>
          <w:color w:val="000000"/>
          <w:szCs w:val="24"/>
          <w:lang w:eastAsia="ru-RU"/>
        </w:rPr>
        <w:t>Таблица 3.5.4</w:t>
      </w:r>
    </w:p>
    <w:p>
      <w:pPr>
        <w:pStyle w:val="Normal"/>
        <w:spacing w:lineRule="auto" w:line="276"/>
        <w:ind w:right="-2" w:hanging="0"/>
        <w:jc w:val="center"/>
        <w:rPr>
          <w:rFonts w:eastAsia="Times New Roman"/>
          <w:color w:val="000000"/>
          <w:szCs w:val="24"/>
          <w:lang w:eastAsia="ru-RU"/>
        </w:rPr>
      </w:pPr>
      <w:r>
        <w:rPr>
          <w:rFonts w:eastAsia="Times New Roman"/>
          <w:color w:val="000000"/>
          <w:szCs w:val="24"/>
          <w:lang w:eastAsia="ru-RU"/>
        </w:rPr>
        <w:t>Перечень объектов в области физической культуры и массового спорта</w:t>
      </w:r>
    </w:p>
    <w:tbl>
      <w:tblPr>
        <w:tblStyle w:val="1ff9"/>
        <w:tblW w:w="5000" w:type="pct"/>
        <w:jc w:val="left"/>
        <w:tblInd w:w="-108" w:type="dxa"/>
        <w:tblCellMar>
          <w:top w:w="0" w:type="dxa"/>
          <w:left w:w="108" w:type="dxa"/>
          <w:bottom w:w="0" w:type="dxa"/>
          <w:right w:w="108" w:type="dxa"/>
        </w:tblCellMar>
        <w:tblLook w:firstRow="1" w:noVBand="1" w:lastRow="0" w:firstColumn="1" w:lastColumn="0" w:noHBand="0" w:val="04a0"/>
      </w:tblPr>
      <w:tblGrid>
        <w:gridCol w:w="660"/>
        <w:gridCol w:w="1248"/>
        <w:gridCol w:w="2151"/>
        <w:gridCol w:w="1565"/>
        <w:gridCol w:w="1108"/>
        <w:gridCol w:w="1105"/>
        <w:gridCol w:w="2083"/>
      </w:tblGrid>
      <w:tr>
        <w:trPr>
          <w:trHeight w:val="723" w:hRule="atLeast"/>
        </w:trPr>
        <w:tc>
          <w:tcPr>
            <w:tcW w:w="660" w:type="dxa"/>
            <w:tcBorders>
              <w:bottom w:val="nil"/>
            </w:tcBorders>
            <w:vAlign w:val="center"/>
          </w:tcPr>
          <w:p>
            <w:pPr>
              <w:pStyle w:val="Normal"/>
              <w:widowControl w:val="false"/>
              <w:spacing w:lineRule="auto" w:line="240"/>
              <w:jc w:val="center"/>
              <w:rPr>
                <w:rFonts w:eastAsia="Times New Roman"/>
                <w:b/>
                <w:b/>
                <w:bCs/>
                <w:color w:val="000000"/>
                <w:sz w:val="20"/>
                <w:highlight w:val="white"/>
                <w:lang w:bidi="ru-RU"/>
              </w:rPr>
            </w:pPr>
            <w:r>
              <w:rPr>
                <w:rFonts w:eastAsia="Times New Roman"/>
                <w:b/>
                <w:bCs/>
                <w:color w:val="000000"/>
                <w:sz w:val="20"/>
                <w:szCs w:val="22"/>
                <w:shd w:fill="FFFFFF" w:val="clear"/>
                <w:lang w:eastAsia="en-US" w:bidi="ru-RU"/>
              </w:rPr>
              <w:t>№</w:t>
            </w:r>
          </w:p>
        </w:tc>
        <w:tc>
          <w:tcPr>
            <w:tcW w:w="1248" w:type="dxa"/>
            <w:tcBorders>
              <w:bottom w:val="nil"/>
            </w:tcBorders>
            <w:vAlign w:val="center"/>
          </w:tcPr>
          <w:p>
            <w:pPr>
              <w:pStyle w:val="Normal"/>
              <w:spacing w:lineRule="auto" w:line="240"/>
              <w:ind w:right="-2" w:hanging="0"/>
              <w:jc w:val="center"/>
              <w:rPr>
                <w:b/>
                <w:b/>
                <w:bCs/>
                <w:color w:val="000000"/>
                <w:sz w:val="20"/>
                <w:highlight w:val="white"/>
                <w:lang w:bidi="ru-RU"/>
              </w:rPr>
            </w:pPr>
            <w:r>
              <w:rPr>
                <w:b/>
                <w:bCs/>
                <w:color w:val="000000"/>
                <w:sz w:val="20"/>
                <w:szCs w:val="22"/>
                <w:shd w:fill="FFFFFF" w:val="clear"/>
                <w:lang w:eastAsia="en-US" w:bidi="ru-RU"/>
              </w:rPr>
              <w:t xml:space="preserve">№ </w:t>
            </w:r>
            <w:r>
              <w:rPr>
                <w:b/>
                <w:bCs/>
                <w:color w:val="000000"/>
                <w:sz w:val="20"/>
                <w:szCs w:val="22"/>
                <w:shd w:fill="FFFFFF" w:val="clear"/>
                <w:lang w:eastAsia="en-US" w:bidi="ru-RU"/>
              </w:rPr>
              <w:t>объекта на карте</w:t>
            </w:r>
          </w:p>
        </w:tc>
        <w:tc>
          <w:tcPr>
            <w:tcW w:w="2151" w:type="dxa"/>
            <w:tcBorders>
              <w:bottom w:val="nil"/>
            </w:tcBorders>
            <w:vAlign w:val="center"/>
          </w:tcPr>
          <w:p>
            <w:pPr>
              <w:pStyle w:val="Normal"/>
              <w:spacing w:lineRule="auto" w:line="240"/>
              <w:ind w:right="-2" w:hanging="0"/>
              <w:jc w:val="center"/>
              <w:rPr>
                <w:b/>
                <w:b/>
                <w:bCs/>
                <w:color w:val="000000"/>
                <w:sz w:val="20"/>
                <w:highlight w:val="white"/>
                <w:lang w:bidi="ru-RU"/>
              </w:rPr>
            </w:pPr>
            <w:r>
              <w:rPr>
                <w:b/>
                <w:bCs/>
                <w:color w:val="000000"/>
                <w:sz w:val="20"/>
                <w:szCs w:val="22"/>
                <w:shd w:fill="FFFFFF" w:val="clear"/>
                <w:lang w:eastAsia="en-US" w:bidi="ru-RU"/>
              </w:rPr>
              <w:t>Наименование</w:t>
            </w:r>
          </w:p>
        </w:tc>
        <w:tc>
          <w:tcPr>
            <w:tcW w:w="1565" w:type="dxa"/>
            <w:tcBorders>
              <w:bottom w:val="nil"/>
            </w:tcBorders>
            <w:vAlign w:val="center"/>
          </w:tcPr>
          <w:p>
            <w:pPr>
              <w:pStyle w:val="Normal"/>
              <w:spacing w:lineRule="auto" w:line="240"/>
              <w:ind w:right="-2" w:hanging="0"/>
              <w:jc w:val="center"/>
              <w:rPr>
                <w:b/>
                <w:b/>
                <w:bCs/>
                <w:color w:val="000000"/>
                <w:sz w:val="20"/>
                <w:highlight w:val="white"/>
                <w:lang w:bidi="ru-RU"/>
              </w:rPr>
            </w:pPr>
            <w:r>
              <w:rPr>
                <w:b/>
                <w:bCs/>
                <w:color w:val="000000"/>
                <w:sz w:val="20"/>
                <w:szCs w:val="22"/>
                <w:shd w:fill="FFFFFF" w:val="clear"/>
                <w:lang w:eastAsia="en-US" w:bidi="ru-RU"/>
              </w:rPr>
              <w:t>Местоположение</w:t>
            </w:r>
          </w:p>
        </w:tc>
        <w:tc>
          <w:tcPr>
            <w:tcW w:w="1108" w:type="dxa"/>
            <w:tcBorders>
              <w:bottom w:val="nil"/>
            </w:tcBorders>
            <w:vAlign w:val="center"/>
          </w:tcPr>
          <w:p>
            <w:pPr>
              <w:pStyle w:val="Normal"/>
              <w:spacing w:lineRule="auto" w:line="240"/>
              <w:ind w:right="-2" w:hanging="0"/>
              <w:jc w:val="center"/>
              <w:rPr>
                <w:sz w:val="20"/>
                <w:szCs w:val="20"/>
              </w:rPr>
            </w:pPr>
            <w:r>
              <w:rPr>
                <w:b/>
                <w:sz w:val="20"/>
                <w:szCs w:val="20"/>
                <w:lang w:eastAsia="en-US"/>
              </w:rPr>
              <w:t>Обслуживаемые населенные пункты</w:t>
            </w:r>
          </w:p>
        </w:tc>
        <w:tc>
          <w:tcPr>
            <w:tcW w:w="1105" w:type="dxa"/>
            <w:tcBorders>
              <w:bottom w:val="nil"/>
            </w:tcBorders>
            <w:vAlign w:val="center"/>
          </w:tcPr>
          <w:p>
            <w:pPr>
              <w:pStyle w:val="Normal"/>
              <w:spacing w:lineRule="auto" w:line="240"/>
              <w:ind w:right="-2" w:hanging="0"/>
              <w:jc w:val="center"/>
              <w:rPr>
                <w:b/>
                <w:b/>
                <w:sz w:val="20"/>
                <w:szCs w:val="20"/>
              </w:rPr>
            </w:pPr>
            <w:r>
              <w:rPr>
                <w:b/>
                <w:sz w:val="20"/>
                <w:szCs w:val="20"/>
                <w:lang w:eastAsia="en-US"/>
              </w:rPr>
              <w:t>Проектная мощность</w:t>
            </w:r>
          </w:p>
        </w:tc>
        <w:tc>
          <w:tcPr>
            <w:tcW w:w="2083" w:type="dxa"/>
            <w:tcBorders>
              <w:bottom w:val="nil"/>
            </w:tcBorders>
            <w:vAlign w:val="center"/>
          </w:tcPr>
          <w:p>
            <w:pPr>
              <w:pStyle w:val="Normal"/>
              <w:spacing w:lineRule="auto" w:line="240"/>
              <w:ind w:right="-2" w:hanging="0"/>
              <w:jc w:val="center"/>
              <w:rPr>
                <w:b/>
                <w:b/>
                <w:sz w:val="20"/>
                <w:szCs w:val="20"/>
              </w:rPr>
            </w:pPr>
            <w:r>
              <w:rPr>
                <w:b/>
                <w:sz w:val="20"/>
                <w:szCs w:val="20"/>
                <w:lang w:eastAsia="en-US"/>
              </w:rPr>
              <w:t>Год постройки, характеристика объекта (хорошее, удовлетворительное, ветхое)</w:t>
            </w:r>
          </w:p>
        </w:tc>
      </w:tr>
    </w:tbl>
    <w:p>
      <w:pPr>
        <w:pStyle w:val="Normal"/>
        <w:rPr>
          <w:sz w:val="2"/>
          <w:szCs w:val="2"/>
        </w:rPr>
      </w:pPr>
      <w:r>
        <w:rPr>
          <w:sz w:val="2"/>
          <w:szCs w:val="2"/>
        </w:rPr>
      </w:r>
    </w:p>
    <w:tbl>
      <w:tblPr>
        <w:tblStyle w:val="1ff9"/>
        <w:tblW w:w="5000" w:type="pct"/>
        <w:jc w:val="left"/>
        <w:tblInd w:w="-142" w:type="dxa"/>
        <w:tblCellMar>
          <w:top w:w="0" w:type="dxa"/>
          <w:left w:w="57" w:type="dxa"/>
          <w:bottom w:w="0" w:type="dxa"/>
          <w:right w:w="57" w:type="dxa"/>
        </w:tblCellMar>
        <w:tblLook w:firstRow="1" w:noVBand="1" w:lastRow="0" w:firstColumn="1" w:lastColumn="0" w:noHBand="0" w:val="04a0"/>
      </w:tblPr>
      <w:tblGrid>
        <w:gridCol w:w="687"/>
        <w:gridCol w:w="1240"/>
        <w:gridCol w:w="2205"/>
        <w:gridCol w:w="1517"/>
        <w:gridCol w:w="1104"/>
        <w:gridCol w:w="1102"/>
        <w:gridCol w:w="2065"/>
      </w:tblGrid>
      <w:tr>
        <w:trPr>
          <w:tblHeader w:val="true"/>
          <w:trHeight w:val="20" w:hRule="atLeast"/>
        </w:trPr>
        <w:tc>
          <w:tcPr>
            <w:tcW w:w="687" w:type="dxa"/>
            <w:tcBorders/>
          </w:tcPr>
          <w:p>
            <w:pPr>
              <w:pStyle w:val="Normal"/>
              <w:widowControl w:val="false"/>
              <w:spacing w:lineRule="auto" w:line="240"/>
              <w:jc w:val="center"/>
              <w:rPr>
                <w:rFonts w:eastAsia="Times New Roman"/>
                <w:b/>
                <w:b/>
                <w:bCs/>
                <w:color w:val="000000"/>
                <w:sz w:val="20"/>
                <w:szCs w:val="20"/>
                <w:highlight w:val="white"/>
                <w:lang w:bidi="ru-RU"/>
              </w:rPr>
            </w:pPr>
            <w:r>
              <w:rPr>
                <w:rFonts w:eastAsia="Times New Roman"/>
                <w:b/>
                <w:bCs/>
                <w:color w:val="000000"/>
                <w:sz w:val="20"/>
                <w:szCs w:val="20"/>
                <w:shd w:fill="FFFFFF" w:val="clear"/>
                <w:lang w:eastAsia="en-US" w:bidi="ru-RU"/>
              </w:rPr>
              <w:t>1</w:t>
            </w:r>
          </w:p>
        </w:tc>
        <w:tc>
          <w:tcPr>
            <w:tcW w:w="1240" w:type="dxa"/>
            <w:tcBorders/>
          </w:tcPr>
          <w:p>
            <w:pPr>
              <w:pStyle w:val="Normal"/>
              <w:widowControl w:val="false"/>
              <w:spacing w:lineRule="auto" w:line="240"/>
              <w:jc w:val="center"/>
              <w:rPr>
                <w:rFonts w:eastAsia="Calibri" w:eastAsiaTheme="minorHAnsi"/>
                <w:b/>
                <w:b/>
                <w:sz w:val="20"/>
                <w:szCs w:val="20"/>
              </w:rPr>
            </w:pPr>
            <w:r>
              <w:rPr>
                <w:rFonts w:eastAsia="Calibri" w:eastAsiaTheme="minorHAnsi"/>
                <w:b/>
                <w:sz w:val="20"/>
                <w:szCs w:val="20"/>
                <w:lang w:eastAsia="en-US"/>
              </w:rPr>
              <w:t>2</w:t>
            </w:r>
          </w:p>
        </w:tc>
        <w:tc>
          <w:tcPr>
            <w:tcW w:w="2205" w:type="dxa"/>
            <w:tcBorders/>
          </w:tcPr>
          <w:p>
            <w:pPr>
              <w:pStyle w:val="Normal"/>
              <w:widowControl w:val="false"/>
              <w:spacing w:lineRule="auto" w:line="240"/>
              <w:jc w:val="center"/>
              <w:rPr>
                <w:rFonts w:eastAsia="Calibri" w:eastAsiaTheme="minorHAnsi"/>
                <w:b/>
                <w:b/>
                <w:sz w:val="20"/>
                <w:szCs w:val="20"/>
              </w:rPr>
            </w:pPr>
            <w:r>
              <w:rPr>
                <w:rFonts w:eastAsia="Calibri" w:eastAsiaTheme="minorHAnsi"/>
                <w:b/>
                <w:color w:val="333333"/>
                <w:sz w:val="20"/>
                <w:szCs w:val="20"/>
                <w:shd w:fill="FFFFFF" w:val="clear"/>
                <w:lang w:eastAsia="en-US"/>
              </w:rPr>
              <w:t>3</w:t>
            </w:r>
          </w:p>
        </w:tc>
        <w:tc>
          <w:tcPr>
            <w:tcW w:w="1517" w:type="dxa"/>
            <w:tcBorders/>
          </w:tcPr>
          <w:p>
            <w:pPr>
              <w:pStyle w:val="Normal"/>
              <w:widowControl w:val="false"/>
              <w:spacing w:lineRule="auto" w:line="240"/>
              <w:jc w:val="center"/>
              <w:rPr>
                <w:rFonts w:eastAsia="Calibri" w:eastAsiaTheme="minorHAnsi"/>
                <w:b/>
                <w:b/>
                <w:color w:val="333333"/>
                <w:sz w:val="20"/>
                <w:szCs w:val="20"/>
                <w:highlight w:val="white"/>
              </w:rPr>
            </w:pPr>
            <w:r>
              <w:rPr>
                <w:b/>
                <w:bCs/>
                <w:color w:val="000000"/>
                <w:sz w:val="20"/>
                <w:szCs w:val="20"/>
                <w:shd w:fill="FFFFFF" w:val="clear"/>
                <w:lang w:eastAsia="en-US" w:bidi="ru-RU"/>
              </w:rPr>
              <w:t>4</w:t>
            </w:r>
          </w:p>
        </w:tc>
        <w:tc>
          <w:tcPr>
            <w:tcW w:w="1104" w:type="dxa"/>
            <w:tcBorders/>
          </w:tcPr>
          <w:p>
            <w:pPr>
              <w:pStyle w:val="Normal"/>
              <w:spacing w:lineRule="auto" w:line="240"/>
              <w:ind w:right="-2" w:hanging="0"/>
              <w:jc w:val="center"/>
              <w:rPr>
                <w:b/>
                <w:b/>
                <w:bCs/>
                <w:color w:val="000000"/>
                <w:sz w:val="20"/>
                <w:szCs w:val="20"/>
                <w:highlight w:val="white"/>
                <w:lang w:bidi="ru-RU"/>
              </w:rPr>
            </w:pPr>
            <w:r>
              <w:rPr>
                <w:b/>
                <w:sz w:val="20"/>
                <w:szCs w:val="20"/>
                <w:lang w:eastAsia="en-US"/>
              </w:rPr>
              <w:t>5</w:t>
            </w:r>
          </w:p>
        </w:tc>
        <w:tc>
          <w:tcPr>
            <w:tcW w:w="1102" w:type="dxa"/>
            <w:tcBorders/>
          </w:tcPr>
          <w:p>
            <w:pPr>
              <w:pStyle w:val="Normal"/>
              <w:spacing w:lineRule="auto" w:line="240"/>
              <w:ind w:right="-2" w:hanging="0"/>
              <w:jc w:val="center"/>
              <w:rPr>
                <w:b/>
                <w:b/>
                <w:sz w:val="20"/>
                <w:szCs w:val="20"/>
              </w:rPr>
            </w:pPr>
            <w:r>
              <w:rPr>
                <w:b/>
                <w:bCs/>
                <w:color w:val="000000"/>
                <w:sz w:val="20"/>
                <w:szCs w:val="20"/>
                <w:shd w:fill="FFFFFF" w:val="clear"/>
                <w:lang w:eastAsia="en-US" w:bidi="ru-RU"/>
              </w:rPr>
              <w:t>6</w:t>
            </w:r>
          </w:p>
        </w:tc>
        <w:tc>
          <w:tcPr>
            <w:tcW w:w="2065" w:type="dxa"/>
            <w:tcBorders/>
          </w:tcPr>
          <w:p>
            <w:pPr>
              <w:pStyle w:val="Normal"/>
              <w:spacing w:lineRule="auto" w:line="240"/>
              <w:ind w:right="-2" w:hanging="0"/>
              <w:jc w:val="center"/>
              <w:rPr>
                <w:b/>
                <w:b/>
                <w:bCs/>
                <w:color w:val="000000"/>
                <w:sz w:val="20"/>
                <w:szCs w:val="20"/>
                <w:highlight w:val="white"/>
                <w:lang w:bidi="ru-RU"/>
              </w:rPr>
            </w:pPr>
            <w:r>
              <w:rPr>
                <w:b/>
                <w:bCs/>
                <w:color w:val="000000"/>
                <w:sz w:val="20"/>
                <w:szCs w:val="20"/>
                <w:shd w:fill="FFFFFF" w:val="clear"/>
                <w:lang w:eastAsia="en-US" w:bidi="ru-RU"/>
              </w:rPr>
              <w:t>7</w:t>
            </w:r>
          </w:p>
        </w:tc>
      </w:tr>
      <w:tr>
        <w:trPr>
          <w:trHeight w:val="20" w:hRule="atLeast"/>
        </w:trPr>
        <w:tc>
          <w:tcPr>
            <w:tcW w:w="687" w:type="dxa"/>
            <w:tcBorders/>
          </w:tcPr>
          <w:p>
            <w:pPr>
              <w:pStyle w:val="Normal"/>
              <w:widowControl w:val="false"/>
              <w:spacing w:lineRule="auto" w:line="240"/>
              <w:jc w:val="center"/>
              <w:rPr>
                <w:rFonts w:eastAsia="Times New Roman"/>
                <w:bCs/>
                <w:color w:val="000000"/>
                <w:sz w:val="20"/>
                <w:szCs w:val="20"/>
                <w:highlight w:val="white"/>
                <w:lang w:bidi="ru-RU"/>
              </w:rPr>
            </w:pPr>
            <w:r>
              <w:rPr>
                <w:rFonts w:eastAsia="Times New Roman"/>
                <w:bCs/>
                <w:color w:val="000000"/>
                <w:sz w:val="20"/>
                <w:szCs w:val="20"/>
                <w:shd w:fill="FFFFFF" w:val="clear"/>
                <w:lang w:eastAsia="en-US" w:bidi="ru-RU"/>
              </w:rPr>
              <w:t>1</w:t>
            </w:r>
          </w:p>
        </w:tc>
        <w:tc>
          <w:tcPr>
            <w:tcW w:w="1240" w:type="dxa"/>
            <w:tcBorders/>
          </w:tcPr>
          <w:p>
            <w:pPr>
              <w:pStyle w:val="Normal"/>
              <w:widowControl w:val="false"/>
              <w:spacing w:lineRule="auto" w:line="240"/>
              <w:jc w:val="left"/>
              <w:rPr>
                <w:sz w:val="20"/>
                <w:szCs w:val="20"/>
              </w:rPr>
            </w:pPr>
            <w:r>
              <w:rPr>
                <w:sz w:val="20"/>
                <w:szCs w:val="20"/>
                <w:lang w:eastAsia="en-US"/>
              </w:rPr>
              <w:t>ФК.2.1</w:t>
            </w:r>
          </w:p>
        </w:tc>
        <w:tc>
          <w:tcPr>
            <w:tcW w:w="2205" w:type="dxa"/>
            <w:tcBorders/>
          </w:tcPr>
          <w:p>
            <w:pPr>
              <w:pStyle w:val="Normal"/>
              <w:widowControl w:val="false"/>
              <w:spacing w:lineRule="auto" w:line="240"/>
              <w:jc w:val="left"/>
              <w:rPr>
                <w:rFonts w:eastAsia="Times New Roman"/>
                <w:b/>
                <w:b/>
                <w:sz w:val="20"/>
                <w:szCs w:val="20"/>
              </w:rPr>
            </w:pPr>
            <w:r>
              <w:rPr>
                <w:sz w:val="20"/>
                <w:szCs w:val="20"/>
                <w:lang w:eastAsia="en-US"/>
              </w:rPr>
              <w:t>Стадион</w:t>
            </w:r>
          </w:p>
        </w:tc>
        <w:tc>
          <w:tcPr>
            <w:tcW w:w="1517" w:type="dxa"/>
            <w:tcBorders/>
            <w:vAlign w:val="center"/>
          </w:tcPr>
          <w:p>
            <w:pPr>
              <w:pStyle w:val="Normal"/>
              <w:spacing w:lineRule="auto" w:line="240"/>
              <w:ind w:right="-2" w:hanging="0"/>
              <w:jc w:val="left"/>
              <w:rPr>
                <w:rFonts w:eastAsia="Times New Roman"/>
                <w:b/>
                <w:b/>
                <w:color w:val="000000"/>
                <w:sz w:val="20"/>
                <w:szCs w:val="20"/>
                <w:lang w:val="cs-CZ"/>
              </w:rPr>
            </w:pPr>
            <w:r>
              <w:rPr>
                <w:sz w:val="20"/>
                <w:szCs w:val="20"/>
                <w:lang w:eastAsia="en-US"/>
              </w:rPr>
              <w:t>с. Катенино</w:t>
            </w:r>
          </w:p>
        </w:tc>
        <w:tc>
          <w:tcPr>
            <w:tcW w:w="1104" w:type="dxa"/>
            <w:tcBorders/>
          </w:tcPr>
          <w:p>
            <w:pPr>
              <w:pStyle w:val="Normal"/>
              <w:spacing w:lineRule="auto" w:line="240"/>
              <w:ind w:right="-2" w:hanging="0"/>
              <w:jc w:val="left"/>
              <w:rPr>
                <w:bCs/>
                <w:color w:val="000000"/>
                <w:sz w:val="20"/>
                <w:szCs w:val="20"/>
                <w:highlight w:val="white"/>
                <w:lang w:bidi="ru-RU"/>
              </w:rPr>
            </w:pPr>
            <w:r>
              <w:rPr>
                <w:sz w:val="20"/>
                <w:szCs w:val="20"/>
                <w:lang w:eastAsia="en-US"/>
              </w:rPr>
              <w:t>с. Катенино</w:t>
            </w:r>
          </w:p>
        </w:tc>
        <w:tc>
          <w:tcPr>
            <w:tcW w:w="1102" w:type="dxa"/>
            <w:tcBorders/>
          </w:tcPr>
          <w:p>
            <w:pPr>
              <w:pStyle w:val="Normal"/>
              <w:spacing w:lineRule="auto" w:line="240"/>
              <w:ind w:right="-2" w:hanging="0"/>
              <w:jc w:val="center"/>
              <w:rPr>
                <w:bCs/>
                <w:color w:val="000000"/>
                <w:sz w:val="20"/>
                <w:szCs w:val="20"/>
                <w:highlight w:val="white"/>
                <w:lang w:bidi="ru-RU"/>
              </w:rPr>
            </w:pPr>
            <w:r>
              <w:rPr>
                <w:sz w:val="20"/>
                <w:szCs w:val="20"/>
                <w:lang w:eastAsia="en-US"/>
              </w:rPr>
              <w:t>-</w:t>
            </w:r>
          </w:p>
        </w:tc>
        <w:tc>
          <w:tcPr>
            <w:tcW w:w="2065" w:type="dxa"/>
            <w:tcBorders/>
          </w:tcPr>
          <w:p>
            <w:pPr>
              <w:pStyle w:val="Normal"/>
              <w:spacing w:lineRule="auto" w:line="240"/>
              <w:ind w:right="-2" w:hanging="0"/>
              <w:jc w:val="center"/>
              <w:rPr>
                <w:bCs/>
                <w:color w:val="000000"/>
                <w:sz w:val="20"/>
                <w:szCs w:val="20"/>
                <w:highlight w:val="white"/>
                <w:lang w:bidi="ru-RU"/>
              </w:rPr>
            </w:pPr>
            <w:r>
              <w:rPr>
                <w:sz w:val="20"/>
                <w:szCs w:val="20"/>
                <w:lang w:eastAsia="en-US"/>
              </w:rPr>
              <w:t>-</w:t>
            </w:r>
          </w:p>
        </w:tc>
      </w:tr>
    </w:tbl>
    <w:p>
      <w:pPr>
        <w:pStyle w:val="Normal"/>
        <w:widowControl w:val="false"/>
        <w:tabs>
          <w:tab w:val="clear" w:pos="708"/>
          <w:tab w:val="left" w:pos="709" w:leader="none"/>
          <w:tab w:val="left" w:pos="851" w:leader="none"/>
        </w:tabs>
        <w:spacing w:lineRule="auto" w:line="276" w:before="120" w:after="200"/>
        <w:ind w:firstLine="709"/>
        <w:rPr>
          <w:rFonts w:eastAsia="Times New Roman"/>
          <w:b/>
          <w:b/>
          <w:color w:val="000000"/>
          <w:szCs w:val="24"/>
          <w:lang w:eastAsia="ru-RU"/>
        </w:rPr>
      </w:pPr>
      <w:r>
        <w:rPr>
          <w:rFonts w:eastAsia="Times New Roman"/>
          <w:b/>
          <w:color w:val="000000"/>
          <w:szCs w:val="24"/>
          <w:lang w:eastAsia="ru-RU"/>
        </w:rPr>
      </w:r>
    </w:p>
    <w:p>
      <w:pPr>
        <w:pStyle w:val="Normal"/>
        <w:spacing w:lineRule="auto" w:line="276"/>
        <w:ind w:firstLine="709"/>
        <w:jc w:val="left"/>
        <w:rPr>
          <w:b/>
          <w:b/>
          <w:szCs w:val="24"/>
        </w:rPr>
      </w:pPr>
      <w:r>
        <w:rPr>
          <w:b/>
          <w:szCs w:val="24"/>
        </w:rPr>
        <w:t>Информация об основных проблемах и ограничениях</w:t>
      </w:r>
    </w:p>
    <w:p>
      <w:pPr>
        <w:pStyle w:val="Normal"/>
        <w:spacing w:lineRule="auto" w:line="276"/>
        <w:ind w:firstLine="709"/>
        <w:rPr>
          <w:szCs w:val="24"/>
        </w:rPr>
      </w:pPr>
      <w:r>
        <w:rPr>
          <w:szCs w:val="24"/>
        </w:rPr>
        <w:t>Для объектов местного значения поселения в области физической культуры и массового спорта характерны следующие проблемы:</w:t>
      </w:r>
    </w:p>
    <w:p>
      <w:pPr>
        <w:pStyle w:val="Normal"/>
        <w:widowControl w:val="false"/>
        <w:numPr>
          <w:ilvl w:val="0"/>
          <w:numId w:val="9"/>
        </w:numPr>
        <w:tabs>
          <w:tab w:val="clear" w:pos="708"/>
          <w:tab w:val="left" w:pos="709" w:leader="none"/>
        </w:tabs>
        <w:spacing w:lineRule="auto" w:line="276" w:before="0" w:after="200"/>
        <w:ind w:left="0" w:firstLine="425"/>
        <w:contextualSpacing/>
        <w:rPr>
          <w:szCs w:val="24"/>
        </w:rPr>
      </w:pPr>
      <w:r>
        <w:rPr>
          <w:szCs w:val="24"/>
        </w:rPr>
        <w:t>недостаточное развитие материальной базы физкультурно-спортивных учреждений;</w:t>
      </w:r>
    </w:p>
    <w:p>
      <w:pPr>
        <w:pStyle w:val="Normal"/>
        <w:widowControl w:val="false"/>
        <w:numPr>
          <w:ilvl w:val="0"/>
          <w:numId w:val="9"/>
        </w:numPr>
        <w:tabs>
          <w:tab w:val="clear" w:pos="708"/>
          <w:tab w:val="left" w:pos="709" w:leader="none"/>
        </w:tabs>
        <w:spacing w:lineRule="auto" w:line="276" w:before="0" w:after="200"/>
        <w:ind w:left="0" w:firstLine="425"/>
        <w:contextualSpacing/>
        <w:rPr>
          <w:szCs w:val="24"/>
        </w:rPr>
      </w:pPr>
      <w:r>
        <w:rPr>
          <w:szCs w:val="24"/>
        </w:rPr>
        <w:t>недостаточное количество профессиональных тренерских кадров;</w:t>
      </w:r>
    </w:p>
    <w:p>
      <w:pPr>
        <w:pStyle w:val="Normal"/>
        <w:widowControl w:val="false"/>
        <w:numPr>
          <w:ilvl w:val="0"/>
          <w:numId w:val="9"/>
        </w:numPr>
        <w:tabs>
          <w:tab w:val="clear" w:pos="708"/>
          <w:tab w:val="left" w:pos="709" w:leader="none"/>
        </w:tabs>
        <w:spacing w:lineRule="auto" w:line="276"/>
        <w:ind w:left="0" w:firstLine="426"/>
        <w:rPr>
          <w:b/>
          <w:b/>
          <w:szCs w:val="24"/>
        </w:rPr>
      </w:pPr>
      <w:r>
        <w:rPr>
          <w:szCs w:val="24"/>
        </w:rPr>
        <w:t>недостаточное ресурсное обеспечение планируемых к проведению спортивных мероприятий.</w:t>
      </w:r>
    </w:p>
    <w:p>
      <w:pPr>
        <w:pStyle w:val="Normal"/>
        <w:widowControl w:val="false"/>
        <w:tabs>
          <w:tab w:val="clear" w:pos="708"/>
          <w:tab w:val="left" w:pos="709" w:leader="none"/>
          <w:tab w:val="left" w:pos="851" w:leader="none"/>
        </w:tabs>
        <w:spacing w:lineRule="auto" w:line="276"/>
        <w:ind w:firstLine="709"/>
        <w:rPr>
          <w:rFonts w:eastAsia="Times New Roman"/>
          <w:b/>
          <w:b/>
          <w:color w:val="000000"/>
          <w:szCs w:val="24"/>
          <w:lang w:eastAsia="ru-RU"/>
        </w:rPr>
      </w:pPr>
      <w:r>
        <w:rPr>
          <w:rFonts w:eastAsia="Times New Roman"/>
          <w:b/>
          <w:color w:val="000000"/>
          <w:szCs w:val="24"/>
          <w:lang w:eastAsia="ru-RU"/>
        </w:rPr>
        <w:t>Направления развития</w:t>
      </w:r>
    </w:p>
    <w:p>
      <w:pPr>
        <w:pStyle w:val="Normal"/>
        <w:spacing w:lineRule="auto" w:line="276"/>
        <w:ind w:left="238" w:firstLine="708"/>
        <w:rPr>
          <w:szCs w:val="24"/>
        </w:rPr>
      </w:pPr>
      <w:r>
        <w:rPr/>
        <w:t>Стратегией социально-экономического развития Челябинской области на период до 2035 г., (утвержденная распоряжением Правительства Челябинской области от 06.03.2017 года № 89-рп), схемой территориального планирования Варненского муниципального района (утверждена Администрацией Варненского муниципального района Челябинской области от 26.07.2023 г. № 61) планируются объекты в области физической культуры и массового спорта Перечень объектов районного значения в области физической культуры и массового спорта. приведена в таблице 3.5.4.</w:t>
      </w:r>
    </w:p>
    <w:p>
      <w:pPr>
        <w:pStyle w:val="Normal"/>
        <w:spacing w:lineRule="auto" w:line="276"/>
        <w:ind w:firstLine="708"/>
        <w:jc w:val="right"/>
        <w:rPr>
          <w:rFonts w:eastAsia="Times New Roman"/>
          <w:szCs w:val="24"/>
          <w:lang w:eastAsia="ru-RU"/>
        </w:rPr>
      </w:pPr>
      <w:r>
        <w:rPr>
          <w:rFonts w:eastAsia="Times New Roman"/>
          <w:szCs w:val="24"/>
          <w:lang w:eastAsia="ru-RU"/>
        </w:rPr>
        <w:t>Таблица 3.5.4</w:t>
      </w:r>
    </w:p>
    <w:p>
      <w:pPr>
        <w:pStyle w:val="Normal"/>
        <w:spacing w:lineRule="auto" w:line="276"/>
        <w:jc w:val="center"/>
        <w:rPr>
          <w:szCs w:val="24"/>
        </w:rPr>
      </w:pPr>
      <w:r>
        <w:rPr/>
        <w:t>Перечень объектов районного значения в области физической культуры и массового спорта</w:t>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418"/>
        <w:gridCol w:w="997"/>
        <w:gridCol w:w="1560"/>
        <w:gridCol w:w="2270"/>
        <w:gridCol w:w="2696"/>
        <w:gridCol w:w="1979"/>
      </w:tblGrid>
      <w:tr>
        <w:trPr>
          <w:tblHeader w:val="true"/>
          <w:trHeight w:val="20" w:hRule="atLeast"/>
        </w:trPr>
        <w:tc>
          <w:tcPr>
            <w:tcW w:w="418"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sz w:val="20"/>
                <w:szCs w:val="20"/>
              </w:rPr>
              <w:t>№</w:t>
            </w:r>
          </w:p>
        </w:tc>
        <w:tc>
          <w:tcPr>
            <w:tcW w:w="997" w:type="dxa"/>
            <w:tcBorders>
              <w:top w:val="single" w:sz="4" w:space="0" w:color="000000"/>
              <w:left w:val="single" w:sz="4" w:space="0" w:color="000000"/>
              <w:right w:val="single" w:sz="4" w:space="0" w:color="000000"/>
            </w:tcBorders>
          </w:tcPr>
          <w:p>
            <w:pPr>
              <w:pStyle w:val="Normal"/>
              <w:spacing w:lineRule="auto" w:line="240"/>
              <w:jc w:val="center"/>
              <w:rPr>
                <w:b/>
                <w:b/>
                <w:sz w:val="20"/>
                <w:szCs w:val="20"/>
              </w:rPr>
            </w:pPr>
            <w:r>
              <w:rPr>
                <w:b/>
                <w:bCs/>
                <w:color w:val="000000"/>
                <w:sz w:val="20"/>
                <w:shd w:fill="FFFFFF" w:val="clear"/>
                <w:lang w:bidi="ru-RU"/>
              </w:rPr>
              <w:t xml:space="preserve">№ </w:t>
            </w:r>
            <w:r>
              <w:rPr>
                <w:b/>
                <w:bCs/>
                <w:color w:val="000000"/>
                <w:sz w:val="20"/>
                <w:shd w:fill="FFFFFF" w:val="clear"/>
                <w:lang w:bidi="ru-RU"/>
              </w:rPr>
              <w:t>объекта на карте</w:t>
            </w:r>
          </w:p>
        </w:tc>
        <w:tc>
          <w:tcPr>
            <w:tcW w:w="1560"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Наименование</w:t>
            </w:r>
          </w:p>
        </w:tc>
        <w:tc>
          <w:tcPr>
            <w:tcW w:w="2270"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Местоположение</w:t>
            </w:r>
          </w:p>
        </w:tc>
        <w:tc>
          <w:tcPr>
            <w:tcW w:w="2696"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Описание планируемых мероприятий</w:t>
            </w:r>
          </w:p>
        </w:tc>
        <w:tc>
          <w:tcPr>
            <w:tcW w:w="1979"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Arial Unicode MS"/>
                <w:b/>
                <w:b/>
                <w:sz w:val="20"/>
                <w:szCs w:val="20"/>
              </w:rPr>
            </w:pPr>
            <w:r>
              <w:rPr>
                <w:rFonts w:eastAsia="Arial Unicode MS"/>
                <w:b/>
                <w:sz w:val="20"/>
                <w:szCs w:val="20"/>
              </w:rPr>
              <w:t>Основные характеристики объекта</w:t>
            </w:r>
          </w:p>
        </w:tc>
      </w:tr>
    </w:tbl>
    <w:p>
      <w:pPr>
        <w:pStyle w:val="Normal"/>
        <w:spacing w:lineRule="auto" w:line="240"/>
        <w:rPr>
          <w:sz w:val="2"/>
          <w:szCs w:val="2"/>
        </w:rPr>
      </w:pPr>
      <w:r>
        <w:rPr>
          <w:sz w:val="2"/>
          <w:szCs w:val="2"/>
        </w:rPr>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355"/>
        <w:gridCol w:w="1012"/>
        <w:gridCol w:w="1677"/>
        <w:gridCol w:w="2246"/>
        <w:gridCol w:w="2673"/>
        <w:gridCol w:w="1957"/>
      </w:tblGrid>
      <w:tr>
        <w:trPr>
          <w:tblHeader w:val="true"/>
          <w:trHeight w:val="20" w:hRule="atLeast"/>
        </w:trPr>
        <w:tc>
          <w:tcPr>
            <w:tcW w:w="3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1</w:t>
            </w:r>
          </w:p>
        </w:tc>
        <w:tc>
          <w:tcPr>
            <w:tcW w:w="101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2</w:t>
            </w:r>
          </w:p>
        </w:tc>
        <w:tc>
          <w:tcPr>
            <w:tcW w:w="167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3</w:t>
            </w:r>
          </w:p>
        </w:tc>
        <w:tc>
          <w:tcPr>
            <w:tcW w:w="2246"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4</w:t>
            </w:r>
          </w:p>
        </w:tc>
        <w:tc>
          <w:tcPr>
            <w:tcW w:w="267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rFonts w:eastAsia="Arial Unicode MS"/>
                <w:b/>
                <w:sz w:val="20"/>
                <w:szCs w:val="20"/>
              </w:rPr>
              <w:t>5</w:t>
            </w:r>
          </w:p>
        </w:tc>
        <w:tc>
          <w:tcPr>
            <w:tcW w:w="195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Arial Unicode MS"/>
                <w:b/>
                <w:b/>
                <w:sz w:val="20"/>
                <w:szCs w:val="20"/>
              </w:rPr>
            </w:pPr>
            <w:r>
              <w:rPr>
                <w:rFonts w:eastAsia="Arial Unicode MS"/>
                <w:b/>
                <w:sz w:val="20"/>
                <w:szCs w:val="20"/>
              </w:rPr>
              <w:t>6</w:t>
            </w:r>
          </w:p>
        </w:tc>
      </w:tr>
      <w:tr>
        <w:trPr>
          <w:trHeight w:val="20" w:hRule="atLeast"/>
        </w:trPr>
        <w:tc>
          <w:tcPr>
            <w:tcW w:w="35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w:t>
            </w:r>
          </w:p>
        </w:tc>
        <w:tc>
          <w:tcPr>
            <w:tcW w:w="101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color w:val="000000" w:themeColor="text1"/>
                <w:sz w:val="20"/>
                <w:szCs w:val="20"/>
              </w:rPr>
              <w:t>ФК.1.1</w:t>
            </w:r>
          </w:p>
        </w:tc>
        <w:tc>
          <w:tcPr>
            <w:tcW w:w="167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Спортивно-тренажерный зал повседневного обслуживания</w:t>
            </w:r>
          </w:p>
        </w:tc>
        <w:tc>
          <w:tcPr>
            <w:tcW w:w="2246"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bCs/>
                <w:sz w:val="20"/>
                <w:szCs w:val="20"/>
                <w:shd w:fill="FFFFFF" w:val="clear"/>
                <w:lang w:bidi="ru-RU"/>
              </w:rPr>
              <w:t xml:space="preserve">Челябинская область, Варненский муниципальный район, Катенинское сельское поселение, </w:t>
            </w:r>
            <w:r>
              <w:rPr>
                <w:sz w:val="20"/>
                <w:szCs w:val="20"/>
              </w:rPr>
              <w:t>п. Караоба</w:t>
            </w:r>
          </w:p>
        </w:tc>
        <w:tc>
          <w:tcPr>
            <w:tcW w:w="267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1. Новое строительство.</w:t>
            </w:r>
          </w:p>
          <w:p>
            <w:pPr>
              <w:pStyle w:val="Normal"/>
              <w:spacing w:lineRule="auto" w:line="240"/>
              <w:ind w:right="-108" w:hanging="0"/>
              <w:jc w:val="left"/>
              <w:rPr>
                <w:sz w:val="20"/>
                <w:szCs w:val="20"/>
              </w:rPr>
            </w:pPr>
            <w:r>
              <w:rPr>
                <w:sz w:val="20"/>
                <w:szCs w:val="20"/>
              </w:rPr>
              <w:t>2. Срок реализации — 2042 г.</w:t>
            </w:r>
          </w:p>
        </w:tc>
        <w:tc>
          <w:tcPr>
            <w:tcW w:w="195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ind w:left="30" w:hanging="0"/>
              <w:jc w:val="left"/>
              <w:rPr>
                <w:sz w:val="20"/>
                <w:szCs w:val="20"/>
              </w:rPr>
            </w:pPr>
            <w:r>
              <w:rPr>
                <w:sz w:val="20"/>
                <w:szCs w:val="20"/>
              </w:rPr>
              <w:t>Площадь — 150 м</w:t>
            </w:r>
            <w:r>
              <w:rPr>
                <w:sz w:val="20"/>
                <w:szCs w:val="20"/>
                <w:vertAlign w:val="superscript"/>
              </w:rPr>
              <w:t>2</w:t>
            </w:r>
          </w:p>
          <w:p>
            <w:pPr>
              <w:pStyle w:val="Normal"/>
              <w:spacing w:lineRule="auto" w:line="240"/>
              <w:ind w:left="30" w:hanging="0"/>
              <w:jc w:val="left"/>
              <w:rPr>
                <w:rFonts w:eastAsia="Arial Unicode MS"/>
                <w:sz w:val="20"/>
                <w:szCs w:val="20"/>
              </w:rPr>
            </w:pPr>
            <w:r>
              <w:rPr>
                <w:rFonts w:eastAsia="Arial Unicode MS"/>
                <w:sz w:val="20"/>
                <w:szCs w:val="20"/>
              </w:rPr>
            </w:r>
          </w:p>
        </w:tc>
      </w:tr>
      <w:tr>
        <w:trPr>
          <w:trHeight w:val="20" w:hRule="atLeast"/>
        </w:trPr>
        <w:tc>
          <w:tcPr>
            <w:tcW w:w="35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2</w:t>
            </w:r>
          </w:p>
        </w:tc>
        <w:tc>
          <w:tcPr>
            <w:tcW w:w="101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color w:val="000000" w:themeColor="text1"/>
                <w:sz w:val="20"/>
                <w:szCs w:val="20"/>
              </w:rPr>
            </w:pPr>
            <w:r>
              <w:rPr>
                <w:color w:val="000000" w:themeColor="text1"/>
                <w:sz w:val="20"/>
                <w:szCs w:val="20"/>
              </w:rPr>
              <w:t>ФК.1.2</w:t>
            </w:r>
          </w:p>
        </w:tc>
        <w:tc>
          <w:tcPr>
            <w:tcW w:w="167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Спортивно-тренажерный зал повседневного обслуживания</w:t>
            </w:r>
          </w:p>
        </w:tc>
        <w:tc>
          <w:tcPr>
            <w:tcW w:w="2246"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bCs/>
                <w:sz w:val="20"/>
                <w:szCs w:val="20"/>
                <w:highlight w:val="white"/>
                <w:lang w:bidi="ru-RU"/>
              </w:rPr>
            </w:pPr>
            <w:r>
              <w:rPr>
                <w:bCs/>
                <w:sz w:val="20"/>
                <w:szCs w:val="20"/>
                <w:shd w:fill="FFFFFF" w:val="clear"/>
                <w:lang w:bidi="ru-RU"/>
              </w:rPr>
              <w:t xml:space="preserve">Челябинская область, Варненский муниципальный район, Катенинское сельское поселение, </w:t>
            </w:r>
            <w:r>
              <w:rPr>
                <w:sz w:val="20"/>
                <w:szCs w:val="20"/>
              </w:rPr>
              <w:t>п. Комсомольский</w:t>
            </w:r>
          </w:p>
        </w:tc>
        <w:tc>
          <w:tcPr>
            <w:tcW w:w="267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1. Новое строительство.</w:t>
            </w:r>
          </w:p>
          <w:p>
            <w:pPr>
              <w:pStyle w:val="Normal"/>
              <w:spacing w:lineRule="auto" w:line="240"/>
              <w:jc w:val="left"/>
              <w:rPr>
                <w:sz w:val="20"/>
                <w:szCs w:val="20"/>
              </w:rPr>
            </w:pPr>
            <w:r>
              <w:rPr>
                <w:sz w:val="20"/>
                <w:szCs w:val="20"/>
              </w:rPr>
              <w:t>2. Срок реализации — 2042 г.</w:t>
            </w:r>
          </w:p>
        </w:tc>
        <w:tc>
          <w:tcPr>
            <w:tcW w:w="195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ind w:left="30" w:hanging="0"/>
              <w:jc w:val="left"/>
              <w:rPr>
                <w:sz w:val="20"/>
                <w:szCs w:val="20"/>
              </w:rPr>
            </w:pPr>
            <w:r>
              <w:rPr>
                <w:sz w:val="20"/>
                <w:szCs w:val="20"/>
              </w:rPr>
              <w:t>Площадь — 150 м</w:t>
            </w:r>
            <w:r>
              <w:rPr>
                <w:sz w:val="20"/>
                <w:szCs w:val="20"/>
                <w:vertAlign w:val="superscript"/>
              </w:rPr>
              <w:t>2</w:t>
            </w:r>
          </w:p>
          <w:p>
            <w:pPr>
              <w:pStyle w:val="Normal"/>
              <w:spacing w:lineRule="auto" w:line="240"/>
              <w:ind w:left="30" w:hanging="0"/>
              <w:jc w:val="left"/>
              <w:rPr>
                <w:sz w:val="20"/>
                <w:szCs w:val="20"/>
              </w:rPr>
            </w:pPr>
            <w:r>
              <w:rPr>
                <w:sz w:val="20"/>
                <w:szCs w:val="20"/>
              </w:rPr>
            </w:r>
          </w:p>
        </w:tc>
      </w:tr>
      <w:tr>
        <w:trPr>
          <w:trHeight w:val="20" w:hRule="atLeast"/>
        </w:trPr>
        <w:tc>
          <w:tcPr>
            <w:tcW w:w="35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3</w:t>
            </w:r>
          </w:p>
        </w:tc>
        <w:tc>
          <w:tcPr>
            <w:tcW w:w="101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color w:val="000000" w:themeColor="text1"/>
                <w:sz w:val="20"/>
                <w:szCs w:val="20"/>
              </w:rPr>
            </w:pPr>
            <w:r>
              <w:rPr>
                <w:color w:val="000000" w:themeColor="text1"/>
                <w:sz w:val="20"/>
                <w:szCs w:val="20"/>
              </w:rPr>
              <w:t>ФК.1.3</w:t>
            </w:r>
          </w:p>
        </w:tc>
        <w:tc>
          <w:tcPr>
            <w:tcW w:w="167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Спортивно-тренажерный зал повседневного обслуживания</w:t>
            </w:r>
          </w:p>
        </w:tc>
        <w:tc>
          <w:tcPr>
            <w:tcW w:w="2246"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bCs/>
                <w:sz w:val="20"/>
                <w:szCs w:val="20"/>
                <w:highlight w:val="white"/>
                <w:lang w:bidi="ru-RU"/>
              </w:rPr>
            </w:pPr>
            <w:r>
              <w:rPr>
                <w:bCs/>
                <w:sz w:val="20"/>
                <w:szCs w:val="20"/>
                <w:shd w:fill="FFFFFF" w:val="clear"/>
                <w:lang w:bidi="ru-RU"/>
              </w:rPr>
              <w:t xml:space="preserve">Челябинская область, Варненский муниципальный район, Катенинское сельское поселение, </w:t>
            </w:r>
            <w:r>
              <w:rPr>
                <w:sz w:val="20"/>
                <w:szCs w:val="20"/>
              </w:rPr>
              <w:t>п. Красноармейский</w:t>
            </w:r>
          </w:p>
        </w:tc>
        <w:tc>
          <w:tcPr>
            <w:tcW w:w="267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1. Новое строительство.</w:t>
            </w:r>
          </w:p>
          <w:p>
            <w:pPr>
              <w:pStyle w:val="Normal"/>
              <w:spacing w:lineRule="auto" w:line="240"/>
              <w:jc w:val="left"/>
              <w:rPr>
                <w:sz w:val="20"/>
                <w:szCs w:val="20"/>
              </w:rPr>
            </w:pPr>
            <w:r>
              <w:rPr>
                <w:sz w:val="20"/>
                <w:szCs w:val="20"/>
              </w:rPr>
              <w:t>2. Срок реализации — 2042 г.</w:t>
            </w:r>
          </w:p>
        </w:tc>
        <w:tc>
          <w:tcPr>
            <w:tcW w:w="195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ind w:left="30" w:hanging="0"/>
              <w:jc w:val="left"/>
              <w:rPr>
                <w:sz w:val="20"/>
                <w:szCs w:val="20"/>
              </w:rPr>
            </w:pPr>
            <w:r>
              <w:rPr>
                <w:sz w:val="20"/>
                <w:szCs w:val="20"/>
              </w:rPr>
              <w:t>Площадь — 150 м</w:t>
            </w:r>
            <w:r>
              <w:rPr>
                <w:sz w:val="20"/>
                <w:szCs w:val="20"/>
                <w:vertAlign w:val="superscript"/>
              </w:rPr>
              <w:t>2</w:t>
            </w:r>
          </w:p>
          <w:p>
            <w:pPr>
              <w:pStyle w:val="Normal"/>
              <w:spacing w:lineRule="auto" w:line="240"/>
              <w:ind w:left="30" w:hanging="0"/>
              <w:jc w:val="left"/>
              <w:rPr>
                <w:sz w:val="20"/>
                <w:szCs w:val="20"/>
              </w:rPr>
            </w:pPr>
            <w:r>
              <w:rPr>
                <w:sz w:val="20"/>
                <w:szCs w:val="20"/>
              </w:rPr>
            </w:r>
          </w:p>
        </w:tc>
      </w:tr>
      <w:tr>
        <w:trPr>
          <w:trHeight w:val="20" w:hRule="atLeast"/>
        </w:trPr>
        <w:tc>
          <w:tcPr>
            <w:tcW w:w="35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4</w:t>
            </w:r>
          </w:p>
        </w:tc>
        <w:tc>
          <w:tcPr>
            <w:tcW w:w="101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color w:val="000000" w:themeColor="text1"/>
                <w:sz w:val="20"/>
                <w:szCs w:val="20"/>
              </w:rPr>
            </w:pPr>
            <w:r>
              <w:rPr>
                <w:color w:val="000000" w:themeColor="text1"/>
                <w:sz w:val="20"/>
                <w:szCs w:val="20"/>
              </w:rPr>
              <w:t>ФК.1.4</w:t>
            </w:r>
          </w:p>
        </w:tc>
        <w:tc>
          <w:tcPr>
            <w:tcW w:w="167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Физкультурно-оздоровительный комплекс</w:t>
            </w:r>
          </w:p>
        </w:tc>
        <w:tc>
          <w:tcPr>
            <w:tcW w:w="2246"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bCs/>
                <w:sz w:val="20"/>
                <w:szCs w:val="20"/>
                <w:highlight w:val="white"/>
                <w:lang w:bidi="ru-RU"/>
              </w:rPr>
            </w:pPr>
            <w:r>
              <w:rPr>
                <w:bCs/>
                <w:sz w:val="20"/>
                <w:szCs w:val="20"/>
                <w:shd w:fill="FFFFFF" w:val="clear"/>
                <w:lang w:bidi="ru-RU"/>
              </w:rPr>
              <w:t xml:space="preserve">Челябинская область, Варненский муниципальный район, Катенинское сельское поселение, </w:t>
            </w:r>
            <w:r>
              <w:rPr>
                <w:sz w:val="20"/>
                <w:szCs w:val="20"/>
              </w:rPr>
              <w:t>с. Катенино</w:t>
            </w:r>
          </w:p>
        </w:tc>
        <w:tc>
          <w:tcPr>
            <w:tcW w:w="267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1. Новое строительство.</w:t>
            </w:r>
          </w:p>
          <w:p>
            <w:pPr>
              <w:pStyle w:val="Normal"/>
              <w:spacing w:lineRule="auto" w:line="240"/>
              <w:jc w:val="left"/>
              <w:rPr>
                <w:sz w:val="20"/>
                <w:szCs w:val="20"/>
              </w:rPr>
            </w:pPr>
            <w:r>
              <w:rPr>
                <w:sz w:val="20"/>
                <w:szCs w:val="20"/>
              </w:rPr>
              <w:t>2. Срок реализации — 2042 г.</w:t>
            </w:r>
          </w:p>
        </w:tc>
        <w:tc>
          <w:tcPr>
            <w:tcW w:w="195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ind w:left="30" w:hanging="0"/>
              <w:jc w:val="left"/>
              <w:rPr>
                <w:sz w:val="20"/>
                <w:szCs w:val="20"/>
              </w:rPr>
            </w:pPr>
            <w:r>
              <w:rPr>
                <w:sz w:val="20"/>
                <w:szCs w:val="20"/>
              </w:rPr>
              <w:t>Площадь — 700 м</w:t>
            </w:r>
            <w:r>
              <w:rPr>
                <w:sz w:val="20"/>
                <w:szCs w:val="20"/>
                <w:vertAlign w:val="superscript"/>
              </w:rPr>
              <w:t>2</w:t>
            </w:r>
          </w:p>
          <w:p>
            <w:pPr>
              <w:pStyle w:val="Normal"/>
              <w:spacing w:lineRule="auto" w:line="240"/>
              <w:ind w:left="30" w:hanging="0"/>
              <w:jc w:val="left"/>
              <w:rPr>
                <w:sz w:val="20"/>
                <w:szCs w:val="20"/>
              </w:rPr>
            </w:pPr>
            <w:r>
              <w:rPr>
                <w:sz w:val="20"/>
                <w:szCs w:val="20"/>
              </w:rPr>
            </w:r>
          </w:p>
        </w:tc>
      </w:tr>
    </w:tbl>
    <w:p>
      <w:pPr>
        <w:pStyle w:val="0212161"/>
        <w:rPr>
          <w:szCs w:val="24"/>
        </w:rPr>
      </w:pPr>
      <w:bookmarkStart w:id="111" w:name="_Toc69297542"/>
      <w:bookmarkStart w:id="112" w:name="_Toc27748722"/>
      <w:bookmarkStart w:id="113" w:name="_Toc182210467"/>
      <w:r>
        <w:rPr/>
        <w:t>5.2.3 Культура и искусств</w:t>
      </w:r>
      <w:bookmarkEnd w:id="111"/>
      <w:bookmarkEnd w:id="112"/>
      <w:r>
        <w:rPr/>
        <w:t>о</w:t>
      </w:r>
      <w:bookmarkEnd w:id="113"/>
    </w:p>
    <w:p>
      <w:pPr>
        <w:pStyle w:val="Normal"/>
        <w:spacing w:lineRule="auto" w:line="276" w:before="120" w:after="200"/>
        <w:rPr>
          <w:b/>
          <w:b/>
        </w:rPr>
      </w:pPr>
      <w:r>
        <w:rPr>
          <w:b/>
        </w:rPr>
        <w:t>Анализ существующего состояния</w:t>
      </w:r>
    </w:p>
    <w:p>
      <w:pPr>
        <w:sectPr>
          <w:headerReference w:type="default" r:id="rId74"/>
          <w:footerReference w:type="default" r:id="rId75"/>
          <w:type w:val="nextPage"/>
          <w:pgSz w:w="11906" w:h="16838"/>
          <w:pgMar w:left="1418" w:right="567" w:header="567" w:top="1134" w:footer="567" w:bottom="1134" w:gutter="0"/>
          <w:pgNumType w:fmt="decimal"/>
          <w:formProt w:val="false"/>
          <w:textDirection w:val="lrTb"/>
          <w:docGrid w:type="default" w:linePitch="360" w:charSpace="0"/>
        </w:sectPr>
        <w:pStyle w:val="Normal"/>
        <w:spacing w:lineRule="auto" w:line="276"/>
        <w:ind w:right="-2" w:firstLine="709"/>
        <w:rPr>
          <w:rFonts w:eastAsia="Times New Roman"/>
          <w:szCs w:val="24"/>
          <w:lang w:eastAsia="ru-RU"/>
        </w:rPr>
      </w:pPr>
      <w:r>
        <w:rPr>
          <w:rFonts w:eastAsia="Times New Roman"/>
          <w:szCs w:val="24"/>
          <w:lang w:eastAsia="ru-RU"/>
        </w:rPr>
        <w:t xml:space="preserve">Сводный перечень объектов местного значения муниципального района в области культуры и искусства, расположенных на территории сельского поселения приведен в </w:t>
        <w:br/>
        <w:t>таблице 3.5.5.</w:t>
      </w:r>
    </w:p>
    <w:p>
      <w:pPr>
        <w:pStyle w:val="Normal"/>
        <w:spacing w:lineRule="auto" w:line="276"/>
        <w:jc w:val="right"/>
        <w:rPr>
          <w:rFonts w:eastAsia="Times New Roman"/>
          <w:szCs w:val="24"/>
          <w:lang w:eastAsia="ru-RU"/>
        </w:rPr>
      </w:pPr>
      <w:r>
        <w:rPr>
          <w:rFonts w:eastAsia="Times New Roman"/>
          <w:szCs w:val="24"/>
          <w:lang w:eastAsia="ru-RU"/>
        </w:rPr>
        <w:t>Таблица 3.5.5</w:t>
      </w:r>
    </w:p>
    <w:p>
      <w:pPr>
        <w:pStyle w:val="Normal"/>
        <w:widowControl w:val="false"/>
        <w:tabs>
          <w:tab w:val="clear" w:pos="708"/>
          <w:tab w:val="left" w:pos="709" w:leader="none"/>
          <w:tab w:val="left" w:pos="851" w:leader="none"/>
        </w:tabs>
        <w:spacing w:lineRule="auto" w:line="276"/>
        <w:jc w:val="center"/>
        <w:rPr>
          <w:rFonts w:eastAsia="Times New Roman"/>
          <w:color w:val="000000"/>
          <w:szCs w:val="24"/>
          <w:lang w:eastAsia="ru-RU"/>
        </w:rPr>
      </w:pPr>
      <w:r>
        <w:rPr>
          <w:rFonts w:eastAsia="Times New Roman"/>
          <w:color w:val="000000"/>
          <w:szCs w:val="24"/>
          <w:lang w:eastAsia="ru-RU"/>
        </w:rPr>
        <w:t>Перечень объектов местного значения муниципального района в области культуры и искусства</w:t>
      </w:r>
    </w:p>
    <w:tbl>
      <w:tblPr>
        <w:tblStyle w:val="1ff9"/>
        <w:tblW w:w="5000" w:type="pct"/>
        <w:jc w:val="left"/>
        <w:tblInd w:w="-108" w:type="dxa"/>
        <w:tblCellMar>
          <w:top w:w="0" w:type="dxa"/>
          <w:left w:w="108" w:type="dxa"/>
          <w:bottom w:w="0" w:type="dxa"/>
          <w:right w:w="108" w:type="dxa"/>
        </w:tblCellMar>
        <w:tblLook w:firstRow="1" w:noVBand="1" w:lastRow="0" w:firstColumn="1" w:lastColumn="0" w:noHBand="0" w:val="04a0"/>
      </w:tblPr>
      <w:tblGrid>
        <w:gridCol w:w="423"/>
        <w:gridCol w:w="1133"/>
        <w:gridCol w:w="1762"/>
        <w:gridCol w:w="2492"/>
        <w:gridCol w:w="1279"/>
        <w:gridCol w:w="1559"/>
        <w:gridCol w:w="1559"/>
        <w:gridCol w:w="1137"/>
        <w:gridCol w:w="1984"/>
        <w:gridCol w:w="1240"/>
      </w:tblGrid>
      <w:tr>
        <w:trPr>
          <w:trHeight w:val="70" w:hRule="atLeast"/>
          <w:cantSplit w:val="true"/>
        </w:trPr>
        <w:tc>
          <w:tcPr>
            <w:tcW w:w="423" w:type="dxa"/>
            <w:tcBorders>
              <w:bottom w:val="nil"/>
            </w:tcBorders>
            <w:vAlign w:val="center"/>
          </w:tcPr>
          <w:p>
            <w:pPr>
              <w:pStyle w:val="Normal"/>
              <w:widowControl w:val="false"/>
              <w:spacing w:lineRule="auto" w:line="276"/>
              <w:jc w:val="center"/>
              <w:rPr>
                <w:rFonts w:eastAsia="Times New Roman"/>
                <w:b/>
                <w:b/>
                <w:bCs/>
                <w:sz w:val="20"/>
                <w:highlight w:val="white"/>
                <w:lang w:bidi="ru-RU"/>
              </w:rPr>
            </w:pPr>
            <w:r>
              <w:rPr>
                <w:rFonts w:eastAsia="Times New Roman"/>
                <w:b/>
                <w:bCs/>
                <w:sz w:val="20"/>
                <w:szCs w:val="22"/>
                <w:shd w:fill="FFFFFF" w:val="clear"/>
                <w:lang w:eastAsia="en-US" w:bidi="ru-RU"/>
              </w:rPr>
              <w:t>№</w:t>
            </w:r>
          </w:p>
        </w:tc>
        <w:tc>
          <w:tcPr>
            <w:tcW w:w="1133" w:type="dxa"/>
            <w:tcBorders>
              <w:bottom w:val="nil"/>
            </w:tcBorders>
            <w:vAlign w:val="center"/>
          </w:tcPr>
          <w:p>
            <w:pPr>
              <w:pStyle w:val="Normal"/>
              <w:spacing w:lineRule="auto" w:line="276"/>
              <w:ind w:right="-2" w:hanging="0"/>
              <w:jc w:val="center"/>
              <w:rPr>
                <w:b/>
                <w:b/>
                <w:bCs/>
                <w:sz w:val="20"/>
                <w:highlight w:val="white"/>
                <w:lang w:bidi="ru-RU"/>
              </w:rPr>
            </w:pPr>
            <w:r>
              <w:rPr>
                <w:b/>
                <w:bCs/>
                <w:color w:val="000000"/>
                <w:sz w:val="20"/>
                <w:szCs w:val="22"/>
                <w:shd w:fill="FFFFFF" w:val="clear"/>
                <w:lang w:eastAsia="en-US" w:bidi="ru-RU"/>
              </w:rPr>
              <w:t xml:space="preserve">№ </w:t>
            </w:r>
            <w:r>
              <w:rPr>
                <w:b/>
                <w:bCs/>
                <w:color w:val="000000"/>
                <w:sz w:val="20"/>
                <w:szCs w:val="22"/>
                <w:shd w:fill="FFFFFF" w:val="clear"/>
                <w:lang w:eastAsia="en-US" w:bidi="ru-RU"/>
              </w:rPr>
              <w:t>объекта на карте</w:t>
            </w:r>
          </w:p>
        </w:tc>
        <w:tc>
          <w:tcPr>
            <w:tcW w:w="1762" w:type="dxa"/>
            <w:tcBorders>
              <w:bottom w:val="nil"/>
            </w:tcBorders>
            <w:vAlign w:val="center"/>
          </w:tcPr>
          <w:p>
            <w:pPr>
              <w:pStyle w:val="Normal"/>
              <w:spacing w:lineRule="auto" w:line="276"/>
              <w:ind w:right="-2" w:hanging="0"/>
              <w:jc w:val="center"/>
              <w:rPr>
                <w:b/>
                <w:b/>
                <w:bCs/>
                <w:sz w:val="20"/>
                <w:highlight w:val="white"/>
                <w:lang w:bidi="ru-RU"/>
              </w:rPr>
            </w:pPr>
            <w:r>
              <w:rPr>
                <w:b/>
                <w:bCs/>
                <w:sz w:val="20"/>
                <w:szCs w:val="22"/>
                <w:shd w:fill="FFFFFF" w:val="clear"/>
                <w:lang w:eastAsia="en-US" w:bidi="ru-RU"/>
              </w:rPr>
              <w:t>Наименование</w:t>
            </w:r>
          </w:p>
        </w:tc>
        <w:tc>
          <w:tcPr>
            <w:tcW w:w="2492" w:type="dxa"/>
            <w:tcBorders>
              <w:bottom w:val="nil"/>
            </w:tcBorders>
            <w:vAlign w:val="center"/>
          </w:tcPr>
          <w:p>
            <w:pPr>
              <w:pStyle w:val="Normal"/>
              <w:spacing w:lineRule="auto" w:line="276"/>
              <w:ind w:right="-2" w:hanging="0"/>
              <w:jc w:val="center"/>
              <w:rPr>
                <w:b/>
                <w:b/>
                <w:bCs/>
                <w:sz w:val="20"/>
                <w:highlight w:val="white"/>
                <w:lang w:bidi="ru-RU"/>
              </w:rPr>
            </w:pPr>
            <w:r>
              <w:rPr>
                <w:b/>
                <w:bCs/>
                <w:sz w:val="20"/>
                <w:szCs w:val="22"/>
                <w:shd w:fill="FFFFFF" w:val="clear"/>
                <w:lang w:eastAsia="en-US" w:bidi="ru-RU"/>
              </w:rPr>
              <w:t>Местоположение</w:t>
            </w:r>
          </w:p>
        </w:tc>
        <w:tc>
          <w:tcPr>
            <w:tcW w:w="1279" w:type="dxa"/>
            <w:tcBorders>
              <w:bottom w:val="nil"/>
            </w:tcBorders>
            <w:vAlign w:val="center"/>
          </w:tcPr>
          <w:p>
            <w:pPr>
              <w:pStyle w:val="Normal"/>
              <w:spacing w:lineRule="auto" w:line="276"/>
              <w:ind w:right="-2" w:hanging="0"/>
              <w:jc w:val="center"/>
              <w:rPr>
                <w:b/>
                <w:b/>
                <w:bCs/>
                <w:sz w:val="20"/>
                <w:highlight w:val="white"/>
                <w:lang w:bidi="ru-RU"/>
              </w:rPr>
            </w:pPr>
            <w:r>
              <w:rPr>
                <w:b/>
                <w:sz w:val="20"/>
                <w:szCs w:val="20"/>
                <w:lang w:eastAsia="en-US"/>
              </w:rPr>
              <w:t>Проектная мощность</w:t>
            </w:r>
          </w:p>
        </w:tc>
        <w:tc>
          <w:tcPr>
            <w:tcW w:w="1559" w:type="dxa"/>
            <w:tcBorders>
              <w:bottom w:val="nil"/>
            </w:tcBorders>
            <w:vAlign w:val="center"/>
          </w:tcPr>
          <w:p>
            <w:pPr>
              <w:pStyle w:val="Normal"/>
              <w:spacing w:lineRule="auto" w:line="276"/>
              <w:ind w:right="-2" w:hanging="0"/>
              <w:jc w:val="center"/>
              <w:rPr>
                <w:b/>
                <w:b/>
                <w:sz w:val="20"/>
                <w:szCs w:val="20"/>
              </w:rPr>
            </w:pPr>
            <w:r>
              <w:rPr>
                <w:b/>
                <w:sz w:val="20"/>
                <w:szCs w:val="20"/>
                <w:lang w:eastAsia="en-US"/>
              </w:rPr>
              <w:t>Фактическая посещаемость, мест</w:t>
            </w:r>
          </w:p>
        </w:tc>
        <w:tc>
          <w:tcPr>
            <w:tcW w:w="1559" w:type="dxa"/>
            <w:tcBorders>
              <w:bottom w:val="nil"/>
            </w:tcBorders>
            <w:vAlign w:val="center"/>
          </w:tcPr>
          <w:p>
            <w:pPr>
              <w:pStyle w:val="Normal"/>
              <w:spacing w:lineRule="auto" w:line="276"/>
              <w:ind w:right="-2" w:hanging="0"/>
              <w:jc w:val="center"/>
              <w:rPr>
                <w:b/>
                <w:b/>
                <w:sz w:val="20"/>
                <w:szCs w:val="20"/>
              </w:rPr>
            </w:pPr>
            <w:r>
              <w:rPr>
                <w:b/>
                <w:sz w:val="20"/>
                <w:szCs w:val="20"/>
                <w:lang w:eastAsia="en-US"/>
              </w:rPr>
              <w:t>Фактическая мощность, экз.</w:t>
            </w:r>
          </w:p>
        </w:tc>
        <w:tc>
          <w:tcPr>
            <w:tcW w:w="1137" w:type="dxa"/>
            <w:tcBorders>
              <w:bottom w:val="nil"/>
            </w:tcBorders>
            <w:vAlign w:val="center"/>
          </w:tcPr>
          <w:p>
            <w:pPr>
              <w:pStyle w:val="Normal"/>
              <w:spacing w:lineRule="auto" w:line="276"/>
              <w:ind w:right="-2" w:hanging="0"/>
              <w:jc w:val="center"/>
              <w:rPr>
                <w:b/>
                <w:b/>
                <w:sz w:val="20"/>
                <w:szCs w:val="20"/>
              </w:rPr>
            </w:pPr>
            <w:r>
              <w:rPr>
                <w:b/>
                <w:sz w:val="20"/>
                <w:szCs w:val="20"/>
                <w:lang w:eastAsia="en-US"/>
              </w:rPr>
              <w:t>Площадь, м</w:t>
            </w:r>
            <w:r>
              <w:rPr>
                <w:b/>
                <w:sz w:val="20"/>
                <w:szCs w:val="20"/>
                <w:vertAlign w:val="superscript"/>
                <w:lang w:eastAsia="en-US"/>
              </w:rPr>
              <w:t>2</w:t>
            </w:r>
          </w:p>
        </w:tc>
        <w:tc>
          <w:tcPr>
            <w:tcW w:w="1984" w:type="dxa"/>
            <w:tcBorders>
              <w:bottom w:val="nil"/>
            </w:tcBorders>
            <w:vAlign w:val="center"/>
          </w:tcPr>
          <w:p>
            <w:pPr>
              <w:pStyle w:val="Normal"/>
              <w:spacing w:lineRule="auto" w:line="276"/>
              <w:ind w:right="-2" w:hanging="0"/>
              <w:jc w:val="center"/>
              <w:rPr>
                <w:b/>
                <w:b/>
                <w:bCs/>
                <w:sz w:val="20"/>
                <w:highlight w:val="white"/>
                <w:lang w:bidi="ru-RU"/>
              </w:rPr>
            </w:pPr>
            <w:r>
              <w:rPr>
                <w:b/>
                <w:sz w:val="20"/>
                <w:szCs w:val="20"/>
                <w:lang w:eastAsia="en-US"/>
              </w:rPr>
              <w:t>Год постройки, характеристика объекта</w:t>
            </w:r>
          </w:p>
        </w:tc>
        <w:tc>
          <w:tcPr>
            <w:tcW w:w="1240" w:type="dxa"/>
            <w:tcBorders>
              <w:bottom w:val="nil"/>
            </w:tcBorders>
            <w:vAlign w:val="center"/>
          </w:tcPr>
          <w:p>
            <w:pPr>
              <w:pStyle w:val="Normal"/>
              <w:spacing w:lineRule="auto" w:line="240"/>
              <w:ind w:left="-107" w:right="-144" w:hanging="0"/>
              <w:jc w:val="center"/>
              <w:rPr>
                <w:b/>
                <w:b/>
                <w:sz w:val="20"/>
                <w:szCs w:val="20"/>
              </w:rPr>
            </w:pPr>
            <w:r>
              <w:rPr>
                <w:b/>
                <w:sz w:val="20"/>
                <w:szCs w:val="20"/>
                <w:lang w:eastAsia="en-US"/>
              </w:rPr>
              <w:t>Физический</w:t>
            </w:r>
          </w:p>
          <w:p>
            <w:pPr>
              <w:pStyle w:val="Normal"/>
              <w:spacing w:lineRule="auto" w:line="276"/>
              <w:ind w:left="-107" w:right="-144" w:hanging="0"/>
              <w:jc w:val="center"/>
              <w:rPr>
                <w:b/>
                <w:b/>
                <w:sz w:val="20"/>
                <w:szCs w:val="20"/>
              </w:rPr>
            </w:pPr>
            <w:r>
              <w:rPr>
                <w:b/>
                <w:sz w:val="20"/>
                <w:szCs w:val="20"/>
                <w:lang w:eastAsia="en-US"/>
              </w:rPr>
              <w:t>износ, %</w:t>
            </w:r>
          </w:p>
        </w:tc>
      </w:tr>
    </w:tbl>
    <w:p>
      <w:pPr>
        <w:pStyle w:val="Normal"/>
        <w:spacing w:lineRule="auto" w:line="276"/>
        <w:rPr>
          <w:sz w:val="2"/>
          <w:szCs w:val="2"/>
        </w:rPr>
      </w:pPr>
      <w:r>
        <w:rPr>
          <w:sz w:val="2"/>
          <w:szCs w:val="2"/>
        </w:rPr>
      </w:r>
    </w:p>
    <w:tbl>
      <w:tblPr>
        <w:tblStyle w:val="1ff9"/>
        <w:tblW w:w="5000" w:type="pct"/>
        <w:jc w:val="left"/>
        <w:tblInd w:w="-108" w:type="dxa"/>
        <w:tblCellMar>
          <w:top w:w="0" w:type="dxa"/>
          <w:left w:w="108" w:type="dxa"/>
          <w:bottom w:w="0" w:type="dxa"/>
          <w:right w:w="108" w:type="dxa"/>
        </w:tblCellMar>
        <w:tblLook w:firstRow="1" w:noVBand="1" w:lastRow="0" w:firstColumn="1" w:lastColumn="0" w:noHBand="0" w:val="04a0"/>
      </w:tblPr>
      <w:tblGrid>
        <w:gridCol w:w="423"/>
        <w:gridCol w:w="1133"/>
        <w:gridCol w:w="1762"/>
        <w:gridCol w:w="2492"/>
        <w:gridCol w:w="1279"/>
        <w:gridCol w:w="1559"/>
        <w:gridCol w:w="1559"/>
        <w:gridCol w:w="1137"/>
        <w:gridCol w:w="1984"/>
        <w:gridCol w:w="1240"/>
      </w:tblGrid>
      <w:tr>
        <w:trPr>
          <w:tblHeader w:val="true"/>
          <w:trHeight w:val="198" w:hRule="atLeast"/>
        </w:trPr>
        <w:tc>
          <w:tcPr>
            <w:tcW w:w="423" w:type="dxa"/>
            <w:tcBorders/>
            <w:shd w:color="auto" w:fill="auto" w:val="clear"/>
            <w:vAlign w:val="center"/>
          </w:tcPr>
          <w:p>
            <w:pPr>
              <w:pStyle w:val="Normal"/>
              <w:widowControl w:val="false"/>
              <w:spacing w:lineRule="auto" w:line="240"/>
              <w:jc w:val="center"/>
              <w:rPr>
                <w:rFonts w:eastAsia="Times New Roman"/>
                <w:b/>
                <w:b/>
                <w:bCs/>
                <w:sz w:val="20"/>
                <w:highlight w:val="white"/>
                <w:lang w:bidi="ru-RU"/>
              </w:rPr>
            </w:pPr>
            <w:r>
              <w:rPr>
                <w:rFonts w:eastAsia="Times New Roman"/>
                <w:b/>
                <w:bCs/>
                <w:sz w:val="20"/>
                <w:szCs w:val="22"/>
                <w:shd w:fill="FFFFFF" w:val="clear"/>
                <w:lang w:eastAsia="en-US" w:bidi="ru-RU"/>
              </w:rPr>
              <w:t>1</w:t>
            </w:r>
          </w:p>
        </w:tc>
        <w:tc>
          <w:tcPr>
            <w:tcW w:w="1133" w:type="dxa"/>
            <w:tcBorders/>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2</w:t>
            </w:r>
          </w:p>
        </w:tc>
        <w:tc>
          <w:tcPr>
            <w:tcW w:w="1762" w:type="dxa"/>
            <w:tcBorders/>
            <w:shd w:color="auto" w:fill="auto" w:val="clear"/>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3</w:t>
            </w:r>
          </w:p>
        </w:tc>
        <w:tc>
          <w:tcPr>
            <w:tcW w:w="2492" w:type="dxa"/>
            <w:tcBorders/>
            <w:shd w:color="auto" w:fill="auto" w:val="clear"/>
            <w:vAlign w:val="center"/>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4</w:t>
            </w:r>
          </w:p>
        </w:tc>
        <w:tc>
          <w:tcPr>
            <w:tcW w:w="1279" w:type="dxa"/>
            <w:tcBorders/>
            <w:shd w:color="auto" w:fill="auto" w:val="clear"/>
            <w:vAlign w:val="center"/>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5</w:t>
            </w:r>
          </w:p>
        </w:tc>
        <w:tc>
          <w:tcPr>
            <w:tcW w:w="1559" w:type="dxa"/>
            <w:tcBorders/>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6</w:t>
            </w:r>
          </w:p>
        </w:tc>
        <w:tc>
          <w:tcPr>
            <w:tcW w:w="1559" w:type="dxa"/>
            <w:tcBorders/>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7</w:t>
            </w:r>
          </w:p>
        </w:tc>
        <w:tc>
          <w:tcPr>
            <w:tcW w:w="1137" w:type="dxa"/>
            <w:tcBorders/>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8</w:t>
            </w:r>
          </w:p>
        </w:tc>
        <w:tc>
          <w:tcPr>
            <w:tcW w:w="1984" w:type="dxa"/>
            <w:tcBorders/>
            <w:shd w:color="auto" w:fill="auto" w:val="clear"/>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9</w:t>
            </w:r>
          </w:p>
        </w:tc>
        <w:tc>
          <w:tcPr>
            <w:tcW w:w="1240" w:type="dxa"/>
            <w:tcBorders/>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10</w:t>
            </w:r>
          </w:p>
        </w:tc>
      </w:tr>
      <w:tr>
        <w:trPr>
          <w:trHeight w:val="20" w:hRule="atLeast"/>
        </w:trPr>
        <w:tc>
          <w:tcPr>
            <w:tcW w:w="423" w:type="dxa"/>
            <w:tcBorders/>
            <w:shd w:color="auto" w:fill="auto" w:val="clear"/>
          </w:tcPr>
          <w:p>
            <w:pPr>
              <w:pStyle w:val="Normal"/>
              <w:widowControl w:val="false"/>
              <w:spacing w:lineRule="auto" w:line="240"/>
              <w:jc w:val="center"/>
              <w:rPr>
                <w:rFonts w:eastAsia="Times New Roman"/>
                <w:bCs/>
                <w:sz w:val="20"/>
                <w:highlight w:val="white"/>
                <w:lang w:bidi="ru-RU"/>
              </w:rPr>
            </w:pPr>
            <w:r>
              <w:rPr>
                <w:rFonts w:eastAsia="Times New Roman"/>
                <w:bCs/>
                <w:sz w:val="20"/>
                <w:szCs w:val="22"/>
                <w:shd w:fill="FFFFFF" w:val="clear"/>
                <w:lang w:eastAsia="en-US" w:bidi="ru-RU"/>
              </w:rPr>
              <w:t>1</w:t>
            </w:r>
          </w:p>
        </w:tc>
        <w:tc>
          <w:tcPr>
            <w:tcW w:w="1133" w:type="dxa"/>
            <w:tcBorders/>
          </w:tcPr>
          <w:p>
            <w:pPr>
              <w:pStyle w:val="Normal"/>
              <w:widowControl w:val="false"/>
              <w:tabs>
                <w:tab w:val="clear" w:pos="708"/>
                <w:tab w:val="left" w:pos="390" w:leader="none"/>
                <w:tab w:val="center" w:pos="745" w:leader="none"/>
              </w:tabs>
              <w:spacing w:lineRule="auto" w:line="240"/>
              <w:jc w:val="left"/>
              <w:rPr>
                <w:sz w:val="20"/>
                <w:szCs w:val="20"/>
              </w:rPr>
            </w:pPr>
            <w:r>
              <w:rPr>
                <w:sz w:val="20"/>
                <w:szCs w:val="20"/>
                <w:lang w:eastAsia="en-US"/>
              </w:rPr>
              <w:t>КИ.2.1</w:t>
            </w:r>
          </w:p>
        </w:tc>
        <w:tc>
          <w:tcPr>
            <w:tcW w:w="1762" w:type="dxa"/>
            <w:tcBorders/>
            <w:shd w:color="auto" w:fill="auto" w:val="clear"/>
          </w:tcPr>
          <w:p>
            <w:pPr>
              <w:pStyle w:val="Normal"/>
              <w:widowControl w:val="false"/>
              <w:tabs>
                <w:tab w:val="clear" w:pos="708"/>
                <w:tab w:val="left" w:pos="390" w:leader="none"/>
                <w:tab w:val="center" w:pos="745" w:leader="none"/>
              </w:tabs>
              <w:spacing w:lineRule="auto" w:line="240"/>
              <w:jc w:val="left"/>
              <w:rPr>
                <w:rFonts w:eastAsia="Calibri" w:eastAsiaTheme="minorHAnsi"/>
                <w:sz w:val="20"/>
                <w:szCs w:val="20"/>
              </w:rPr>
            </w:pPr>
            <w:r>
              <w:rPr>
                <w:sz w:val="20"/>
                <w:szCs w:val="20"/>
                <w:lang w:eastAsia="en-US"/>
              </w:rPr>
              <w:t>Дом культуры</w:t>
            </w:r>
          </w:p>
        </w:tc>
        <w:tc>
          <w:tcPr>
            <w:tcW w:w="2492" w:type="dxa"/>
            <w:tcBorders/>
            <w:shd w:color="auto" w:fill="auto" w:val="clear"/>
          </w:tcPr>
          <w:p>
            <w:pPr>
              <w:pStyle w:val="Normal"/>
              <w:spacing w:lineRule="auto" w:line="240"/>
              <w:jc w:val="left"/>
              <w:rPr>
                <w:rFonts w:eastAsia="Times New Roman"/>
                <w:sz w:val="20"/>
                <w:szCs w:val="20"/>
                <w:lang w:eastAsia="ru-RU"/>
              </w:rPr>
            </w:pPr>
            <w:r>
              <w:rPr>
                <w:bCs/>
                <w:sz w:val="20"/>
                <w:szCs w:val="20"/>
                <w:shd w:fill="FFFFFF" w:val="clear"/>
                <w:lang w:eastAsia="en-US" w:bidi="ru-RU"/>
              </w:rPr>
              <w:t xml:space="preserve">Челябинская область, Варненский муниципальный район, Катенинское сельское поселение, </w:t>
            </w:r>
            <w:r>
              <w:rPr>
                <w:sz w:val="20"/>
                <w:szCs w:val="20"/>
                <w:lang w:eastAsia="en-US"/>
              </w:rPr>
              <w:t>п. Караоба</w:t>
            </w:r>
          </w:p>
        </w:tc>
        <w:tc>
          <w:tcPr>
            <w:tcW w:w="1279" w:type="dxa"/>
            <w:tcBorders/>
            <w:shd w:color="auto" w:fill="auto" w:val="clear"/>
          </w:tcPr>
          <w:p>
            <w:pPr>
              <w:pStyle w:val="Normal"/>
              <w:spacing w:lineRule="auto" w:line="240"/>
              <w:ind w:right="-2" w:hanging="0"/>
              <w:jc w:val="center"/>
              <w:rPr>
                <w:bCs/>
                <w:sz w:val="20"/>
                <w:szCs w:val="20"/>
                <w:highlight w:val="white"/>
                <w:lang w:bidi="ru-RU"/>
              </w:rPr>
            </w:pPr>
            <w:r>
              <w:rPr>
                <w:bCs/>
                <w:sz w:val="20"/>
                <w:szCs w:val="20"/>
                <w:shd w:fill="FFFFFF" w:val="clear"/>
                <w:lang w:eastAsia="en-US" w:bidi="ru-RU"/>
              </w:rPr>
              <w:t xml:space="preserve">12 </w:t>
            </w:r>
          </w:p>
        </w:tc>
        <w:tc>
          <w:tcPr>
            <w:tcW w:w="1559" w:type="dxa"/>
            <w:tcBorders/>
          </w:tcPr>
          <w:p>
            <w:pPr>
              <w:pStyle w:val="Normal"/>
              <w:spacing w:lineRule="auto" w:line="240"/>
              <w:ind w:right="-2" w:hanging="0"/>
              <w:jc w:val="center"/>
              <w:rPr>
                <w:sz w:val="20"/>
                <w:szCs w:val="20"/>
              </w:rPr>
            </w:pPr>
            <w:r>
              <w:rPr>
                <w:sz w:val="20"/>
                <w:szCs w:val="20"/>
                <w:lang w:eastAsia="en-US"/>
              </w:rPr>
              <w:t>-</w:t>
            </w:r>
          </w:p>
        </w:tc>
        <w:tc>
          <w:tcPr>
            <w:tcW w:w="1559" w:type="dxa"/>
            <w:tcBorders/>
          </w:tcPr>
          <w:p>
            <w:pPr>
              <w:pStyle w:val="Normal"/>
              <w:spacing w:lineRule="auto" w:line="240"/>
              <w:ind w:right="-2" w:hanging="0"/>
              <w:jc w:val="center"/>
              <w:rPr>
                <w:sz w:val="20"/>
                <w:szCs w:val="20"/>
              </w:rPr>
            </w:pPr>
            <w:r>
              <w:rPr>
                <w:sz w:val="20"/>
                <w:szCs w:val="20"/>
                <w:lang w:eastAsia="en-US"/>
              </w:rPr>
              <w:t>-</w:t>
            </w:r>
          </w:p>
        </w:tc>
        <w:tc>
          <w:tcPr>
            <w:tcW w:w="1137" w:type="dxa"/>
            <w:tcBorders/>
          </w:tcPr>
          <w:p>
            <w:pPr>
              <w:pStyle w:val="Normal"/>
              <w:spacing w:lineRule="auto" w:line="240"/>
              <w:ind w:right="-2" w:hanging="0"/>
              <w:jc w:val="center"/>
              <w:rPr>
                <w:sz w:val="20"/>
                <w:szCs w:val="20"/>
              </w:rPr>
            </w:pPr>
            <w:r>
              <w:rPr>
                <w:sz w:val="20"/>
                <w:szCs w:val="20"/>
                <w:lang w:eastAsia="en-US"/>
              </w:rPr>
              <w:t>-</w:t>
            </w:r>
          </w:p>
        </w:tc>
        <w:tc>
          <w:tcPr>
            <w:tcW w:w="1984" w:type="dxa"/>
            <w:tcBorders/>
            <w:shd w:color="auto" w:fill="auto" w:val="clear"/>
          </w:tcPr>
          <w:p>
            <w:pPr>
              <w:pStyle w:val="Normal"/>
              <w:spacing w:lineRule="auto" w:line="240"/>
              <w:ind w:right="-2" w:hanging="0"/>
              <w:jc w:val="center"/>
              <w:rPr>
                <w:bCs/>
                <w:sz w:val="20"/>
                <w:szCs w:val="20"/>
                <w:highlight w:val="white"/>
                <w:lang w:bidi="ru-RU"/>
              </w:rPr>
            </w:pPr>
            <w:r>
              <w:rPr>
                <w:sz w:val="20"/>
                <w:szCs w:val="20"/>
                <w:lang w:eastAsia="en-US"/>
              </w:rPr>
              <w:t>-</w:t>
            </w:r>
          </w:p>
        </w:tc>
        <w:tc>
          <w:tcPr>
            <w:tcW w:w="1240" w:type="dxa"/>
            <w:tcBorders/>
          </w:tcPr>
          <w:p>
            <w:pPr>
              <w:pStyle w:val="Normal"/>
              <w:spacing w:lineRule="auto" w:line="240"/>
              <w:ind w:right="-2" w:hanging="0"/>
              <w:jc w:val="center"/>
              <w:rPr>
                <w:sz w:val="20"/>
                <w:szCs w:val="20"/>
              </w:rPr>
            </w:pPr>
            <w:r>
              <w:rPr>
                <w:sz w:val="20"/>
                <w:szCs w:val="20"/>
                <w:lang w:eastAsia="en-US"/>
              </w:rPr>
              <w:t>-</w:t>
            </w:r>
          </w:p>
        </w:tc>
      </w:tr>
      <w:tr>
        <w:trPr>
          <w:trHeight w:val="20" w:hRule="atLeast"/>
        </w:trPr>
        <w:tc>
          <w:tcPr>
            <w:tcW w:w="423" w:type="dxa"/>
            <w:tcBorders/>
            <w:shd w:color="auto" w:fill="auto" w:val="clear"/>
          </w:tcPr>
          <w:p>
            <w:pPr>
              <w:pStyle w:val="Normal"/>
              <w:widowControl w:val="false"/>
              <w:spacing w:lineRule="auto" w:line="240"/>
              <w:jc w:val="center"/>
              <w:rPr>
                <w:rFonts w:eastAsia="Times New Roman"/>
                <w:bCs/>
                <w:sz w:val="20"/>
                <w:highlight w:val="white"/>
                <w:lang w:bidi="ru-RU"/>
              </w:rPr>
            </w:pPr>
            <w:r>
              <w:rPr>
                <w:rFonts w:eastAsia="Times New Roman"/>
                <w:bCs/>
                <w:sz w:val="20"/>
                <w:szCs w:val="22"/>
                <w:shd w:fill="FFFFFF" w:val="clear"/>
                <w:lang w:eastAsia="en-US" w:bidi="ru-RU"/>
              </w:rPr>
              <w:t>2</w:t>
            </w:r>
          </w:p>
        </w:tc>
        <w:tc>
          <w:tcPr>
            <w:tcW w:w="1133" w:type="dxa"/>
            <w:tcBorders/>
          </w:tcPr>
          <w:p>
            <w:pPr>
              <w:pStyle w:val="Normal"/>
              <w:widowControl w:val="false"/>
              <w:tabs>
                <w:tab w:val="clear" w:pos="708"/>
                <w:tab w:val="left" w:pos="390" w:leader="none"/>
                <w:tab w:val="center" w:pos="745" w:leader="none"/>
              </w:tabs>
              <w:spacing w:lineRule="auto" w:line="240"/>
              <w:jc w:val="left"/>
              <w:rPr>
                <w:sz w:val="20"/>
                <w:szCs w:val="20"/>
              </w:rPr>
            </w:pPr>
            <w:r>
              <w:rPr>
                <w:sz w:val="20"/>
                <w:szCs w:val="20"/>
                <w:lang w:eastAsia="en-US"/>
              </w:rPr>
              <w:t>КИ.2.2</w:t>
            </w:r>
          </w:p>
        </w:tc>
        <w:tc>
          <w:tcPr>
            <w:tcW w:w="1762" w:type="dxa"/>
            <w:tcBorders/>
            <w:shd w:color="auto" w:fill="auto" w:val="clear"/>
          </w:tcPr>
          <w:p>
            <w:pPr>
              <w:pStyle w:val="Normal"/>
              <w:widowControl w:val="false"/>
              <w:tabs>
                <w:tab w:val="clear" w:pos="708"/>
                <w:tab w:val="left" w:pos="390" w:leader="none"/>
                <w:tab w:val="center" w:pos="745" w:leader="none"/>
              </w:tabs>
              <w:spacing w:lineRule="auto" w:line="240"/>
              <w:jc w:val="left"/>
              <w:rPr>
                <w:sz w:val="20"/>
                <w:szCs w:val="20"/>
              </w:rPr>
            </w:pPr>
            <w:r>
              <w:rPr>
                <w:sz w:val="20"/>
                <w:szCs w:val="20"/>
                <w:lang w:eastAsia="en-US"/>
              </w:rPr>
              <w:t>Дом культуры</w:t>
            </w:r>
          </w:p>
        </w:tc>
        <w:tc>
          <w:tcPr>
            <w:tcW w:w="2492" w:type="dxa"/>
            <w:tcBorders/>
            <w:shd w:color="auto" w:fill="auto" w:val="clear"/>
          </w:tcPr>
          <w:p>
            <w:pPr>
              <w:pStyle w:val="Normal"/>
              <w:spacing w:lineRule="auto" w:line="240"/>
              <w:jc w:val="left"/>
              <w:rPr>
                <w:sz w:val="20"/>
                <w:szCs w:val="20"/>
              </w:rPr>
            </w:pPr>
            <w:r>
              <w:rPr>
                <w:bCs/>
                <w:sz w:val="20"/>
                <w:szCs w:val="20"/>
                <w:shd w:fill="FFFFFF" w:val="clear"/>
                <w:lang w:eastAsia="en-US" w:bidi="ru-RU"/>
              </w:rPr>
              <w:t xml:space="preserve">Челябинская область, Варненский муниципальный район, Катенинское сельское поселение, </w:t>
            </w:r>
            <w:r>
              <w:rPr>
                <w:sz w:val="20"/>
                <w:szCs w:val="20"/>
                <w:lang w:eastAsia="en-US"/>
              </w:rPr>
              <w:t xml:space="preserve">с. Катенино </w:t>
            </w:r>
          </w:p>
        </w:tc>
        <w:tc>
          <w:tcPr>
            <w:tcW w:w="1279" w:type="dxa"/>
            <w:tcBorders/>
            <w:shd w:color="auto" w:fill="auto" w:val="clear"/>
          </w:tcPr>
          <w:p>
            <w:pPr>
              <w:pStyle w:val="Normal"/>
              <w:spacing w:lineRule="auto" w:line="240"/>
              <w:ind w:right="-2" w:hanging="0"/>
              <w:jc w:val="center"/>
              <w:rPr>
                <w:sz w:val="20"/>
                <w:szCs w:val="20"/>
              </w:rPr>
            </w:pPr>
            <w:r>
              <w:rPr>
                <w:sz w:val="20"/>
                <w:szCs w:val="20"/>
                <w:lang w:eastAsia="en-US"/>
              </w:rPr>
              <w:t>23</w:t>
            </w:r>
          </w:p>
        </w:tc>
        <w:tc>
          <w:tcPr>
            <w:tcW w:w="1559" w:type="dxa"/>
            <w:tcBorders/>
          </w:tcPr>
          <w:p>
            <w:pPr>
              <w:pStyle w:val="Normal"/>
              <w:spacing w:lineRule="auto" w:line="240"/>
              <w:ind w:right="-2" w:hanging="0"/>
              <w:jc w:val="center"/>
              <w:rPr>
                <w:sz w:val="20"/>
                <w:szCs w:val="20"/>
              </w:rPr>
            </w:pPr>
            <w:r>
              <w:rPr>
                <w:sz w:val="20"/>
                <w:szCs w:val="20"/>
                <w:lang w:eastAsia="en-US"/>
              </w:rPr>
              <w:t>-</w:t>
            </w:r>
          </w:p>
        </w:tc>
        <w:tc>
          <w:tcPr>
            <w:tcW w:w="1559" w:type="dxa"/>
            <w:tcBorders/>
          </w:tcPr>
          <w:p>
            <w:pPr>
              <w:pStyle w:val="Normal"/>
              <w:jc w:val="center"/>
              <w:rPr>
                <w:sz w:val="20"/>
                <w:szCs w:val="20"/>
              </w:rPr>
            </w:pPr>
            <w:r>
              <w:rPr>
                <w:sz w:val="20"/>
                <w:szCs w:val="20"/>
                <w:lang w:eastAsia="en-US"/>
              </w:rPr>
              <w:t>-</w:t>
            </w:r>
          </w:p>
        </w:tc>
        <w:tc>
          <w:tcPr>
            <w:tcW w:w="1137" w:type="dxa"/>
            <w:tcBorders/>
          </w:tcPr>
          <w:p>
            <w:pPr>
              <w:pStyle w:val="Normal"/>
              <w:jc w:val="center"/>
              <w:rPr>
                <w:sz w:val="20"/>
                <w:szCs w:val="20"/>
              </w:rPr>
            </w:pPr>
            <w:r>
              <w:rPr>
                <w:sz w:val="20"/>
                <w:szCs w:val="20"/>
                <w:lang w:eastAsia="en-US"/>
              </w:rPr>
              <w:t>-</w:t>
            </w:r>
          </w:p>
        </w:tc>
        <w:tc>
          <w:tcPr>
            <w:tcW w:w="1984" w:type="dxa"/>
            <w:tcBorders/>
            <w:shd w:color="auto" w:fill="auto" w:val="clear"/>
          </w:tcPr>
          <w:p>
            <w:pPr>
              <w:pStyle w:val="Normal"/>
              <w:jc w:val="center"/>
              <w:rPr>
                <w:sz w:val="20"/>
                <w:szCs w:val="20"/>
              </w:rPr>
            </w:pPr>
            <w:r>
              <w:rPr>
                <w:sz w:val="20"/>
                <w:szCs w:val="20"/>
                <w:lang w:eastAsia="en-US"/>
              </w:rPr>
              <w:t>-</w:t>
            </w:r>
          </w:p>
        </w:tc>
        <w:tc>
          <w:tcPr>
            <w:tcW w:w="1240" w:type="dxa"/>
            <w:tcBorders/>
          </w:tcPr>
          <w:p>
            <w:pPr>
              <w:pStyle w:val="Normal"/>
              <w:spacing w:lineRule="auto" w:line="240"/>
              <w:ind w:right="-2" w:hanging="0"/>
              <w:jc w:val="center"/>
              <w:rPr>
                <w:sz w:val="20"/>
                <w:szCs w:val="20"/>
              </w:rPr>
            </w:pPr>
            <w:r>
              <w:rPr>
                <w:sz w:val="20"/>
                <w:szCs w:val="20"/>
                <w:lang w:eastAsia="en-US"/>
              </w:rPr>
              <w:t>-</w:t>
            </w:r>
          </w:p>
        </w:tc>
      </w:tr>
      <w:tr>
        <w:trPr>
          <w:trHeight w:val="20" w:hRule="atLeast"/>
        </w:trPr>
        <w:tc>
          <w:tcPr>
            <w:tcW w:w="423" w:type="dxa"/>
            <w:tcBorders/>
            <w:shd w:color="auto" w:fill="auto" w:val="clear"/>
          </w:tcPr>
          <w:p>
            <w:pPr>
              <w:pStyle w:val="Normal"/>
              <w:widowControl w:val="false"/>
              <w:spacing w:lineRule="auto" w:line="240"/>
              <w:jc w:val="center"/>
              <w:rPr>
                <w:rFonts w:eastAsia="Times New Roman"/>
                <w:bCs/>
                <w:sz w:val="20"/>
                <w:highlight w:val="white"/>
                <w:lang w:bidi="ru-RU"/>
              </w:rPr>
            </w:pPr>
            <w:r>
              <w:rPr>
                <w:rFonts w:eastAsia="Times New Roman"/>
                <w:bCs/>
                <w:sz w:val="20"/>
                <w:szCs w:val="22"/>
                <w:shd w:fill="FFFFFF" w:val="clear"/>
                <w:lang w:eastAsia="en-US" w:bidi="ru-RU"/>
              </w:rPr>
              <w:t>3</w:t>
            </w:r>
          </w:p>
        </w:tc>
        <w:tc>
          <w:tcPr>
            <w:tcW w:w="1133" w:type="dxa"/>
            <w:tcBorders/>
          </w:tcPr>
          <w:p>
            <w:pPr>
              <w:pStyle w:val="Normal"/>
              <w:widowControl w:val="false"/>
              <w:tabs>
                <w:tab w:val="clear" w:pos="708"/>
                <w:tab w:val="left" w:pos="390" w:leader="none"/>
                <w:tab w:val="center" w:pos="745" w:leader="none"/>
              </w:tabs>
              <w:spacing w:lineRule="auto" w:line="240"/>
              <w:jc w:val="left"/>
              <w:rPr>
                <w:sz w:val="20"/>
                <w:szCs w:val="20"/>
              </w:rPr>
            </w:pPr>
            <w:r>
              <w:rPr>
                <w:sz w:val="20"/>
                <w:szCs w:val="20"/>
                <w:lang w:eastAsia="en-US"/>
              </w:rPr>
              <w:t>КИ.2.3</w:t>
            </w:r>
          </w:p>
        </w:tc>
        <w:tc>
          <w:tcPr>
            <w:tcW w:w="1762" w:type="dxa"/>
            <w:tcBorders/>
            <w:shd w:color="auto" w:fill="auto" w:val="clear"/>
          </w:tcPr>
          <w:p>
            <w:pPr>
              <w:pStyle w:val="Normal"/>
              <w:widowControl w:val="false"/>
              <w:tabs>
                <w:tab w:val="clear" w:pos="708"/>
                <w:tab w:val="left" w:pos="390" w:leader="none"/>
                <w:tab w:val="center" w:pos="745" w:leader="none"/>
              </w:tabs>
              <w:spacing w:lineRule="auto" w:line="240"/>
              <w:jc w:val="left"/>
              <w:rPr>
                <w:sz w:val="20"/>
                <w:szCs w:val="20"/>
              </w:rPr>
            </w:pPr>
            <w:r>
              <w:rPr>
                <w:sz w:val="20"/>
                <w:szCs w:val="20"/>
                <w:lang w:eastAsia="en-US"/>
              </w:rPr>
              <w:t>Дом культуры</w:t>
            </w:r>
          </w:p>
        </w:tc>
        <w:tc>
          <w:tcPr>
            <w:tcW w:w="2492" w:type="dxa"/>
            <w:tcBorders/>
            <w:shd w:color="auto" w:fill="auto" w:val="clear"/>
          </w:tcPr>
          <w:p>
            <w:pPr>
              <w:pStyle w:val="Normal"/>
              <w:spacing w:lineRule="auto" w:line="240"/>
              <w:jc w:val="left"/>
              <w:rPr>
                <w:sz w:val="20"/>
                <w:szCs w:val="20"/>
              </w:rPr>
            </w:pPr>
            <w:r>
              <w:rPr>
                <w:bCs/>
                <w:sz w:val="20"/>
                <w:szCs w:val="20"/>
                <w:shd w:fill="FFFFFF" w:val="clear"/>
                <w:lang w:eastAsia="en-US" w:bidi="ru-RU"/>
              </w:rPr>
              <w:t xml:space="preserve">Челябинская область, Варненский муниципальный район, Катенинское сельское поселение, </w:t>
            </w:r>
            <w:r>
              <w:rPr>
                <w:sz w:val="20"/>
                <w:szCs w:val="20"/>
                <w:lang w:eastAsia="en-US"/>
              </w:rPr>
              <w:t>п. Красноармейский</w:t>
            </w:r>
          </w:p>
        </w:tc>
        <w:tc>
          <w:tcPr>
            <w:tcW w:w="1279" w:type="dxa"/>
            <w:tcBorders/>
            <w:shd w:color="auto" w:fill="auto" w:val="clear"/>
          </w:tcPr>
          <w:p>
            <w:pPr>
              <w:pStyle w:val="Normal"/>
              <w:spacing w:lineRule="auto" w:line="240"/>
              <w:ind w:right="-2" w:hanging="0"/>
              <w:jc w:val="center"/>
              <w:rPr>
                <w:sz w:val="20"/>
                <w:szCs w:val="20"/>
              </w:rPr>
            </w:pPr>
            <w:r>
              <w:rPr>
                <w:sz w:val="20"/>
                <w:szCs w:val="20"/>
                <w:lang w:eastAsia="en-US"/>
              </w:rPr>
              <w:t>12</w:t>
            </w:r>
          </w:p>
        </w:tc>
        <w:tc>
          <w:tcPr>
            <w:tcW w:w="1559" w:type="dxa"/>
            <w:tcBorders/>
          </w:tcPr>
          <w:p>
            <w:pPr>
              <w:pStyle w:val="Normal"/>
              <w:spacing w:lineRule="auto" w:line="240"/>
              <w:ind w:right="-2" w:hanging="0"/>
              <w:jc w:val="center"/>
              <w:rPr>
                <w:sz w:val="20"/>
                <w:szCs w:val="20"/>
              </w:rPr>
            </w:pPr>
            <w:r>
              <w:rPr>
                <w:sz w:val="20"/>
                <w:szCs w:val="20"/>
                <w:lang w:eastAsia="en-US"/>
              </w:rPr>
              <w:t>-</w:t>
            </w:r>
          </w:p>
        </w:tc>
        <w:tc>
          <w:tcPr>
            <w:tcW w:w="1559" w:type="dxa"/>
            <w:tcBorders/>
          </w:tcPr>
          <w:p>
            <w:pPr>
              <w:pStyle w:val="Normal"/>
              <w:jc w:val="center"/>
              <w:rPr>
                <w:sz w:val="20"/>
                <w:szCs w:val="20"/>
              </w:rPr>
            </w:pPr>
            <w:r>
              <w:rPr>
                <w:sz w:val="20"/>
                <w:szCs w:val="20"/>
                <w:lang w:eastAsia="en-US"/>
              </w:rPr>
              <w:t>-</w:t>
            </w:r>
          </w:p>
        </w:tc>
        <w:tc>
          <w:tcPr>
            <w:tcW w:w="1137" w:type="dxa"/>
            <w:tcBorders/>
          </w:tcPr>
          <w:p>
            <w:pPr>
              <w:pStyle w:val="Normal"/>
              <w:jc w:val="center"/>
              <w:rPr>
                <w:sz w:val="20"/>
                <w:szCs w:val="20"/>
              </w:rPr>
            </w:pPr>
            <w:r>
              <w:rPr>
                <w:sz w:val="20"/>
                <w:szCs w:val="20"/>
                <w:lang w:eastAsia="en-US"/>
              </w:rPr>
              <w:t>-</w:t>
            </w:r>
          </w:p>
        </w:tc>
        <w:tc>
          <w:tcPr>
            <w:tcW w:w="1984" w:type="dxa"/>
            <w:tcBorders/>
            <w:shd w:color="auto" w:fill="auto" w:val="clear"/>
          </w:tcPr>
          <w:p>
            <w:pPr>
              <w:pStyle w:val="Normal"/>
              <w:spacing w:lineRule="auto" w:line="240"/>
              <w:ind w:right="-2" w:hanging="0"/>
              <w:jc w:val="center"/>
              <w:rPr>
                <w:sz w:val="20"/>
                <w:szCs w:val="20"/>
              </w:rPr>
            </w:pPr>
            <w:r>
              <w:rPr>
                <w:sz w:val="20"/>
                <w:szCs w:val="20"/>
                <w:lang w:eastAsia="en-US"/>
              </w:rPr>
              <w:t>-</w:t>
            </w:r>
          </w:p>
        </w:tc>
        <w:tc>
          <w:tcPr>
            <w:tcW w:w="1240" w:type="dxa"/>
            <w:tcBorders/>
          </w:tcPr>
          <w:p>
            <w:pPr>
              <w:pStyle w:val="Normal"/>
              <w:spacing w:lineRule="auto" w:line="240"/>
              <w:ind w:right="-2" w:hanging="0"/>
              <w:jc w:val="center"/>
              <w:rPr>
                <w:sz w:val="20"/>
                <w:szCs w:val="20"/>
              </w:rPr>
            </w:pPr>
            <w:r>
              <w:rPr>
                <w:sz w:val="20"/>
                <w:szCs w:val="20"/>
                <w:lang w:eastAsia="en-US"/>
              </w:rPr>
              <w:t>-</w:t>
            </w:r>
          </w:p>
        </w:tc>
      </w:tr>
      <w:tr>
        <w:trPr>
          <w:trHeight w:val="20" w:hRule="atLeast"/>
        </w:trPr>
        <w:tc>
          <w:tcPr>
            <w:tcW w:w="423" w:type="dxa"/>
            <w:tcBorders/>
            <w:shd w:color="auto" w:fill="auto" w:val="clear"/>
          </w:tcPr>
          <w:p>
            <w:pPr>
              <w:pStyle w:val="Normal"/>
              <w:widowControl w:val="false"/>
              <w:spacing w:lineRule="auto" w:line="240"/>
              <w:jc w:val="center"/>
              <w:rPr>
                <w:rFonts w:eastAsia="Times New Roman"/>
                <w:bCs/>
                <w:sz w:val="20"/>
                <w:highlight w:val="white"/>
                <w:lang w:bidi="ru-RU"/>
              </w:rPr>
            </w:pPr>
            <w:r>
              <w:rPr>
                <w:rFonts w:eastAsia="Times New Roman"/>
                <w:bCs/>
                <w:sz w:val="20"/>
                <w:szCs w:val="22"/>
                <w:shd w:fill="FFFFFF" w:val="clear"/>
                <w:lang w:eastAsia="en-US" w:bidi="ru-RU"/>
              </w:rPr>
              <w:t>4</w:t>
            </w:r>
          </w:p>
        </w:tc>
        <w:tc>
          <w:tcPr>
            <w:tcW w:w="1133" w:type="dxa"/>
            <w:tcBorders/>
          </w:tcPr>
          <w:p>
            <w:pPr>
              <w:pStyle w:val="Normal"/>
              <w:widowControl w:val="false"/>
              <w:tabs>
                <w:tab w:val="clear" w:pos="708"/>
                <w:tab w:val="left" w:pos="390" w:leader="none"/>
                <w:tab w:val="center" w:pos="745" w:leader="none"/>
              </w:tabs>
              <w:spacing w:lineRule="auto" w:line="240"/>
              <w:jc w:val="left"/>
              <w:rPr>
                <w:sz w:val="20"/>
                <w:szCs w:val="20"/>
              </w:rPr>
            </w:pPr>
            <w:r>
              <w:rPr>
                <w:sz w:val="20"/>
                <w:szCs w:val="20"/>
                <w:lang w:eastAsia="en-US"/>
              </w:rPr>
              <w:t>КИ.2.4</w:t>
            </w:r>
          </w:p>
        </w:tc>
        <w:tc>
          <w:tcPr>
            <w:tcW w:w="1762" w:type="dxa"/>
            <w:tcBorders/>
            <w:shd w:color="auto" w:fill="auto" w:val="clear"/>
          </w:tcPr>
          <w:p>
            <w:pPr>
              <w:pStyle w:val="Normal"/>
              <w:widowControl w:val="false"/>
              <w:tabs>
                <w:tab w:val="clear" w:pos="708"/>
                <w:tab w:val="left" w:pos="390" w:leader="none"/>
                <w:tab w:val="center" w:pos="745" w:leader="none"/>
              </w:tabs>
              <w:spacing w:lineRule="auto" w:line="240"/>
              <w:jc w:val="left"/>
              <w:rPr>
                <w:sz w:val="20"/>
                <w:szCs w:val="20"/>
              </w:rPr>
            </w:pPr>
            <w:r>
              <w:rPr>
                <w:sz w:val="20"/>
                <w:szCs w:val="20"/>
                <w:lang w:eastAsia="en-US"/>
              </w:rPr>
              <w:t>Дом культуры</w:t>
            </w:r>
          </w:p>
        </w:tc>
        <w:tc>
          <w:tcPr>
            <w:tcW w:w="2492" w:type="dxa"/>
            <w:tcBorders/>
            <w:shd w:color="auto" w:fill="auto" w:val="clear"/>
          </w:tcPr>
          <w:p>
            <w:pPr>
              <w:pStyle w:val="Normal"/>
              <w:widowControl w:val="false"/>
              <w:tabs>
                <w:tab w:val="clear" w:pos="708"/>
                <w:tab w:val="left" w:pos="390" w:leader="none"/>
                <w:tab w:val="center" w:pos="745" w:leader="none"/>
              </w:tabs>
              <w:spacing w:lineRule="auto" w:line="240"/>
              <w:jc w:val="left"/>
              <w:rPr>
                <w:sz w:val="20"/>
                <w:szCs w:val="20"/>
              </w:rPr>
            </w:pPr>
            <w:r>
              <w:rPr>
                <w:bCs/>
                <w:sz w:val="20"/>
                <w:szCs w:val="20"/>
                <w:shd w:fill="FFFFFF" w:val="clear"/>
                <w:lang w:eastAsia="en-US" w:bidi="ru-RU"/>
              </w:rPr>
              <w:t xml:space="preserve">Челябинская область, Варненский муниципальный район, Катенинское сельское поселение, </w:t>
            </w:r>
            <w:r>
              <w:rPr>
                <w:sz w:val="20"/>
                <w:szCs w:val="20"/>
                <w:lang w:eastAsia="en-US"/>
              </w:rPr>
              <w:t>п. Комсомольский</w:t>
            </w:r>
          </w:p>
        </w:tc>
        <w:tc>
          <w:tcPr>
            <w:tcW w:w="1279" w:type="dxa"/>
            <w:tcBorders/>
            <w:shd w:color="auto" w:fill="auto" w:val="clear"/>
          </w:tcPr>
          <w:p>
            <w:pPr>
              <w:pStyle w:val="Normal"/>
              <w:widowControl w:val="false"/>
              <w:tabs>
                <w:tab w:val="clear" w:pos="708"/>
                <w:tab w:val="left" w:pos="390" w:leader="none"/>
                <w:tab w:val="center" w:pos="745" w:leader="none"/>
              </w:tabs>
              <w:spacing w:lineRule="auto" w:line="240"/>
              <w:ind w:right="-2" w:hanging="0"/>
              <w:jc w:val="center"/>
              <w:rPr>
                <w:sz w:val="20"/>
                <w:szCs w:val="20"/>
              </w:rPr>
            </w:pPr>
            <w:r>
              <w:rPr>
                <w:sz w:val="20"/>
                <w:szCs w:val="20"/>
                <w:lang w:eastAsia="en-US"/>
              </w:rPr>
              <w:t>12</w:t>
            </w:r>
          </w:p>
        </w:tc>
        <w:tc>
          <w:tcPr>
            <w:tcW w:w="1559" w:type="dxa"/>
            <w:tcBorders/>
          </w:tcPr>
          <w:p>
            <w:pPr>
              <w:pStyle w:val="Normal"/>
              <w:widowControl w:val="false"/>
              <w:tabs>
                <w:tab w:val="clear" w:pos="708"/>
                <w:tab w:val="left" w:pos="390" w:leader="none"/>
                <w:tab w:val="center" w:pos="745" w:leader="none"/>
              </w:tabs>
              <w:spacing w:lineRule="auto" w:line="240"/>
              <w:ind w:right="-2" w:hanging="0"/>
              <w:jc w:val="center"/>
              <w:rPr>
                <w:sz w:val="20"/>
                <w:szCs w:val="20"/>
              </w:rPr>
            </w:pPr>
            <w:r>
              <w:rPr>
                <w:sz w:val="20"/>
                <w:szCs w:val="20"/>
                <w:lang w:eastAsia="en-US"/>
              </w:rPr>
              <w:t>-</w:t>
            </w:r>
          </w:p>
        </w:tc>
        <w:tc>
          <w:tcPr>
            <w:tcW w:w="1559" w:type="dxa"/>
            <w:tcBorders/>
          </w:tcPr>
          <w:p>
            <w:pPr>
              <w:pStyle w:val="Normal"/>
              <w:widowControl w:val="false"/>
              <w:tabs>
                <w:tab w:val="clear" w:pos="708"/>
                <w:tab w:val="left" w:pos="390" w:leader="none"/>
                <w:tab w:val="center" w:pos="745" w:leader="none"/>
              </w:tabs>
              <w:spacing w:lineRule="auto" w:line="240"/>
              <w:ind w:right="-2" w:hanging="0"/>
              <w:jc w:val="center"/>
              <w:rPr>
                <w:sz w:val="20"/>
                <w:szCs w:val="20"/>
              </w:rPr>
            </w:pPr>
            <w:r>
              <w:rPr>
                <w:sz w:val="20"/>
                <w:szCs w:val="20"/>
                <w:lang w:eastAsia="en-US"/>
              </w:rPr>
              <w:t>-</w:t>
            </w:r>
          </w:p>
        </w:tc>
        <w:tc>
          <w:tcPr>
            <w:tcW w:w="1137" w:type="dxa"/>
            <w:tcBorders/>
          </w:tcPr>
          <w:p>
            <w:pPr>
              <w:pStyle w:val="Normal"/>
              <w:widowControl w:val="false"/>
              <w:tabs>
                <w:tab w:val="clear" w:pos="708"/>
                <w:tab w:val="left" w:pos="390" w:leader="none"/>
                <w:tab w:val="center" w:pos="745" w:leader="none"/>
              </w:tabs>
              <w:spacing w:lineRule="auto" w:line="240"/>
              <w:ind w:right="-2" w:hanging="0"/>
              <w:jc w:val="center"/>
              <w:rPr>
                <w:sz w:val="20"/>
                <w:szCs w:val="20"/>
              </w:rPr>
            </w:pPr>
            <w:r>
              <w:rPr>
                <w:sz w:val="20"/>
                <w:szCs w:val="20"/>
                <w:lang w:eastAsia="en-US"/>
              </w:rPr>
              <w:t>-</w:t>
            </w:r>
          </w:p>
        </w:tc>
        <w:tc>
          <w:tcPr>
            <w:tcW w:w="1984" w:type="dxa"/>
            <w:tcBorders/>
            <w:shd w:color="auto" w:fill="auto" w:val="clear"/>
          </w:tcPr>
          <w:p>
            <w:pPr>
              <w:pStyle w:val="Normal"/>
              <w:widowControl w:val="false"/>
              <w:tabs>
                <w:tab w:val="clear" w:pos="708"/>
                <w:tab w:val="left" w:pos="390" w:leader="none"/>
                <w:tab w:val="center" w:pos="745" w:leader="none"/>
              </w:tabs>
              <w:spacing w:lineRule="auto" w:line="240"/>
              <w:ind w:right="-2" w:hanging="0"/>
              <w:jc w:val="center"/>
              <w:rPr>
                <w:sz w:val="20"/>
                <w:szCs w:val="20"/>
              </w:rPr>
            </w:pPr>
            <w:r>
              <w:rPr>
                <w:sz w:val="20"/>
                <w:szCs w:val="20"/>
                <w:lang w:eastAsia="en-US"/>
              </w:rPr>
              <w:t>-</w:t>
            </w:r>
          </w:p>
        </w:tc>
        <w:tc>
          <w:tcPr>
            <w:tcW w:w="1240" w:type="dxa"/>
            <w:tcBorders/>
          </w:tcPr>
          <w:p>
            <w:pPr>
              <w:pStyle w:val="Normal"/>
              <w:widowControl w:val="false"/>
              <w:tabs>
                <w:tab w:val="clear" w:pos="708"/>
                <w:tab w:val="left" w:pos="390" w:leader="none"/>
                <w:tab w:val="center" w:pos="745" w:leader="none"/>
              </w:tabs>
              <w:spacing w:lineRule="auto" w:line="240"/>
              <w:ind w:right="-2" w:hanging="0"/>
              <w:jc w:val="center"/>
              <w:rPr>
                <w:sz w:val="20"/>
                <w:szCs w:val="20"/>
              </w:rPr>
            </w:pPr>
            <w:r>
              <w:rPr>
                <w:sz w:val="20"/>
                <w:szCs w:val="20"/>
                <w:lang w:eastAsia="en-US"/>
              </w:rPr>
              <w:t>-</w:t>
            </w:r>
          </w:p>
        </w:tc>
      </w:tr>
    </w:tbl>
    <w:p>
      <w:pPr>
        <w:sectPr>
          <w:headerReference w:type="default" r:id="rId76"/>
          <w:footerReference w:type="default" r:id="rId77"/>
          <w:type w:val="nextPage"/>
          <w:pgSz w:orient="landscape" w:w="16838" w:h="11906"/>
          <w:pgMar w:left="1134" w:right="1134" w:header="567" w:top="1418" w:footer="567" w:bottom="624" w:gutter="0"/>
          <w:pgNumType w:fmt="decimal"/>
          <w:formProt w:val="false"/>
          <w:textDirection w:val="lrTb"/>
          <w:docGrid w:type="default" w:linePitch="360" w:charSpace="0"/>
        </w:sectPr>
      </w:pPr>
    </w:p>
    <w:p>
      <w:pPr>
        <w:pStyle w:val="Normal"/>
        <w:spacing w:lineRule="auto" w:line="276" w:before="120" w:after="200"/>
        <w:ind w:firstLine="709"/>
        <w:rPr>
          <w:b/>
          <w:b/>
        </w:rPr>
      </w:pPr>
      <w:r>
        <w:rPr>
          <w:b/>
        </w:rPr>
        <w:t>Информация об основных проблемах и ограничениях</w:t>
      </w:r>
    </w:p>
    <w:p>
      <w:pPr>
        <w:pStyle w:val="Normal"/>
        <w:spacing w:lineRule="auto" w:line="276"/>
        <w:ind w:firstLine="708"/>
        <w:rPr>
          <w:rFonts w:eastAsia="Calibri" w:eastAsiaTheme="minorHAnsi"/>
        </w:rPr>
      </w:pPr>
      <w:r>
        <w:rPr>
          <w:rFonts w:eastAsia="Calibri" w:eastAsiaTheme="minorHAnsi"/>
        </w:rPr>
        <w:t>Для о</w:t>
      </w:r>
      <w:r>
        <w:rPr/>
        <w:t>бъектов местного значения муниципального района в области</w:t>
      </w:r>
      <w:r>
        <w:rPr>
          <w:rFonts w:eastAsia="Calibri" w:eastAsiaTheme="minorHAnsi"/>
        </w:rPr>
        <w:t xml:space="preserve"> культуры и искусства характерны следующие проблемы:</w:t>
      </w:r>
    </w:p>
    <w:p>
      <w:pPr>
        <w:pStyle w:val="Normal"/>
        <w:widowControl w:val="false"/>
        <w:numPr>
          <w:ilvl w:val="0"/>
          <w:numId w:val="9"/>
        </w:numPr>
        <w:tabs>
          <w:tab w:val="clear" w:pos="708"/>
          <w:tab w:val="left" w:pos="709" w:leader="none"/>
        </w:tabs>
        <w:spacing w:lineRule="auto" w:line="276" w:before="0" w:after="200"/>
        <w:ind w:left="0" w:firstLine="426"/>
        <w:contextualSpacing/>
        <w:rPr>
          <w:rFonts w:eastAsia="Calibri" w:eastAsiaTheme="minorHAnsi"/>
        </w:rPr>
      </w:pPr>
      <w:r>
        <w:rPr>
          <w:rFonts w:eastAsia="Calibri" w:eastAsiaTheme="minorHAnsi"/>
        </w:rPr>
        <w:t>несоответствие ряда зданий, занимаемых объектами культуры и искусства, современным требованиям;</w:t>
      </w:r>
    </w:p>
    <w:p>
      <w:pPr>
        <w:pStyle w:val="Normal"/>
        <w:widowControl w:val="false"/>
        <w:numPr>
          <w:ilvl w:val="0"/>
          <w:numId w:val="9"/>
        </w:numPr>
        <w:tabs>
          <w:tab w:val="clear" w:pos="708"/>
          <w:tab w:val="left" w:pos="709" w:leader="none"/>
        </w:tabs>
        <w:spacing w:lineRule="auto" w:line="276" w:before="0" w:after="200"/>
        <w:ind w:left="0" w:firstLine="426"/>
        <w:contextualSpacing/>
        <w:rPr>
          <w:rFonts w:eastAsia="Calibri" w:eastAsiaTheme="minorHAnsi"/>
        </w:rPr>
      </w:pPr>
      <w:r>
        <w:rPr>
          <w:rFonts w:eastAsia="Calibri" w:eastAsiaTheme="minorHAnsi"/>
        </w:rPr>
        <w:t xml:space="preserve">необходимость проведения капитального ремонта зданий </w:t>
      </w:r>
      <w:r>
        <w:rPr/>
        <w:t>объектов культурно-досугового типа</w:t>
      </w:r>
      <w:r>
        <w:rPr>
          <w:rFonts w:eastAsia="Calibri" w:eastAsiaTheme="minorHAnsi"/>
        </w:rPr>
        <w:t>;</w:t>
      </w:r>
    </w:p>
    <w:p>
      <w:pPr>
        <w:pStyle w:val="Normal"/>
        <w:widowControl w:val="false"/>
        <w:numPr>
          <w:ilvl w:val="0"/>
          <w:numId w:val="9"/>
        </w:numPr>
        <w:tabs>
          <w:tab w:val="clear" w:pos="708"/>
          <w:tab w:val="left" w:pos="709" w:leader="none"/>
        </w:tabs>
        <w:spacing w:lineRule="auto" w:line="276" w:before="0" w:after="200"/>
        <w:ind w:left="0" w:firstLine="426"/>
        <w:contextualSpacing/>
        <w:rPr>
          <w:rFonts w:eastAsia="Calibri" w:eastAsiaTheme="minorHAnsi"/>
        </w:rPr>
      </w:pPr>
      <w:r>
        <w:rPr>
          <w:rFonts w:eastAsia="Calibri" w:eastAsiaTheme="minorHAnsi"/>
        </w:rPr>
        <w:t>недостаток кадров, имеющих специальное образование для работы в учреждениях культуры;</w:t>
      </w:r>
    </w:p>
    <w:p>
      <w:pPr>
        <w:pStyle w:val="Normal"/>
        <w:widowControl w:val="false"/>
        <w:numPr>
          <w:ilvl w:val="0"/>
          <w:numId w:val="9"/>
        </w:numPr>
        <w:tabs>
          <w:tab w:val="clear" w:pos="708"/>
          <w:tab w:val="left" w:pos="709" w:leader="none"/>
        </w:tabs>
        <w:spacing w:lineRule="auto" w:line="276" w:before="0" w:after="200"/>
        <w:ind w:left="0" w:firstLine="425"/>
        <w:contextualSpacing/>
        <w:rPr>
          <w:rFonts w:eastAsia="Calibri" w:eastAsiaTheme="minorHAnsi"/>
        </w:rPr>
      </w:pPr>
      <w:r>
        <w:rPr>
          <w:rFonts w:eastAsia="Calibri" w:eastAsiaTheme="minorHAnsi"/>
        </w:rPr>
        <w:t>недостаточная материально-техническая база учреждений культуры, низкий уровень использования информационных, телекоммуникационных технологий.</w:t>
      </w:r>
    </w:p>
    <w:p>
      <w:pPr>
        <w:pStyle w:val="Normal"/>
        <w:spacing w:lineRule="auto" w:line="276"/>
        <w:ind w:firstLine="709"/>
        <w:rPr>
          <w:b/>
          <w:b/>
        </w:rPr>
      </w:pPr>
      <w:r>
        <w:rPr>
          <w:b/>
        </w:rPr>
        <w:t>Направления развития</w:t>
      </w:r>
    </w:p>
    <w:p>
      <w:pPr>
        <w:pStyle w:val="Normal"/>
        <w:spacing w:lineRule="auto" w:line="276"/>
        <w:ind w:right="-2" w:firstLine="708"/>
        <w:rPr>
          <w:rFonts w:eastAsia="Times New Roman"/>
          <w:szCs w:val="24"/>
          <w:lang w:eastAsia="ru-RU"/>
        </w:rPr>
      </w:pPr>
      <w:bookmarkStart w:id="114" w:name="_Toc494398051"/>
      <w:bookmarkStart w:id="115" w:name="_Toc493330208"/>
      <w:bookmarkStart w:id="116" w:name="_Toc413402225"/>
      <w:bookmarkStart w:id="117" w:name="_Toc494398048"/>
      <w:bookmarkStart w:id="118" w:name="_Toc477453296"/>
      <w:bookmarkStart w:id="119" w:name="_Toc468200606"/>
      <w:bookmarkStart w:id="120" w:name="_Toc69297543"/>
      <w:bookmarkStart w:id="121" w:name="_Toc27748724"/>
      <w:bookmarkEnd w:id="114"/>
      <w:bookmarkEnd w:id="115"/>
      <w:bookmarkEnd w:id="116"/>
      <w:bookmarkEnd w:id="117"/>
      <w:bookmarkEnd w:id="118"/>
      <w:bookmarkEnd w:id="119"/>
      <w:r>
        <w:rPr>
          <w:szCs w:val="24"/>
        </w:rPr>
        <w:t xml:space="preserve">Генеральным планом не предусматривается размещение и реконструкция объектов в области культуры и искусства. </w:t>
      </w:r>
    </w:p>
    <w:p>
      <w:pPr>
        <w:pStyle w:val="0212161"/>
        <w:rPr>
          <w:b/>
          <w:b/>
        </w:rPr>
      </w:pPr>
      <w:bookmarkStart w:id="122" w:name="_Toc69297543"/>
      <w:bookmarkStart w:id="123" w:name="_Toc27748724"/>
      <w:bookmarkStart w:id="124" w:name="_Toc182210468"/>
      <w:r>
        <w:rPr/>
        <w:t>5.2.4 Здравоохранени</w:t>
      </w:r>
      <w:bookmarkEnd w:id="122"/>
      <w:bookmarkEnd w:id="123"/>
      <w:r>
        <w:rPr/>
        <w:t>е</w:t>
      </w:r>
      <w:bookmarkEnd w:id="124"/>
    </w:p>
    <w:p>
      <w:pPr>
        <w:pStyle w:val="Normal"/>
        <w:spacing w:lineRule="auto" w:line="276" w:before="120" w:after="200"/>
        <w:ind w:firstLine="709"/>
        <w:jc w:val="left"/>
        <w:rPr>
          <w:b/>
          <w:b/>
        </w:rPr>
      </w:pPr>
      <w:r>
        <w:rPr>
          <w:b/>
        </w:rPr>
        <w:t>Анализ существующего состояния</w:t>
      </w:r>
    </w:p>
    <w:p>
      <w:pPr>
        <w:sectPr>
          <w:headerReference w:type="default" r:id="rId78"/>
          <w:footerReference w:type="default" r:id="rId79"/>
          <w:type w:val="nextPage"/>
          <w:pgSz w:w="11906" w:h="16838"/>
          <w:pgMar w:left="1418" w:right="567" w:header="567" w:top="1134" w:footer="567" w:bottom="1134" w:gutter="0"/>
          <w:pgNumType w:fmt="decimal"/>
          <w:formProt w:val="false"/>
          <w:textDirection w:val="lrTb"/>
          <w:docGrid w:type="default" w:linePitch="360" w:charSpace="0"/>
        </w:sectPr>
        <w:pStyle w:val="Normal"/>
        <w:widowControl w:val="false"/>
        <w:tabs>
          <w:tab w:val="clear" w:pos="708"/>
          <w:tab w:val="left" w:pos="709" w:leader="none"/>
          <w:tab w:val="left" w:pos="851" w:leader="none"/>
        </w:tabs>
        <w:spacing w:lineRule="auto" w:line="276"/>
        <w:ind w:firstLine="709"/>
        <w:rPr>
          <w:rFonts w:eastAsia="Times New Roman"/>
          <w:szCs w:val="24"/>
          <w:lang w:eastAsia="ru-RU"/>
        </w:rPr>
      </w:pPr>
      <w:r>
        <w:rPr>
          <w:rFonts w:eastAsia="Times New Roman"/>
          <w:szCs w:val="24"/>
          <w:lang w:eastAsia="ru-RU"/>
        </w:rPr>
        <w:t xml:space="preserve">Система объектов здравоохранения муниципального образования формируется лечебно-профилактическими учреждениями государственной формы собственности. Перечень объектов здравоохранения, расположенных на территории сельского поселения представлен в </w:t>
        <w:br/>
        <w:t>таблице 3.5.6.</w:t>
      </w:r>
    </w:p>
    <w:p>
      <w:pPr>
        <w:pStyle w:val="Normal"/>
        <w:widowControl w:val="false"/>
        <w:tabs>
          <w:tab w:val="clear" w:pos="708"/>
          <w:tab w:val="left" w:pos="709" w:leader="none"/>
          <w:tab w:val="left" w:pos="851" w:leader="none"/>
        </w:tabs>
        <w:spacing w:lineRule="auto" w:line="276"/>
        <w:ind w:firstLine="709"/>
        <w:jc w:val="right"/>
        <w:rPr>
          <w:rFonts w:eastAsia="Times New Roman"/>
          <w:szCs w:val="24"/>
          <w:lang w:eastAsia="ru-RU"/>
        </w:rPr>
      </w:pPr>
      <w:r>
        <w:rPr>
          <w:rFonts w:eastAsia="Times New Roman"/>
          <w:szCs w:val="24"/>
          <w:lang w:eastAsia="ru-RU"/>
        </w:rPr>
        <w:t>Таблица 3.5.6</w:t>
      </w:r>
    </w:p>
    <w:p>
      <w:pPr>
        <w:pStyle w:val="Normal"/>
        <w:spacing w:lineRule="auto" w:line="276"/>
        <w:jc w:val="center"/>
        <w:rPr>
          <w:rFonts w:eastAsia="Times New Roman"/>
          <w:szCs w:val="24"/>
          <w:lang w:val="cs-CZ" w:eastAsia="ru-RU"/>
        </w:rPr>
      </w:pPr>
      <w:r>
        <w:rPr>
          <w:rFonts w:eastAsia="Times New Roman"/>
          <w:szCs w:val="24"/>
          <w:lang w:eastAsia="ru-RU"/>
        </w:rPr>
        <w:t>Перечень объектов регионального значения в области здравоохранения</w:t>
      </w:r>
    </w:p>
    <w:tbl>
      <w:tblPr>
        <w:tblStyle w:val="1ff9"/>
        <w:tblW w:w="5000" w:type="pct"/>
        <w:jc w:val="left"/>
        <w:tblInd w:w="-28" w:type="dxa"/>
        <w:tblCellMar>
          <w:top w:w="0" w:type="dxa"/>
          <w:left w:w="28" w:type="dxa"/>
          <w:bottom w:w="0" w:type="dxa"/>
          <w:right w:w="28" w:type="dxa"/>
        </w:tblCellMar>
        <w:tblLook w:firstRow="1" w:noVBand="1" w:lastRow="0" w:firstColumn="1" w:lastColumn="0" w:noHBand="0" w:val="04a0"/>
      </w:tblPr>
      <w:tblGrid>
        <w:gridCol w:w="413"/>
        <w:gridCol w:w="860"/>
        <w:gridCol w:w="2123"/>
        <w:gridCol w:w="3263"/>
        <w:gridCol w:w="1988"/>
        <w:gridCol w:w="1133"/>
        <w:gridCol w:w="1414"/>
        <w:gridCol w:w="1994"/>
        <w:gridCol w:w="1380"/>
      </w:tblGrid>
      <w:tr>
        <w:trPr>
          <w:trHeight w:val="340" w:hRule="atLeast"/>
        </w:trPr>
        <w:tc>
          <w:tcPr>
            <w:tcW w:w="413" w:type="dxa"/>
            <w:tcBorders>
              <w:bottom w:val="nil"/>
            </w:tcBorders>
            <w:vAlign w:val="center"/>
          </w:tcPr>
          <w:p>
            <w:pPr>
              <w:pStyle w:val="Normal"/>
              <w:widowControl w:val="false"/>
              <w:spacing w:lineRule="auto" w:line="240"/>
              <w:jc w:val="center"/>
              <w:rPr>
                <w:rFonts w:eastAsia="Times New Roman"/>
                <w:b/>
                <w:b/>
                <w:bCs/>
                <w:sz w:val="20"/>
                <w:highlight w:val="white"/>
                <w:lang w:bidi="ru-RU"/>
              </w:rPr>
            </w:pPr>
            <w:r>
              <w:rPr>
                <w:rFonts w:eastAsia="Times New Roman"/>
                <w:b/>
                <w:bCs/>
                <w:sz w:val="20"/>
                <w:szCs w:val="22"/>
                <w:shd w:fill="FFFFFF" w:val="clear"/>
                <w:lang w:eastAsia="en-US" w:bidi="ru-RU"/>
              </w:rPr>
              <w:t>№</w:t>
            </w:r>
          </w:p>
        </w:tc>
        <w:tc>
          <w:tcPr>
            <w:tcW w:w="860" w:type="dxa"/>
            <w:tcBorders>
              <w:bottom w:val="nil"/>
            </w:tcBorders>
            <w:vAlign w:val="center"/>
          </w:tcPr>
          <w:p>
            <w:pPr>
              <w:pStyle w:val="Normal"/>
              <w:spacing w:lineRule="auto" w:line="240"/>
              <w:jc w:val="center"/>
              <w:rPr>
                <w:b/>
                <w:b/>
                <w:bCs/>
                <w:sz w:val="20"/>
                <w:highlight w:val="white"/>
                <w:lang w:bidi="ru-RU"/>
              </w:rPr>
            </w:pPr>
            <w:r>
              <w:rPr>
                <w:b/>
                <w:bCs/>
                <w:color w:val="000000"/>
                <w:sz w:val="20"/>
                <w:szCs w:val="22"/>
                <w:shd w:fill="FFFFFF" w:val="clear"/>
                <w:lang w:eastAsia="en-US" w:bidi="ru-RU"/>
              </w:rPr>
              <w:t xml:space="preserve">№ </w:t>
            </w:r>
            <w:r>
              <w:rPr>
                <w:b/>
                <w:bCs/>
                <w:color w:val="000000"/>
                <w:sz w:val="20"/>
                <w:szCs w:val="22"/>
                <w:shd w:fill="FFFFFF" w:val="clear"/>
                <w:lang w:eastAsia="en-US" w:bidi="ru-RU"/>
              </w:rPr>
              <w:t>объекта на карте</w:t>
            </w:r>
          </w:p>
        </w:tc>
        <w:tc>
          <w:tcPr>
            <w:tcW w:w="2123" w:type="dxa"/>
            <w:tcBorders>
              <w:bottom w:val="nil"/>
            </w:tcBorders>
            <w:vAlign w:val="center"/>
          </w:tcPr>
          <w:p>
            <w:pPr>
              <w:pStyle w:val="Normal"/>
              <w:spacing w:lineRule="auto" w:line="240"/>
              <w:jc w:val="center"/>
              <w:rPr>
                <w:b/>
                <w:b/>
                <w:bCs/>
                <w:sz w:val="20"/>
                <w:highlight w:val="white"/>
                <w:lang w:bidi="ru-RU"/>
              </w:rPr>
            </w:pPr>
            <w:r>
              <w:rPr>
                <w:b/>
                <w:bCs/>
                <w:sz w:val="20"/>
                <w:szCs w:val="22"/>
                <w:shd w:fill="FFFFFF" w:val="clear"/>
                <w:lang w:eastAsia="en-US" w:bidi="ru-RU"/>
              </w:rPr>
              <w:t>Наименование</w:t>
            </w:r>
          </w:p>
        </w:tc>
        <w:tc>
          <w:tcPr>
            <w:tcW w:w="3263" w:type="dxa"/>
            <w:tcBorders>
              <w:bottom w:val="nil"/>
            </w:tcBorders>
            <w:vAlign w:val="center"/>
          </w:tcPr>
          <w:p>
            <w:pPr>
              <w:pStyle w:val="Normal"/>
              <w:spacing w:lineRule="auto" w:line="240"/>
              <w:jc w:val="center"/>
              <w:rPr>
                <w:b/>
                <w:b/>
                <w:bCs/>
                <w:sz w:val="20"/>
                <w:szCs w:val="20"/>
                <w:highlight w:val="white"/>
                <w:lang w:bidi="ru-RU"/>
              </w:rPr>
            </w:pPr>
            <w:r>
              <w:rPr>
                <w:b/>
                <w:sz w:val="20"/>
                <w:szCs w:val="20"/>
                <w:lang w:eastAsia="en-US"/>
              </w:rPr>
              <w:t>Местоположение</w:t>
            </w:r>
          </w:p>
        </w:tc>
        <w:tc>
          <w:tcPr>
            <w:tcW w:w="1988" w:type="dxa"/>
            <w:tcBorders>
              <w:bottom w:val="nil"/>
            </w:tcBorders>
            <w:vAlign w:val="center"/>
          </w:tcPr>
          <w:p>
            <w:pPr>
              <w:pStyle w:val="Normal"/>
              <w:spacing w:lineRule="auto" w:line="240"/>
              <w:jc w:val="center"/>
              <w:rPr>
                <w:sz w:val="20"/>
                <w:szCs w:val="20"/>
              </w:rPr>
            </w:pPr>
            <w:r>
              <w:rPr>
                <w:b/>
                <w:sz w:val="20"/>
                <w:szCs w:val="20"/>
                <w:lang w:eastAsia="en-US"/>
              </w:rPr>
              <w:t>Обслуживаемые населенные пункты</w:t>
            </w:r>
          </w:p>
        </w:tc>
        <w:tc>
          <w:tcPr>
            <w:tcW w:w="1133" w:type="dxa"/>
            <w:tcBorders>
              <w:bottom w:val="nil"/>
            </w:tcBorders>
            <w:vAlign w:val="center"/>
          </w:tcPr>
          <w:p>
            <w:pPr>
              <w:pStyle w:val="Normal"/>
              <w:spacing w:lineRule="auto" w:line="240"/>
              <w:jc w:val="center"/>
              <w:rPr>
                <w:b/>
                <w:b/>
                <w:bCs/>
                <w:sz w:val="20"/>
                <w:highlight w:val="white"/>
                <w:lang w:bidi="ru-RU"/>
              </w:rPr>
            </w:pPr>
            <w:r>
              <w:rPr>
                <w:b/>
                <w:sz w:val="20"/>
                <w:szCs w:val="20"/>
                <w:lang w:eastAsia="en-US"/>
              </w:rPr>
              <w:t>Проектная мощность</w:t>
            </w:r>
          </w:p>
        </w:tc>
        <w:tc>
          <w:tcPr>
            <w:tcW w:w="1414" w:type="dxa"/>
            <w:tcBorders>
              <w:bottom w:val="nil"/>
            </w:tcBorders>
            <w:vAlign w:val="center"/>
          </w:tcPr>
          <w:p>
            <w:pPr>
              <w:pStyle w:val="Normal"/>
              <w:spacing w:lineRule="auto" w:line="240"/>
              <w:jc w:val="center"/>
              <w:rPr>
                <w:b/>
                <w:b/>
                <w:sz w:val="20"/>
                <w:szCs w:val="20"/>
              </w:rPr>
            </w:pPr>
            <w:r>
              <w:rPr>
                <w:b/>
                <w:sz w:val="20"/>
                <w:szCs w:val="20"/>
                <w:lang w:eastAsia="en-US"/>
              </w:rPr>
              <w:t>Фактическая посещаемость, койки (чел)</w:t>
            </w:r>
          </w:p>
        </w:tc>
        <w:tc>
          <w:tcPr>
            <w:tcW w:w="1994" w:type="dxa"/>
            <w:tcBorders>
              <w:bottom w:val="nil"/>
            </w:tcBorders>
            <w:vAlign w:val="center"/>
          </w:tcPr>
          <w:p>
            <w:pPr>
              <w:pStyle w:val="Normal"/>
              <w:spacing w:lineRule="auto" w:line="240"/>
              <w:jc w:val="center"/>
              <w:rPr>
                <w:b/>
                <w:b/>
                <w:sz w:val="20"/>
                <w:szCs w:val="20"/>
              </w:rPr>
            </w:pPr>
            <w:r>
              <w:rPr>
                <w:b/>
                <w:sz w:val="20"/>
                <w:szCs w:val="20"/>
                <w:lang w:eastAsia="en-US"/>
              </w:rPr>
              <w:t>Год постройки, характеристика объекта</w:t>
            </w:r>
          </w:p>
        </w:tc>
        <w:tc>
          <w:tcPr>
            <w:tcW w:w="1380" w:type="dxa"/>
            <w:tcBorders>
              <w:bottom w:val="nil"/>
            </w:tcBorders>
            <w:vAlign w:val="center"/>
          </w:tcPr>
          <w:p>
            <w:pPr>
              <w:pStyle w:val="Normal"/>
              <w:spacing w:lineRule="auto" w:line="240"/>
              <w:jc w:val="center"/>
              <w:rPr>
                <w:b/>
                <w:b/>
                <w:sz w:val="20"/>
                <w:szCs w:val="20"/>
              </w:rPr>
            </w:pPr>
            <w:r>
              <w:rPr>
                <w:b/>
                <w:sz w:val="20"/>
                <w:szCs w:val="20"/>
                <w:lang w:eastAsia="en-US"/>
              </w:rPr>
              <w:t>Физический</w:t>
            </w:r>
          </w:p>
          <w:p>
            <w:pPr>
              <w:pStyle w:val="Normal"/>
              <w:spacing w:lineRule="auto" w:line="240"/>
              <w:jc w:val="center"/>
              <w:rPr>
                <w:b/>
                <w:b/>
                <w:sz w:val="20"/>
                <w:szCs w:val="20"/>
              </w:rPr>
            </w:pPr>
            <w:r>
              <w:rPr>
                <w:b/>
                <w:sz w:val="20"/>
                <w:szCs w:val="20"/>
                <w:lang w:eastAsia="en-US"/>
              </w:rPr>
              <w:t>износ, %</w:t>
            </w:r>
          </w:p>
        </w:tc>
      </w:tr>
    </w:tbl>
    <w:p>
      <w:pPr>
        <w:pStyle w:val="Normal"/>
        <w:spacing w:lineRule="auto" w:line="240"/>
        <w:rPr>
          <w:sz w:val="2"/>
          <w:szCs w:val="2"/>
        </w:rPr>
      </w:pPr>
      <w:r>
        <w:rPr>
          <w:sz w:val="2"/>
          <w:szCs w:val="2"/>
        </w:rPr>
      </w:r>
    </w:p>
    <w:tbl>
      <w:tblPr>
        <w:tblStyle w:val="1ff9"/>
        <w:tblpPr w:bottomFromText="0" w:horzAnchor="text" w:leftFromText="180" w:rightFromText="180" w:tblpX="0" w:tblpXSpec="center" w:tblpY="1" w:topFromText="0" w:vertAnchor="text"/>
        <w:tblW w:w="5000" w:type="pct"/>
        <w:jc w:val="center"/>
        <w:tblInd w:w="0" w:type="dxa"/>
        <w:tblCellMar>
          <w:top w:w="0" w:type="dxa"/>
          <w:left w:w="57" w:type="dxa"/>
          <w:bottom w:w="0" w:type="dxa"/>
          <w:right w:w="57" w:type="dxa"/>
        </w:tblCellMar>
        <w:tblLook w:firstRow="1" w:noVBand="1" w:lastRow="0" w:firstColumn="1" w:lastColumn="0" w:noHBand="0" w:val="04a0"/>
      </w:tblPr>
      <w:tblGrid>
        <w:gridCol w:w="397"/>
        <w:gridCol w:w="877"/>
        <w:gridCol w:w="2125"/>
        <w:gridCol w:w="3262"/>
        <w:gridCol w:w="1989"/>
        <w:gridCol w:w="1132"/>
        <w:gridCol w:w="1419"/>
        <w:gridCol w:w="1987"/>
        <w:gridCol w:w="1380"/>
      </w:tblGrid>
      <w:tr>
        <w:trPr>
          <w:tblHeader w:val="true"/>
          <w:trHeight w:val="70" w:hRule="atLeast"/>
        </w:trPr>
        <w:tc>
          <w:tcPr>
            <w:tcW w:w="397" w:type="dxa"/>
            <w:tcBorders/>
            <w:vAlign w:val="center"/>
          </w:tcPr>
          <w:p>
            <w:pPr>
              <w:pStyle w:val="Normal"/>
              <w:widowControl w:val="false"/>
              <w:spacing w:lineRule="auto" w:line="240"/>
              <w:jc w:val="center"/>
              <w:rPr>
                <w:rFonts w:eastAsia="Times New Roman"/>
                <w:b/>
                <w:b/>
                <w:bCs/>
                <w:sz w:val="20"/>
                <w:szCs w:val="20"/>
                <w:highlight w:val="white"/>
                <w:lang w:bidi="ru-RU"/>
              </w:rPr>
            </w:pPr>
            <w:r>
              <w:rPr>
                <w:rFonts w:eastAsia="Times New Roman"/>
                <w:b/>
                <w:bCs/>
                <w:sz w:val="20"/>
                <w:szCs w:val="20"/>
                <w:shd w:fill="FFFFFF" w:val="clear"/>
                <w:lang w:eastAsia="en-US" w:bidi="ru-RU"/>
              </w:rPr>
              <w:t>1</w:t>
            </w:r>
          </w:p>
        </w:tc>
        <w:tc>
          <w:tcPr>
            <w:tcW w:w="877" w:type="dxa"/>
            <w:tcBorders/>
          </w:tcPr>
          <w:p>
            <w:pPr>
              <w:pStyle w:val="Normal"/>
              <w:spacing w:lineRule="auto" w:line="240"/>
              <w:jc w:val="center"/>
              <w:rPr>
                <w:b/>
                <w:b/>
                <w:bCs/>
                <w:sz w:val="20"/>
                <w:szCs w:val="20"/>
                <w:highlight w:val="white"/>
                <w:lang w:bidi="ru-RU"/>
              </w:rPr>
            </w:pPr>
            <w:r>
              <w:rPr>
                <w:b/>
                <w:bCs/>
                <w:sz w:val="20"/>
                <w:szCs w:val="20"/>
                <w:shd w:fill="FFFFFF" w:val="clear"/>
                <w:lang w:eastAsia="en-US" w:bidi="ru-RU"/>
              </w:rPr>
              <w:t>2</w:t>
            </w:r>
          </w:p>
        </w:tc>
        <w:tc>
          <w:tcPr>
            <w:tcW w:w="2125" w:type="dxa"/>
            <w:tcBorders/>
            <w:vAlign w:val="center"/>
          </w:tcPr>
          <w:p>
            <w:pPr>
              <w:pStyle w:val="Normal"/>
              <w:spacing w:lineRule="auto" w:line="240"/>
              <w:jc w:val="center"/>
              <w:rPr>
                <w:b/>
                <w:b/>
                <w:bCs/>
                <w:sz w:val="20"/>
                <w:szCs w:val="20"/>
                <w:highlight w:val="white"/>
                <w:lang w:bidi="ru-RU"/>
              </w:rPr>
            </w:pPr>
            <w:r>
              <w:rPr>
                <w:b/>
                <w:bCs/>
                <w:sz w:val="20"/>
                <w:szCs w:val="20"/>
                <w:shd w:fill="FFFFFF" w:val="clear"/>
                <w:lang w:eastAsia="en-US" w:bidi="ru-RU"/>
              </w:rPr>
              <w:t>3</w:t>
            </w:r>
          </w:p>
        </w:tc>
        <w:tc>
          <w:tcPr>
            <w:tcW w:w="3262" w:type="dxa"/>
            <w:tcBorders/>
            <w:vAlign w:val="center"/>
          </w:tcPr>
          <w:p>
            <w:pPr>
              <w:pStyle w:val="Normal"/>
              <w:spacing w:lineRule="auto" w:line="240"/>
              <w:jc w:val="center"/>
              <w:rPr>
                <w:b/>
                <w:b/>
                <w:bCs/>
                <w:sz w:val="20"/>
                <w:szCs w:val="20"/>
                <w:highlight w:val="white"/>
                <w:lang w:bidi="ru-RU"/>
              </w:rPr>
            </w:pPr>
            <w:r>
              <w:rPr>
                <w:b/>
                <w:bCs/>
                <w:sz w:val="20"/>
                <w:szCs w:val="20"/>
                <w:shd w:fill="FFFFFF" w:val="clear"/>
                <w:lang w:eastAsia="en-US" w:bidi="ru-RU"/>
              </w:rPr>
              <w:t>4</w:t>
            </w:r>
          </w:p>
        </w:tc>
        <w:tc>
          <w:tcPr>
            <w:tcW w:w="1989" w:type="dxa"/>
            <w:tcBorders/>
          </w:tcPr>
          <w:p>
            <w:pPr>
              <w:pStyle w:val="Normal"/>
              <w:spacing w:lineRule="auto" w:line="240"/>
              <w:jc w:val="center"/>
              <w:rPr>
                <w:b/>
                <w:b/>
                <w:bCs/>
                <w:sz w:val="20"/>
                <w:szCs w:val="20"/>
                <w:highlight w:val="white"/>
                <w:lang w:bidi="ru-RU"/>
              </w:rPr>
            </w:pPr>
            <w:r>
              <w:rPr>
                <w:b/>
                <w:bCs/>
                <w:sz w:val="20"/>
                <w:szCs w:val="20"/>
                <w:shd w:fill="FFFFFF" w:val="clear"/>
                <w:lang w:eastAsia="en-US" w:bidi="ru-RU"/>
              </w:rPr>
              <w:t>5</w:t>
            </w:r>
          </w:p>
        </w:tc>
        <w:tc>
          <w:tcPr>
            <w:tcW w:w="1132" w:type="dxa"/>
            <w:tcBorders/>
          </w:tcPr>
          <w:p>
            <w:pPr>
              <w:pStyle w:val="Normal"/>
              <w:spacing w:lineRule="auto" w:line="240"/>
              <w:jc w:val="center"/>
              <w:rPr>
                <w:b/>
                <w:b/>
                <w:bCs/>
                <w:sz w:val="20"/>
                <w:szCs w:val="20"/>
                <w:highlight w:val="white"/>
                <w:lang w:bidi="ru-RU"/>
              </w:rPr>
            </w:pPr>
            <w:r>
              <w:rPr>
                <w:b/>
                <w:bCs/>
                <w:sz w:val="20"/>
                <w:szCs w:val="20"/>
                <w:shd w:fill="FFFFFF" w:val="clear"/>
                <w:lang w:eastAsia="en-US" w:bidi="ru-RU"/>
              </w:rPr>
              <w:t>6</w:t>
            </w:r>
          </w:p>
        </w:tc>
        <w:tc>
          <w:tcPr>
            <w:tcW w:w="1419" w:type="dxa"/>
            <w:tcBorders/>
          </w:tcPr>
          <w:p>
            <w:pPr>
              <w:pStyle w:val="Normal"/>
              <w:spacing w:lineRule="auto" w:line="240"/>
              <w:jc w:val="center"/>
              <w:rPr>
                <w:b/>
                <w:b/>
                <w:bCs/>
                <w:sz w:val="20"/>
                <w:szCs w:val="20"/>
                <w:highlight w:val="white"/>
                <w:lang w:bidi="ru-RU"/>
              </w:rPr>
            </w:pPr>
            <w:r>
              <w:rPr>
                <w:b/>
                <w:bCs/>
                <w:sz w:val="20"/>
                <w:szCs w:val="20"/>
                <w:shd w:fill="FFFFFF" w:val="clear"/>
                <w:lang w:eastAsia="en-US" w:bidi="ru-RU"/>
              </w:rPr>
              <w:t>7</w:t>
            </w:r>
          </w:p>
        </w:tc>
        <w:tc>
          <w:tcPr>
            <w:tcW w:w="1987" w:type="dxa"/>
            <w:tcBorders/>
          </w:tcPr>
          <w:p>
            <w:pPr>
              <w:pStyle w:val="Normal"/>
              <w:spacing w:lineRule="auto" w:line="240"/>
              <w:jc w:val="center"/>
              <w:rPr>
                <w:b/>
                <w:b/>
                <w:bCs/>
                <w:sz w:val="20"/>
                <w:szCs w:val="20"/>
                <w:highlight w:val="white"/>
                <w:lang w:bidi="ru-RU"/>
              </w:rPr>
            </w:pPr>
            <w:r>
              <w:rPr>
                <w:b/>
                <w:bCs/>
                <w:sz w:val="20"/>
                <w:szCs w:val="20"/>
                <w:shd w:fill="FFFFFF" w:val="clear"/>
                <w:lang w:eastAsia="en-US" w:bidi="ru-RU"/>
              </w:rPr>
              <w:t>8</w:t>
            </w:r>
          </w:p>
        </w:tc>
        <w:tc>
          <w:tcPr>
            <w:tcW w:w="1380" w:type="dxa"/>
            <w:tcBorders/>
          </w:tcPr>
          <w:p>
            <w:pPr>
              <w:pStyle w:val="Normal"/>
              <w:spacing w:lineRule="auto" w:line="240"/>
              <w:jc w:val="center"/>
              <w:rPr>
                <w:b/>
                <w:b/>
                <w:bCs/>
                <w:sz w:val="20"/>
                <w:szCs w:val="20"/>
                <w:highlight w:val="white"/>
                <w:lang w:bidi="ru-RU"/>
              </w:rPr>
            </w:pPr>
            <w:r>
              <w:rPr>
                <w:b/>
                <w:bCs/>
                <w:sz w:val="20"/>
                <w:szCs w:val="20"/>
                <w:shd w:fill="FFFFFF" w:val="clear"/>
                <w:lang w:eastAsia="en-US" w:bidi="ru-RU"/>
              </w:rPr>
              <w:t>9</w:t>
            </w:r>
          </w:p>
        </w:tc>
      </w:tr>
      <w:tr>
        <w:trPr>
          <w:trHeight w:val="20" w:hRule="atLeast"/>
        </w:trPr>
        <w:tc>
          <w:tcPr>
            <w:tcW w:w="14568" w:type="dxa"/>
            <w:gridSpan w:val="9"/>
            <w:tcBorders/>
          </w:tcPr>
          <w:p>
            <w:pPr>
              <w:pStyle w:val="Normal"/>
              <w:spacing w:lineRule="auto" w:line="240"/>
              <w:jc w:val="center"/>
              <w:rPr>
                <w:b/>
                <w:b/>
                <w:bCs/>
                <w:sz w:val="20"/>
                <w:szCs w:val="20"/>
                <w:highlight w:val="white"/>
                <w:lang w:bidi="ru-RU"/>
              </w:rPr>
            </w:pPr>
            <w:r>
              <w:rPr>
                <w:b/>
                <w:bCs/>
                <w:sz w:val="20"/>
                <w:szCs w:val="20"/>
                <w:shd w:fill="FFFFFF" w:val="clear"/>
                <w:lang w:eastAsia="en-US" w:bidi="ru-RU"/>
              </w:rPr>
              <w:t>Фельдшерско-акушерские пункты</w:t>
            </w:r>
          </w:p>
        </w:tc>
      </w:tr>
      <w:tr>
        <w:trPr>
          <w:trHeight w:val="20" w:hRule="atLeast"/>
        </w:trPr>
        <w:tc>
          <w:tcPr>
            <w:tcW w:w="397" w:type="dxa"/>
            <w:tcBorders>
              <w:right w:val="nil"/>
            </w:tcBorders>
          </w:tcPr>
          <w:p>
            <w:pPr>
              <w:pStyle w:val="Normal"/>
              <w:widowControl w:val="false"/>
              <w:spacing w:lineRule="auto" w:line="240"/>
              <w:jc w:val="center"/>
              <w:rPr>
                <w:rFonts w:eastAsia="Times New Roman"/>
                <w:bCs/>
                <w:sz w:val="20"/>
                <w:szCs w:val="20"/>
                <w:highlight w:val="white"/>
                <w:lang w:bidi="ru-RU"/>
              </w:rPr>
            </w:pPr>
            <w:r>
              <w:rPr>
                <w:rFonts w:eastAsia="Times New Roman"/>
                <w:bCs/>
                <w:sz w:val="20"/>
                <w:szCs w:val="20"/>
                <w:shd w:fill="FFFFFF" w:val="clear"/>
                <w:lang w:eastAsia="en-US" w:bidi="ru-RU"/>
              </w:rPr>
              <w:t>1</w:t>
            </w:r>
          </w:p>
        </w:tc>
        <w:tc>
          <w:tcPr>
            <w:tcW w:w="877" w:type="dxa"/>
            <w:tcBorders>
              <w:left w:val="nil"/>
              <w:right w:val="nil"/>
            </w:tcBorders>
          </w:tcPr>
          <w:p>
            <w:pPr>
              <w:pStyle w:val="Normal"/>
              <w:spacing w:lineRule="auto" w:line="240"/>
              <w:jc w:val="center"/>
              <w:rPr>
                <w:sz w:val="20"/>
                <w:szCs w:val="20"/>
              </w:rPr>
            </w:pPr>
            <w:r>
              <w:rPr>
                <w:sz w:val="20"/>
                <w:szCs w:val="20"/>
                <w:lang w:eastAsia="en-US"/>
              </w:rPr>
              <w:t>З.6.1</w:t>
            </w:r>
          </w:p>
        </w:tc>
        <w:tc>
          <w:tcPr>
            <w:tcW w:w="2125" w:type="dxa"/>
            <w:tcBorders>
              <w:left w:val="nil"/>
              <w:right w:val="nil"/>
            </w:tcBorders>
          </w:tcPr>
          <w:p>
            <w:pPr>
              <w:pStyle w:val="Normal"/>
              <w:widowControl w:val="false"/>
              <w:spacing w:lineRule="auto" w:line="240"/>
              <w:jc w:val="left"/>
              <w:rPr>
                <w:rFonts w:eastAsia="Calibri"/>
                <w:color w:val="auto"/>
                <w:sz w:val="20"/>
                <w:szCs w:val="20"/>
              </w:rPr>
            </w:pPr>
            <w:r>
              <w:rPr>
                <w:bCs/>
                <w:sz w:val="20"/>
                <w:szCs w:val="22"/>
                <w:shd w:fill="FFFFFF" w:val="clear"/>
                <w:lang w:eastAsia="en-US" w:bidi="ru-RU"/>
              </w:rPr>
              <w:t>Фельдшерско-акушерский пункт</w:t>
            </w:r>
          </w:p>
        </w:tc>
        <w:tc>
          <w:tcPr>
            <w:tcW w:w="3262" w:type="dxa"/>
            <w:tcBorders>
              <w:left w:val="nil"/>
              <w:right w:val="nil"/>
            </w:tcBorders>
          </w:tcPr>
          <w:p>
            <w:pPr>
              <w:pStyle w:val="Normal"/>
              <w:spacing w:lineRule="auto" w:line="240"/>
              <w:jc w:val="left"/>
              <w:rPr>
                <w:rFonts w:eastAsia="Calibri"/>
                <w:color w:val="auto"/>
                <w:sz w:val="20"/>
                <w:szCs w:val="20"/>
              </w:rPr>
            </w:pPr>
            <w:r>
              <w:rPr>
                <w:bCs/>
                <w:sz w:val="20"/>
                <w:szCs w:val="22"/>
                <w:shd w:fill="FFFFFF" w:val="clear"/>
                <w:lang w:eastAsia="en-US" w:bidi="ru-RU"/>
              </w:rPr>
              <w:t>Челябинская область, Варненский муниципальный район, Катенинское сельское поселение, п. Караоба</w:t>
            </w:r>
          </w:p>
        </w:tc>
        <w:tc>
          <w:tcPr>
            <w:tcW w:w="1989" w:type="dxa"/>
            <w:tcBorders>
              <w:left w:val="nil"/>
              <w:right w:val="nil"/>
            </w:tcBorders>
          </w:tcPr>
          <w:p>
            <w:pPr>
              <w:pStyle w:val="Normal"/>
              <w:spacing w:lineRule="auto" w:line="240"/>
              <w:jc w:val="left"/>
              <w:rPr>
                <w:sz w:val="20"/>
                <w:szCs w:val="20"/>
              </w:rPr>
            </w:pPr>
            <w:r>
              <w:rPr>
                <w:bCs/>
                <w:sz w:val="20"/>
                <w:szCs w:val="20"/>
                <w:shd w:fill="FFFFFF" w:val="clear"/>
                <w:lang w:eastAsia="en-US" w:bidi="ru-RU"/>
              </w:rPr>
              <w:t>п. Караоба</w:t>
            </w:r>
          </w:p>
        </w:tc>
        <w:tc>
          <w:tcPr>
            <w:tcW w:w="1132" w:type="dxa"/>
            <w:tcBorders>
              <w:left w:val="nil"/>
              <w:right w:val="nil"/>
            </w:tcBorders>
          </w:tcPr>
          <w:p>
            <w:pPr>
              <w:pStyle w:val="Normal"/>
              <w:spacing w:lineRule="auto" w:line="240"/>
              <w:jc w:val="center"/>
              <w:rPr>
                <w:bCs/>
                <w:sz w:val="20"/>
                <w:szCs w:val="20"/>
                <w:highlight w:val="white"/>
                <w:lang w:bidi="ru-RU"/>
              </w:rPr>
            </w:pPr>
            <w:r>
              <w:rPr>
                <w:bCs/>
                <w:sz w:val="20"/>
                <w:szCs w:val="20"/>
                <w:shd w:fill="FFFFFF" w:val="clear"/>
                <w:lang w:eastAsia="en-US" w:bidi="ru-RU"/>
              </w:rPr>
              <w:t>-</w:t>
            </w:r>
          </w:p>
        </w:tc>
        <w:tc>
          <w:tcPr>
            <w:tcW w:w="1419" w:type="dxa"/>
            <w:tcBorders>
              <w:left w:val="nil"/>
              <w:right w:val="nil"/>
            </w:tcBorders>
          </w:tcPr>
          <w:p>
            <w:pPr>
              <w:pStyle w:val="Normal"/>
              <w:spacing w:lineRule="auto" w:line="240"/>
              <w:jc w:val="center"/>
              <w:rPr>
                <w:sz w:val="20"/>
                <w:szCs w:val="20"/>
              </w:rPr>
            </w:pPr>
            <w:r>
              <w:rPr>
                <w:sz w:val="20"/>
                <w:szCs w:val="20"/>
                <w:lang w:eastAsia="en-US"/>
              </w:rPr>
              <w:t>7</w:t>
            </w:r>
          </w:p>
        </w:tc>
        <w:tc>
          <w:tcPr>
            <w:tcW w:w="1987" w:type="dxa"/>
            <w:tcBorders>
              <w:left w:val="nil"/>
              <w:right w:val="nil"/>
            </w:tcBorders>
          </w:tcPr>
          <w:p>
            <w:pPr>
              <w:pStyle w:val="Normal"/>
              <w:spacing w:lineRule="auto" w:line="240"/>
              <w:jc w:val="center"/>
              <w:rPr>
                <w:bCs/>
                <w:sz w:val="20"/>
                <w:szCs w:val="20"/>
                <w:highlight w:val="white"/>
                <w:lang w:bidi="ru-RU"/>
              </w:rPr>
            </w:pPr>
            <w:r>
              <w:rPr>
                <w:bCs/>
                <w:sz w:val="20"/>
                <w:szCs w:val="20"/>
                <w:shd w:fill="FFFFFF" w:val="clear"/>
                <w:lang w:eastAsia="en-US" w:bidi="ru-RU"/>
              </w:rPr>
              <w:t>-</w:t>
            </w:r>
          </w:p>
        </w:tc>
        <w:tc>
          <w:tcPr>
            <w:tcW w:w="1380" w:type="dxa"/>
            <w:tcBorders>
              <w:left w:val="nil"/>
            </w:tcBorders>
          </w:tcPr>
          <w:p>
            <w:pPr>
              <w:pStyle w:val="Normal"/>
              <w:spacing w:lineRule="auto" w:line="240"/>
              <w:jc w:val="center"/>
              <w:rPr>
                <w:sz w:val="20"/>
                <w:szCs w:val="20"/>
              </w:rPr>
            </w:pPr>
            <w:r>
              <w:rPr>
                <w:sz w:val="20"/>
                <w:szCs w:val="20"/>
                <w:lang w:eastAsia="en-US"/>
              </w:rPr>
              <w:t>-</w:t>
            </w:r>
          </w:p>
        </w:tc>
      </w:tr>
      <w:tr>
        <w:trPr>
          <w:trHeight w:val="20" w:hRule="atLeast"/>
        </w:trPr>
        <w:tc>
          <w:tcPr>
            <w:tcW w:w="397" w:type="dxa"/>
            <w:tcBorders>
              <w:right w:val="nil"/>
            </w:tcBorders>
          </w:tcPr>
          <w:p>
            <w:pPr>
              <w:pStyle w:val="Normal"/>
              <w:widowControl w:val="false"/>
              <w:spacing w:lineRule="auto" w:line="240"/>
              <w:jc w:val="center"/>
              <w:rPr>
                <w:rFonts w:eastAsia="Times New Roman"/>
                <w:bCs/>
                <w:sz w:val="20"/>
                <w:szCs w:val="20"/>
                <w:highlight w:val="white"/>
                <w:lang w:bidi="ru-RU"/>
              </w:rPr>
            </w:pPr>
            <w:r>
              <w:rPr>
                <w:rFonts w:eastAsia="Times New Roman"/>
                <w:bCs/>
                <w:sz w:val="20"/>
                <w:szCs w:val="20"/>
                <w:shd w:fill="FFFFFF" w:val="clear"/>
                <w:lang w:eastAsia="en-US" w:bidi="ru-RU"/>
              </w:rPr>
              <w:t>2</w:t>
            </w:r>
          </w:p>
        </w:tc>
        <w:tc>
          <w:tcPr>
            <w:tcW w:w="877" w:type="dxa"/>
            <w:tcBorders>
              <w:left w:val="nil"/>
              <w:right w:val="nil"/>
            </w:tcBorders>
          </w:tcPr>
          <w:p>
            <w:pPr>
              <w:pStyle w:val="Normal"/>
              <w:spacing w:lineRule="auto" w:line="240"/>
              <w:jc w:val="center"/>
              <w:rPr>
                <w:sz w:val="20"/>
                <w:szCs w:val="20"/>
              </w:rPr>
            </w:pPr>
            <w:r>
              <w:rPr>
                <w:sz w:val="20"/>
                <w:szCs w:val="20"/>
                <w:lang w:eastAsia="en-US"/>
              </w:rPr>
              <w:t>З.6.2</w:t>
            </w:r>
          </w:p>
        </w:tc>
        <w:tc>
          <w:tcPr>
            <w:tcW w:w="2125" w:type="dxa"/>
            <w:tcBorders>
              <w:left w:val="nil"/>
              <w:right w:val="nil"/>
            </w:tcBorders>
          </w:tcPr>
          <w:p>
            <w:pPr>
              <w:pStyle w:val="Normal"/>
              <w:widowControl w:val="false"/>
              <w:spacing w:lineRule="auto" w:line="240"/>
              <w:jc w:val="left"/>
              <w:rPr>
                <w:sz w:val="20"/>
                <w:szCs w:val="20"/>
              </w:rPr>
            </w:pPr>
            <w:r>
              <w:rPr>
                <w:bCs/>
                <w:sz w:val="20"/>
                <w:szCs w:val="20"/>
                <w:shd w:fill="FFFFFF" w:val="clear"/>
                <w:lang w:eastAsia="en-US" w:bidi="ru-RU"/>
              </w:rPr>
              <w:t>Фельдшерско-акушерский пункт</w:t>
            </w:r>
          </w:p>
        </w:tc>
        <w:tc>
          <w:tcPr>
            <w:tcW w:w="3262" w:type="dxa"/>
            <w:tcBorders>
              <w:left w:val="nil"/>
              <w:right w:val="nil"/>
            </w:tcBorders>
          </w:tcPr>
          <w:p>
            <w:pPr>
              <w:pStyle w:val="Standard"/>
              <w:rPr>
                <w:sz w:val="20"/>
                <w:szCs w:val="20"/>
              </w:rPr>
            </w:pPr>
            <w:r>
              <w:rPr>
                <w:bCs/>
                <w:sz w:val="20"/>
                <w:szCs w:val="20"/>
                <w:shd w:fill="FFFFFF" w:val="clear"/>
                <w:lang w:bidi="ru-RU"/>
              </w:rPr>
              <w:t>Челябинская область, Варненский муниципальный район, Катенинское сельское поселение,</w:t>
            </w:r>
            <w:r>
              <w:rPr>
                <w:sz w:val="20"/>
                <w:szCs w:val="20"/>
              </w:rPr>
              <w:t xml:space="preserve"> с. Катенино </w:t>
            </w:r>
            <w:r>
              <w:rPr>
                <w:bCs/>
                <w:sz w:val="20"/>
                <w:szCs w:val="20"/>
                <w:shd w:fill="FFFFFF" w:val="clear"/>
                <w:lang w:bidi="ru-RU"/>
              </w:rPr>
              <w:t xml:space="preserve"> </w:t>
            </w:r>
          </w:p>
        </w:tc>
        <w:tc>
          <w:tcPr>
            <w:tcW w:w="1989" w:type="dxa"/>
            <w:tcBorders>
              <w:left w:val="nil"/>
              <w:right w:val="nil"/>
            </w:tcBorders>
          </w:tcPr>
          <w:p>
            <w:pPr>
              <w:pStyle w:val="Normal"/>
              <w:spacing w:lineRule="auto" w:line="240"/>
              <w:jc w:val="left"/>
              <w:rPr>
                <w:sz w:val="20"/>
                <w:szCs w:val="20"/>
              </w:rPr>
            </w:pPr>
            <w:r>
              <w:rPr>
                <w:sz w:val="20"/>
                <w:szCs w:val="20"/>
                <w:lang w:eastAsia="en-US"/>
              </w:rPr>
              <w:t xml:space="preserve">с. Катенино </w:t>
            </w:r>
            <w:r>
              <w:rPr>
                <w:bCs/>
                <w:sz w:val="20"/>
                <w:szCs w:val="20"/>
                <w:shd w:fill="FFFFFF" w:val="clear"/>
                <w:lang w:eastAsia="en-US" w:bidi="ru-RU"/>
              </w:rPr>
              <w:t xml:space="preserve"> </w:t>
            </w:r>
          </w:p>
        </w:tc>
        <w:tc>
          <w:tcPr>
            <w:tcW w:w="1132" w:type="dxa"/>
            <w:tcBorders>
              <w:left w:val="nil"/>
              <w:right w:val="nil"/>
            </w:tcBorders>
          </w:tcPr>
          <w:p>
            <w:pPr>
              <w:pStyle w:val="Normal"/>
              <w:spacing w:lineRule="auto" w:line="240"/>
              <w:jc w:val="center"/>
              <w:rPr>
                <w:bCs/>
                <w:sz w:val="20"/>
                <w:szCs w:val="20"/>
                <w:highlight w:val="white"/>
                <w:lang w:bidi="ru-RU"/>
              </w:rPr>
            </w:pPr>
            <w:r>
              <w:rPr>
                <w:bCs/>
                <w:sz w:val="20"/>
                <w:szCs w:val="20"/>
                <w:shd w:fill="FFFFFF" w:val="clear"/>
                <w:lang w:eastAsia="en-US" w:bidi="ru-RU"/>
              </w:rPr>
              <w:t>-</w:t>
            </w:r>
          </w:p>
        </w:tc>
        <w:tc>
          <w:tcPr>
            <w:tcW w:w="1419" w:type="dxa"/>
            <w:tcBorders>
              <w:left w:val="nil"/>
              <w:right w:val="nil"/>
            </w:tcBorders>
          </w:tcPr>
          <w:p>
            <w:pPr>
              <w:pStyle w:val="Normal"/>
              <w:spacing w:lineRule="auto" w:line="240"/>
              <w:jc w:val="center"/>
              <w:rPr>
                <w:sz w:val="20"/>
                <w:szCs w:val="20"/>
              </w:rPr>
            </w:pPr>
            <w:r>
              <w:rPr>
                <w:sz w:val="20"/>
                <w:szCs w:val="20"/>
                <w:lang w:eastAsia="en-US"/>
              </w:rPr>
              <w:t>2</w:t>
            </w:r>
          </w:p>
        </w:tc>
        <w:tc>
          <w:tcPr>
            <w:tcW w:w="1987" w:type="dxa"/>
            <w:tcBorders>
              <w:left w:val="nil"/>
              <w:right w:val="nil"/>
            </w:tcBorders>
          </w:tcPr>
          <w:p>
            <w:pPr>
              <w:pStyle w:val="Normal"/>
              <w:spacing w:lineRule="auto" w:line="240"/>
              <w:jc w:val="center"/>
              <w:rPr>
                <w:bCs/>
                <w:sz w:val="20"/>
                <w:szCs w:val="20"/>
                <w:highlight w:val="white"/>
                <w:lang w:bidi="ru-RU"/>
              </w:rPr>
            </w:pPr>
            <w:r>
              <w:rPr>
                <w:bCs/>
                <w:sz w:val="20"/>
                <w:szCs w:val="20"/>
                <w:shd w:fill="FFFFFF" w:val="clear"/>
                <w:lang w:eastAsia="en-US" w:bidi="ru-RU"/>
              </w:rPr>
              <w:t>-</w:t>
            </w:r>
          </w:p>
        </w:tc>
        <w:tc>
          <w:tcPr>
            <w:tcW w:w="1380" w:type="dxa"/>
            <w:tcBorders>
              <w:left w:val="nil"/>
            </w:tcBorders>
          </w:tcPr>
          <w:p>
            <w:pPr>
              <w:pStyle w:val="Normal"/>
              <w:spacing w:lineRule="auto" w:line="240"/>
              <w:jc w:val="center"/>
              <w:rPr>
                <w:bCs/>
                <w:sz w:val="20"/>
                <w:szCs w:val="20"/>
                <w:highlight w:val="white"/>
                <w:lang w:bidi="ru-RU"/>
              </w:rPr>
            </w:pPr>
            <w:r>
              <w:rPr>
                <w:bCs/>
                <w:sz w:val="20"/>
                <w:szCs w:val="20"/>
                <w:shd w:fill="FFFFFF" w:val="clear"/>
                <w:lang w:eastAsia="en-US" w:bidi="ru-RU"/>
              </w:rPr>
              <w:t>-</w:t>
            </w:r>
          </w:p>
        </w:tc>
      </w:tr>
      <w:tr>
        <w:trPr>
          <w:trHeight w:val="20" w:hRule="atLeast"/>
        </w:trPr>
        <w:tc>
          <w:tcPr>
            <w:tcW w:w="397" w:type="dxa"/>
            <w:tcBorders>
              <w:right w:val="nil"/>
            </w:tcBorders>
          </w:tcPr>
          <w:p>
            <w:pPr>
              <w:pStyle w:val="Normal"/>
              <w:widowControl w:val="false"/>
              <w:spacing w:lineRule="auto" w:line="240"/>
              <w:jc w:val="center"/>
              <w:rPr>
                <w:rFonts w:eastAsia="Times New Roman"/>
                <w:bCs/>
                <w:sz w:val="20"/>
                <w:szCs w:val="20"/>
                <w:highlight w:val="white"/>
                <w:lang w:bidi="ru-RU"/>
              </w:rPr>
            </w:pPr>
            <w:r>
              <w:rPr>
                <w:rFonts w:eastAsia="Times New Roman"/>
                <w:bCs/>
                <w:sz w:val="20"/>
                <w:szCs w:val="20"/>
                <w:shd w:fill="FFFFFF" w:val="clear"/>
                <w:lang w:eastAsia="en-US" w:bidi="ru-RU"/>
              </w:rPr>
              <w:t>3</w:t>
            </w:r>
          </w:p>
        </w:tc>
        <w:tc>
          <w:tcPr>
            <w:tcW w:w="877" w:type="dxa"/>
            <w:tcBorders>
              <w:left w:val="nil"/>
              <w:right w:val="nil"/>
            </w:tcBorders>
          </w:tcPr>
          <w:p>
            <w:pPr>
              <w:pStyle w:val="Normal"/>
              <w:spacing w:lineRule="auto" w:line="240"/>
              <w:jc w:val="center"/>
              <w:rPr>
                <w:sz w:val="20"/>
                <w:szCs w:val="20"/>
              </w:rPr>
            </w:pPr>
            <w:r>
              <w:rPr>
                <w:sz w:val="20"/>
                <w:szCs w:val="20"/>
                <w:lang w:eastAsia="en-US"/>
              </w:rPr>
              <w:t>З.6.3</w:t>
            </w:r>
          </w:p>
        </w:tc>
        <w:tc>
          <w:tcPr>
            <w:tcW w:w="2125" w:type="dxa"/>
            <w:tcBorders>
              <w:left w:val="nil"/>
              <w:right w:val="nil"/>
            </w:tcBorders>
          </w:tcPr>
          <w:p>
            <w:pPr>
              <w:pStyle w:val="Normal"/>
              <w:widowControl w:val="false"/>
              <w:spacing w:lineRule="auto" w:line="240"/>
              <w:jc w:val="left"/>
              <w:rPr>
                <w:sz w:val="20"/>
                <w:szCs w:val="20"/>
              </w:rPr>
            </w:pPr>
            <w:r>
              <w:rPr>
                <w:bCs/>
                <w:sz w:val="20"/>
                <w:szCs w:val="20"/>
                <w:shd w:fill="FFFFFF" w:val="clear"/>
                <w:lang w:eastAsia="en-US" w:bidi="ru-RU"/>
              </w:rPr>
              <w:t>Фельдшерско-акушерский пункт</w:t>
            </w:r>
          </w:p>
        </w:tc>
        <w:tc>
          <w:tcPr>
            <w:tcW w:w="3262" w:type="dxa"/>
            <w:tcBorders>
              <w:left w:val="nil"/>
              <w:right w:val="nil"/>
            </w:tcBorders>
          </w:tcPr>
          <w:p>
            <w:pPr>
              <w:pStyle w:val="Normal"/>
              <w:spacing w:lineRule="auto" w:line="240"/>
              <w:jc w:val="left"/>
              <w:rPr>
                <w:sz w:val="20"/>
                <w:szCs w:val="20"/>
              </w:rPr>
            </w:pPr>
            <w:r>
              <w:rPr>
                <w:bCs/>
                <w:sz w:val="20"/>
                <w:szCs w:val="20"/>
                <w:shd w:fill="FFFFFF" w:val="clear"/>
                <w:lang w:eastAsia="en-US" w:bidi="ru-RU"/>
              </w:rPr>
              <w:t>Челябинская область, Варненский муниципальный район, Катенинское сельское поселение, п. Комсомольский</w:t>
            </w:r>
          </w:p>
        </w:tc>
        <w:tc>
          <w:tcPr>
            <w:tcW w:w="1989" w:type="dxa"/>
            <w:tcBorders>
              <w:left w:val="nil"/>
              <w:right w:val="nil"/>
            </w:tcBorders>
          </w:tcPr>
          <w:p>
            <w:pPr>
              <w:pStyle w:val="Normal"/>
              <w:spacing w:lineRule="auto" w:line="240"/>
              <w:jc w:val="left"/>
              <w:rPr>
                <w:sz w:val="20"/>
                <w:szCs w:val="20"/>
              </w:rPr>
            </w:pPr>
            <w:r>
              <w:rPr>
                <w:bCs/>
                <w:sz w:val="20"/>
                <w:szCs w:val="20"/>
                <w:shd w:fill="FFFFFF" w:val="clear"/>
                <w:lang w:eastAsia="en-US" w:bidi="ru-RU"/>
              </w:rPr>
              <w:t>п. Комсомольский</w:t>
            </w:r>
          </w:p>
        </w:tc>
        <w:tc>
          <w:tcPr>
            <w:tcW w:w="1132" w:type="dxa"/>
            <w:tcBorders>
              <w:left w:val="nil"/>
              <w:right w:val="nil"/>
            </w:tcBorders>
          </w:tcPr>
          <w:p>
            <w:pPr>
              <w:pStyle w:val="Normal"/>
              <w:spacing w:lineRule="auto" w:line="240"/>
              <w:jc w:val="center"/>
              <w:rPr>
                <w:bCs/>
                <w:sz w:val="20"/>
                <w:szCs w:val="20"/>
                <w:highlight w:val="white"/>
                <w:lang w:bidi="ru-RU"/>
              </w:rPr>
            </w:pPr>
            <w:r>
              <w:rPr>
                <w:bCs/>
                <w:sz w:val="20"/>
                <w:szCs w:val="20"/>
                <w:shd w:fill="FFFFFF" w:val="clear"/>
                <w:lang w:eastAsia="en-US" w:bidi="ru-RU"/>
              </w:rPr>
              <w:t>-</w:t>
            </w:r>
          </w:p>
        </w:tc>
        <w:tc>
          <w:tcPr>
            <w:tcW w:w="1419" w:type="dxa"/>
            <w:tcBorders>
              <w:left w:val="nil"/>
              <w:right w:val="nil"/>
            </w:tcBorders>
          </w:tcPr>
          <w:p>
            <w:pPr>
              <w:pStyle w:val="Normal"/>
              <w:spacing w:lineRule="auto" w:line="240"/>
              <w:jc w:val="center"/>
              <w:rPr>
                <w:sz w:val="20"/>
                <w:szCs w:val="20"/>
              </w:rPr>
            </w:pPr>
            <w:r>
              <w:rPr>
                <w:sz w:val="20"/>
                <w:szCs w:val="20"/>
                <w:lang w:eastAsia="en-US"/>
              </w:rPr>
              <w:t>3</w:t>
            </w:r>
          </w:p>
        </w:tc>
        <w:tc>
          <w:tcPr>
            <w:tcW w:w="1987" w:type="dxa"/>
            <w:tcBorders>
              <w:left w:val="nil"/>
              <w:right w:val="nil"/>
            </w:tcBorders>
          </w:tcPr>
          <w:p>
            <w:pPr>
              <w:pStyle w:val="Normal"/>
              <w:spacing w:lineRule="auto" w:line="240"/>
              <w:jc w:val="center"/>
              <w:rPr>
                <w:bCs/>
                <w:sz w:val="20"/>
                <w:szCs w:val="20"/>
                <w:highlight w:val="white"/>
                <w:lang w:bidi="ru-RU"/>
              </w:rPr>
            </w:pPr>
            <w:r>
              <w:rPr>
                <w:bCs/>
                <w:sz w:val="20"/>
                <w:szCs w:val="20"/>
                <w:shd w:fill="FFFFFF" w:val="clear"/>
                <w:lang w:eastAsia="en-US" w:bidi="ru-RU"/>
              </w:rPr>
              <w:t>-</w:t>
            </w:r>
          </w:p>
        </w:tc>
        <w:tc>
          <w:tcPr>
            <w:tcW w:w="1380" w:type="dxa"/>
            <w:tcBorders>
              <w:left w:val="nil"/>
            </w:tcBorders>
          </w:tcPr>
          <w:p>
            <w:pPr>
              <w:pStyle w:val="Normal"/>
              <w:spacing w:lineRule="auto" w:line="240"/>
              <w:jc w:val="center"/>
              <w:rPr>
                <w:bCs/>
                <w:sz w:val="20"/>
                <w:szCs w:val="20"/>
                <w:highlight w:val="white"/>
                <w:lang w:bidi="ru-RU"/>
              </w:rPr>
            </w:pPr>
            <w:r>
              <w:rPr>
                <w:bCs/>
                <w:sz w:val="20"/>
                <w:szCs w:val="20"/>
                <w:shd w:fill="FFFFFF" w:val="clear"/>
                <w:lang w:eastAsia="en-US" w:bidi="ru-RU"/>
              </w:rPr>
              <w:t>-</w:t>
            </w:r>
          </w:p>
        </w:tc>
      </w:tr>
      <w:tr>
        <w:trPr>
          <w:trHeight w:val="20" w:hRule="atLeast"/>
        </w:trPr>
        <w:tc>
          <w:tcPr>
            <w:tcW w:w="397" w:type="dxa"/>
            <w:tcBorders>
              <w:right w:val="nil"/>
            </w:tcBorders>
          </w:tcPr>
          <w:p>
            <w:pPr>
              <w:pStyle w:val="Normal"/>
              <w:widowControl w:val="false"/>
              <w:spacing w:lineRule="auto" w:line="240"/>
              <w:jc w:val="center"/>
              <w:rPr>
                <w:rFonts w:eastAsia="Times New Roman"/>
                <w:bCs/>
                <w:sz w:val="20"/>
                <w:szCs w:val="20"/>
                <w:highlight w:val="white"/>
                <w:lang w:bidi="ru-RU"/>
              </w:rPr>
            </w:pPr>
            <w:r>
              <w:rPr>
                <w:rFonts w:eastAsia="Times New Roman"/>
                <w:bCs/>
                <w:sz w:val="20"/>
                <w:szCs w:val="20"/>
                <w:shd w:fill="FFFFFF" w:val="clear"/>
                <w:lang w:eastAsia="en-US" w:bidi="ru-RU"/>
              </w:rPr>
              <w:t>4</w:t>
            </w:r>
          </w:p>
        </w:tc>
        <w:tc>
          <w:tcPr>
            <w:tcW w:w="877" w:type="dxa"/>
            <w:tcBorders>
              <w:left w:val="nil"/>
              <w:right w:val="nil"/>
            </w:tcBorders>
          </w:tcPr>
          <w:p>
            <w:pPr>
              <w:pStyle w:val="Normal"/>
              <w:spacing w:lineRule="auto" w:line="240"/>
              <w:jc w:val="center"/>
              <w:rPr>
                <w:sz w:val="20"/>
                <w:szCs w:val="20"/>
              </w:rPr>
            </w:pPr>
            <w:r>
              <w:rPr>
                <w:sz w:val="20"/>
                <w:szCs w:val="20"/>
                <w:lang w:eastAsia="en-US"/>
              </w:rPr>
              <w:t>З.6.4</w:t>
            </w:r>
          </w:p>
        </w:tc>
        <w:tc>
          <w:tcPr>
            <w:tcW w:w="2125" w:type="dxa"/>
            <w:tcBorders>
              <w:left w:val="nil"/>
              <w:right w:val="nil"/>
            </w:tcBorders>
          </w:tcPr>
          <w:p>
            <w:pPr>
              <w:pStyle w:val="Normal"/>
              <w:widowControl w:val="false"/>
              <w:spacing w:lineRule="auto" w:line="240"/>
              <w:jc w:val="left"/>
              <w:rPr>
                <w:bCs/>
                <w:sz w:val="20"/>
                <w:szCs w:val="20"/>
                <w:highlight w:val="white"/>
                <w:lang w:bidi="ru-RU"/>
              </w:rPr>
            </w:pPr>
            <w:r>
              <w:rPr>
                <w:bCs/>
                <w:sz w:val="20"/>
                <w:szCs w:val="20"/>
                <w:shd w:fill="FFFFFF" w:val="clear"/>
                <w:lang w:eastAsia="en-US" w:bidi="ru-RU"/>
              </w:rPr>
              <w:t>Фельдшерско-акушерский пункт</w:t>
            </w:r>
          </w:p>
        </w:tc>
        <w:tc>
          <w:tcPr>
            <w:tcW w:w="3262" w:type="dxa"/>
            <w:tcBorders>
              <w:left w:val="nil"/>
              <w:right w:val="nil"/>
            </w:tcBorders>
          </w:tcPr>
          <w:p>
            <w:pPr>
              <w:pStyle w:val="Normal"/>
              <w:spacing w:lineRule="auto" w:line="240"/>
              <w:jc w:val="left"/>
              <w:rPr>
                <w:bCs/>
                <w:sz w:val="20"/>
                <w:szCs w:val="20"/>
                <w:highlight w:val="white"/>
                <w:lang w:bidi="ru-RU"/>
              </w:rPr>
            </w:pPr>
            <w:r>
              <w:rPr>
                <w:bCs/>
                <w:sz w:val="20"/>
                <w:szCs w:val="20"/>
                <w:shd w:fill="FFFFFF" w:val="clear"/>
                <w:lang w:eastAsia="en-US" w:bidi="ru-RU"/>
              </w:rPr>
              <w:t>Челябинская область, Варненский муниципальный район, Катенинское сельское поселение,</w:t>
            </w:r>
            <w:r>
              <w:rPr>
                <w:sz w:val="20"/>
                <w:szCs w:val="20"/>
                <w:lang w:eastAsia="en-US"/>
              </w:rPr>
              <w:t xml:space="preserve"> п. Красноармейский</w:t>
            </w:r>
          </w:p>
        </w:tc>
        <w:tc>
          <w:tcPr>
            <w:tcW w:w="1989" w:type="dxa"/>
            <w:tcBorders>
              <w:left w:val="nil"/>
              <w:right w:val="nil"/>
            </w:tcBorders>
          </w:tcPr>
          <w:p>
            <w:pPr>
              <w:pStyle w:val="Normal"/>
              <w:spacing w:lineRule="auto" w:line="240"/>
              <w:jc w:val="left"/>
              <w:rPr>
                <w:bCs/>
                <w:sz w:val="20"/>
                <w:szCs w:val="20"/>
                <w:highlight w:val="white"/>
                <w:lang w:bidi="ru-RU"/>
              </w:rPr>
            </w:pPr>
            <w:r>
              <w:rPr>
                <w:sz w:val="20"/>
                <w:szCs w:val="20"/>
                <w:lang w:eastAsia="en-US"/>
              </w:rPr>
              <w:t>п. Красноармейский</w:t>
            </w:r>
          </w:p>
        </w:tc>
        <w:tc>
          <w:tcPr>
            <w:tcW w:w="1132" w:type="dxa"/>
            <w:tcBorders>
              <w:left w:val="nil"/>
              <w:right w:val="nil"/>
            </w:tcBorders>
          </w:tcPr>
          <w:p>
            <w:pPr>
              <w:pStyle w:val="Normal"/>
              <w:spacing w:lineRule="auto" w:line="240"/>
              <w:jc w:val="center"/>
              <w:rPr>
                <w:bCs/>
                <w:sz w:val="20"/>
                <w:szCs w:val="20"/>
                <w:highlight w:val="white"/>
                <w:lang w:bidi="ru-RU"/>
              </w:rPr>
            </w:pPr>
            <w:r>
              <w:rPr>
                <w:bCs/>
                <w:sz w:val="20"/>
                <w:szCs w:val="20"/>
                <w:shd w:fill="FFFFFF" w:val="clear"/>
                <w:lang w:eastAsia="en-US" w:bidi="ru-RU"/>
              </w:rPr>
              <w:t>-</w:t>
            </w:r>
          </w:p>
        </w:tc>
        <w:tc>
          <w:tcPr>
            <w:tcW w:w="1419" w:type="dxa"/>
            <w:tcBorders>
              <w:left w:val="nil"/>
              <w:right w:val="nil"/>
            </w:tcBorders>
          </w:tcPr>
          <w:p>
            <w:pPr>
              <w:pStyle w:val="Normal"/>
              <w:spacing w:lineRule="auto" w:line="240"/>
              <w:jc w:val="center"/>
              <w:rPr>
                <w:sz w:val="20"/>
                <w:szCs w:val="20"/>
              </w:rPr>
            </w:pPr>
            <w:r>
              <w:rPr>
                <w:sz w:val="20"/>
                <w:szCs w:val="20"/>
                <w:lang w:eastAsia="en-US"/>
              </w:rPr>
              <w:t>3</w:t>
            </w:r>
          </w:p>
        </w:tc>
        <w:tc>
          <w:tcPr>
            <w:tcW w:w="1987" w:type="dxa"/>
            <w:tcBorders>
              <w:left w:val="nil"/>
              <w:right w:val="nil"/>
            </w:tcBorders>
          </w:tcPr>
          <w:p>
            <w:pPr>
              <w:pStyle w:val="Normal"/>
              <w:spacing w:lineRule="auto" w:line="240"/>
              <w:jc w:val="center"/>
              <w:rPr>
                <w:bCs/>
                <w:sz w:val="20"/>
                <w:szCs w:val="20"/>
                <w:highlight w:val="white"/>
                <w:lang w:bidi="ru-RU"/>
              </w:rPr>
            </w:pPr>
            <w:r>
              <w:rPr>
                <w:bCs/>
                <w:sz w:val="20"/>
                <w:szCs w:val="20"/>
                <w:shd w:fill="FFFFFF" w:val="clear"/>
                <w:lang w:eastAsia="en-US" w:bidi="ru-RU"/>
              </w:rPr>
              <w:t>-</w:t>
            </w:r>
          </w:p>
        </w:tc>
        <w:tc>
          <w:tcPr>
            <w:tcW w:w="1380" w:type="dxa"/>
            <w:tcBorders>
              <w:left w:val="nil"/>
            </w:tcBorders>
          </w:tcPr>
          <w:p>
            <w:pPr>
              <w:pStyle w:val="Normal"/>
              <w:spacing w:lineRule="auto" w:line="240"/>
              <w:jc w:val="center"/>
              <w:rPr>
                <w:bCs/>
                <w:sz w:val="20"/>
                <w:szCs w:val="20"/>
                <w:highlight w:val="white"/>
                <w:lang w:bidi="ru-RU"/>
              </w:rPr>
            </w:pPr>
            <w:r>
              <w:rPr>
                <w:bCs/>
                <w:sz w:val="20"/>
                <w:szCs w:val="20"/>
                <w:shd w:fill="FFFFFF" w:val="clear"/>
                <w:lang w:eastAsia="en-US" w:bidi="ru-RU"/>
              </w:rPr>
              <w:t>-</w:t>
            </w:r>
          </w:p>
        </w:tc>
      </w:tr>
    </w:tbl>
    <w:p>
      <w:pPr>
        <w:sectPr>
          <w:headerReference w:type="default" r:id="rId80"/>
          <w:footerReference w:type="default" r:id="rId81"/>
          <w:type w:val="nextPage"/>
          <w:pgSz w:orient="landscape" w:w="16838" w:h="11906"/>
          <w:pgMar w:left="1134" w:right="1134" w:header="567" w:top="1418" w:footer="567" w:bottom="624" w:gutter="0"/>
          <w:pgNumType w:fmt="decimal"/>
          <w:formProt w:val="false"/>
          <w:textDirection w:val="lrTb"/>
          <w:docGrid w:type="default" w:linePitch="360" w:charSpace="0"/>
        </w:sectPr>
      </w:pPr>
    </w:p>
    <w:p>
      <w:pPr>
        <w:pStyle w:val="Normal"/>
        <w:spacing w:lineRule="auto" w:line="276" w:before="120" w:after="200"/>
        <w:ind w:firstLine="709"/>
        <w:jc w:val="left"/>
        <w:rPr>
          <w:b/>
          <w:b/>
        </w:rPr>
      </w:pPr>
      <w:r>
        <w:rPr>
          <w:b/>
        </w:rPr>
        <w:t>Информация об основных проблемах и ограничениях</w:t>
      </w:r>
    </w:p>
    <w:p>
      <w:pPr>
        <w:pStyle w:val="Normal"/>
        <w:spacing w:lineRule="auto" w:line="276"/>
        <w:ind w:firstLine="708"/>
        <w:rPr>
          <w:szCs w:val="24"/>
        </w:rPr>
      </w:pPr>
      <w:r>
        <w:rPr>
          <w:szCs w:val="24"/>
        </w:rPr>
        <w:t>Для объектов системы здравоохранения сельского поселения характерны следующие проблемы:</w:t>
      </w:r>
    </w:p>
    <w:p>
      <w:pPr>
        <w:pStyle w:val="Normal"/>
        <w:widowControl w:val="false"/>
        <w:numPr>
          <w:ilvl w:val="0"/>
          <w:numId w:val="9"/>
        </w:numPr>
        <w:tabs>
          <w:tab w:val="clear" w:pos="708"/>
          <w:tab w:val="left" w:pos="709" w:leader="none"/>
        </w:tabs>
        <w:spacing w:lineRule="auto" w:line="276" w:before="0" w:after="200"/>
        <w:ind w:left="0" w:firstLine="426"/>
        <w:contextualSpacing/>
        <w:rPr>
          <w:szCs w:val="24"/>
        </w:rPr>
      </w:pPr>
      <w:r>
        <w:rPr>
          <w:szCs w:val="24"/>
        </w:rPr>
        <w:t>недостаточный уровень развития материально-технической базы учреждений здравоохранения;</w:t>
      </w:r>
    </w:p>
    <w:p>
      <w:pPr>
        <w:pStyle w:val="Normal"/>
        <w:widowControl w:val="false"/>
        <w:numPr>
          <w:ilvl w:val="0"/>
          <w:numId w:val="9"/>
        </w:numPr>
        <w:tabs>
          <w:tab w:val="clear" w:pos="708"/>
          <w:tab w:val="left" w:pos="709" w:leader="none"/>
        </w:tabs>
        <w:spacing w:lineRule="auto" w:line="276"/>
        <w:ind w:left="0" w:firstLine="426"/>
        <w:rPr>
          <w:szCs w:val="24"/>
        </w:rPr>
      </w:pPr>
      <w:r>
        <w:rPr>
          <w:rFonts w:eastAsia="Times New Roman"/>
          <w:szCs w:val="24"/>
          <w:lang w:eastAsia="ru-RU"/>
        </w:rPr>
        <w:t>дефицит врачей и среднего медицинского персонала, высокий уровень наличия кадров пенсионного возраста.</w:t>
      </w:r>
    </w:p>
    <w:p>
      <w:pPr>
        <w:pStyle w:val="Normal"/>
        <w:spacing w:lineRule="auto" w:line="276"/>
        <w:ind w:firstLine="709"/>
        <w:jc w:val="left"/>
        <w:rPr>
          <w:b/>
          <w:b/>
        </w:rPr>
      </w:pPr>
      <w:r>
        <w:rPr>
          <w:b/>
        </w:rPr>
        <w:t>Направления развития</w:t>
      </w:r>
    </w:p>
    <w:p>
      <w:pPr>
        <w:pStyle w:val="Normal"/>
        <w:spacing w:lineRule="auto" w:line="276"/>
        <w:ind w:firstLine="709"/>
        <w:rPr>
          <w:b/>
          <w:b/>
        </w:rPr>
      </w:pPr>
      <w:r>
        <w:rPr/>
        <w:t xml:space="preserve">Генеральным планом мероприятия по размещению планируемых </w:t>
      </w:r>
      <w:r>
        <w:rPr>
          <w:rFonts w:eastAsia="Times New Roman"/>
          <w:szCs w:val="24"/>
          <w:lang w:eastAsia="ru-RU"/>
        </w:rPr>
        <w:t>объектов в области здравоохранения</w:t>
      </w:r>
      <w:r>
        <w:rPr/>
        <w:t xml:space="preserve"> или по реконструкции таких объектов не предусматриваются.</w:t>
      </w:r>
    </w:p>
    <w:p>
      <w:pPr>
        <w:pStyle w:val="0212161"/>
        <w:rPr>
          <w:b/>
          <w:b/>
        </w:rPr>
      </w:pPr>
      <w:bookmarkStart w:id="125" w:name="_Toc182210469"/>
      <w:r>
        <w:rPr/>
        <w:t>5.2.5 Социальное обслуживание</w:t>
      </w:r>
      <w:bookmarkEnd w:id="125"/>
    </w:p>
    <w:p>
      <w:pPr>
        <w:pStyle w:val="Normal"/>
        <w:spacing w:lineRule="auto" w:line="276" w:before="120" w:after="200"/>
        <w:ind w:firstLine="709"/>
        <w:jc w:val="left"/>
        <w:rPr>
          <w:b/>
          <w:b/>
          <w:szCs w:val="24"/>
        </w:rPr>
      </w:pPr>
      <w:r>
        <w:rPr>
          <w:b/>
          <w:szCs w:val="24"/>
        </w:rPr>
        <w:t>Анализ существующего состояния</w:t>
      </w:r>
    </w:p>
    <w:p>
      <w:pPr>
        <w:pStyle w:val="Normal"/>
        <w:widowControl w:val="false"/>
        <w:tabs>
          <w:tab w:val="clear" w:pos="708"/>
          <w:tab w:val="left" w:pos="709" w:leader="none"/>
          <w:tab w:val="left" w:pos="851" w:leader="none"/>
        </w:tabs>
        <w:spacing w:lineRule="auto" w:line="276"/>
        <w:ind w:firstLine="709"/>
        <w:rPr>
          <w:rFonts w:eastAsia="Times New Roman"/>
          <w:szCs w:val="24"/>
          <w:lang w:eastAsia="ru-RU"/>
        </w:rPr>
      </w:pPr>
      <w:r>
        <w:rPr>
          <w:rFonts w:eastAsia="Times New Roman"/>
          <w:szCs w:val="24"/>
          <w:lang w:eastAsia="ru-RU"/>
        </w:rPr>
        <w:t>На территории Катенинского сельского поселения отсутствуют объекты социального обслуживания.</w:t>
      </w:r>
    </w:p>
    <w:p>
      <w:pPr>
        <w:pStyle w:val="Normal"/>
        <w:spacing w:lineRule="auto" w:line="276"/>
        <w:ind w:firstLine="709"/>
        <w:jc w:val="left"/>
        <w:rPr>
          <w:b/>
          <w:b/>
          <w:szCs w:val="24"/>
        </w:rPr>
      </w:pPr>
      <w:r>
        <w:rPr>
          <w:b/>
          <w:szCs w:val="24"/>
        </w:rPr>
        <w:t>Направления развития</w:t>
      </w:r>
    </w:p>
    <w:p>
      <w:pPr>
        <w:pStyle w:val="Normal"/>
        <w:spacing w:lineRule="auto" w:line="276"/>
        <w:ind w:firstLine="709"/>
        <w:rPr>
          <w:b/>
          <w:b/>
        </w:rPr>
      </w:pPr>
      <w:r>
        <w:rPr/>
        <w:t>Генеральным планом мероприятия по размещению планируемых объектов местного значения в области социального обслуживания или по реконструкции таких объектов не предусматриваются.</w:t>
      </w:r>
    </w:p>
    <w:p>
      <w:pPr>
        <w:pStyle w:val="Normal"/>
        <w:keepNext w:val="true"/>
        <w:numPr>
          <w:ilvl w:val="0"/>
          <w:numId w:val="0"/>
        </w:numPr>
        <w:tabs>
          <w:tab w:val="clear" w:pos="708"/>
          <w:tab w:val="left" w:pos="709" w:leader="none"/>
        </w:tabs>
        <w:spacing w:lineRule="auto" w:line="276" w:before="120" w:after="200"/>
        <w:jc w:val="left"/>
        <w:outlineLvl w:val="3"/>
        <w:rPr>
          <w:rFonts w:eastAsia="Times New Roman"/>
          <w:b/>
          <w:b/>
        </w:rPr>
      </w:pPr>
      <w:bookmarkStart w:id="126" w:name="_Toc182210470"/>
      <w:bookmarkStart w:id="127" w:name="_Toc126662677"/>
      <w:bookmarkStart w:id="128" w:name="_Toc121747708"/>
      <w:r>
        <w:rPr>
          <w:rFonts w:eastAsia="Times New Roman"/>
          <w:b/>
        </w:rPr>
        <w:t>5.2.6 Объекты отдыха и туризма</w:t>
      </w:r>
      <w:bookmarkEnd w:id="126"/>
      <w:bookmarkEnd w:id="127"/>
      <w:bookmarkEnd w:id="128"/>
    </w:p>
    <w:p>
      <w:pPr>
        <w:pStyle w:val="Normal"/>
        <w:spacing w:lineRule="auto" w:line="276" w:before="120" w:after="200"/>
        <w:ind w:firstLine="709"/>
        <w:rPr>
          <w:b/>
          <w:b/>
        </w:rPr>
      </w:pPr>
      <w:r>
        <w:rPr>
          <w:b/>
        </w:rPr>
        <w:t>Анализ существующего состояния</w:t>
      </w:r>
    </w:p>
    <w:p>
      <w:pPr>
        <w:pStyle w:val="Normal"/>
        <w:spacing w:lineRule="auto" w:line="276"/>
        <w:ind w:firstLine="709"/>
        <w:rPr>
          <w:b/>
          <w:b/>
        </w:rPr>
      </w:pPr>
      <w:r>
        <w:rPr/>
        <w:t xml:space="preserve">На территории </w:t>
      </w:r>
      <w:r>
        <w:rPr>
          <w:rFonts w:eastAsia="Times New Roman"/>
          <w:szCs w:val="24"/>
          <w:lang w:eastAsia="ru-RU"/>
        </w:rPr>
        <w:t xml:space="preserve">Катенинского сельского поселения </w:t>
      </w:r>
      <w:r>
        <w:rPr/>
        <w:t>в настоящее время отсутствуют объекты отдыха и туризма.</w:t>
      </w:r>
    </w:p>
    <w:p>
      <w:pPr>
        <w:pStyle w:val="Normal"/>
        <w:spacing w:lineRule="auto" w:line="276"/>
        <w:ind w:firstLine="709"/>
        <w:rPr>
          <w:b/>
          <w:b/>
          <w:szCs w:val="24"/>
        </w:rPr>
      </w:pPr>
      <w:r>
        <w:rPr>
          <w:b/>
          <w:szCs w:val="24"/>
        </w:rPr>
        <w:t>Направления развития</w:t>
      </w:r>
    </w:p>
    <w:p>
      <w:pPr>
        <w:pStyle w:val="Normal"/>
        <w:spacing w:lineRule="auto" w:line="276"/>
        <w:ind w:firstLine="709"/>
        <w:rPr>
          <w:b/>
          <w:b/>
        </w:rPr>
      </w:pPr>
      <w:r>
        <w:rPr/>
        <w:t>Генеральным планом мероприятия по размещению планируемых объектов местного значения в области отдыха и туризма или по реконструкции таких объектов не предусматриваются.</w:t>
      </w:r>
    </w:p>
    <w:p>
      <w:pPr>
        <w:pStyle w:val="0212161"/>
        <w:rPr>
          <w:b/>
          <w:b/>
        </w:rPr>
      </w:pPr>
      <w:bookmarkStart w:id="129" w:name="_Toc494398051"/>
      <w:bookmarkStart w:id="130" w:name="_Toc493330208"/>
      <w:bookmarkStart w:id="131" w:name="_Toc413402225"/>
      <w:bookmarkStart w:id="132" w:name="_Toc494398048"/>
      <w:bookmarkStart w:id="133" w:name="_Toc477453296"/>
      <w:bookmarkStart w:id="134" w:name="_Toc468200606"/>
      <w:bookmarkStart w:id="135" w:name="_Toc182210471"/>
      <w:bookmarkStart w:id="136" w:name="_Toc53143701"/>
      <w:bookmarkEnd w:id="129"/>
      <w:bookmarkEnd w:id="130"/>
      <w:bookmarkEnd w:id="131"/>
      <w:bookmarkEnd w:id="132"/>
      <w:bookmarkEnd w:id="133"/>
      <w:bookmarkEnd w:id="134"/>
      <w:r>
        <w:rPr/>
        <w:t>5.2.7 Прочие объекты обслуживания</w:t>
      </w:r>
      <w:bookmarkEnd w:id="135"/>
      <w:bookmarkEnd w:id="136"/>
    </w:p>
    <w:p>
      <w:pPr>
        <w:pStyle w:val="Normal"/>
        <w:spacing w:lineRule="auto" w:line="276" w:before="120" w:after="200"/>
        <w:ind w:firstLine="709"/>
        <w:jc w:val="left"/>
        <w:rPr>
          <w:b/>
          <w:b/>
        </w:rPr>
      </w:pPr>
      <w:r>
        <w:rPr>
          <w:b/>
        </w:rPr>
        <w:t xml:space="preserve">Анализ </w:t>
      </w:r>
      <w:r>
        <w:rPr>
          <w:b/>
          <w:szCs w:val="24"/>
        </w:rPr>
        <w:t>существующего</w:t>
      </w:r>
      <w:r>
        <w:rPr>
          <w:b/>
        </w:rPr>
        <w:t xml:space="preserve"> состояния</w:t>
      </w:r>
    </w:p>
    <w:p>
      <w:pPr>
        <w:pStyle w:val="Normal"/>
        <w:spacing w:lineRule="auto" w:line="276"/>
        <w:ind w:firstLine="709"/>
        <w:rPr>
          <w:szCs w:val="24"/>
        </w:rPr>
      </w:pPr>
      <w:r>
        <w:rPr>
          <w:szCs w:val="24"/>
        </w:rPr>
        <w:t>В муниципальном образовании функционируют 2 предприятия розничной торговли.</w:t>
      </w:r>
    </w:p>
    <w:p>
      <w:pPr>
        <w:pStyle w:val="BodyTextIndent2"/>
        <w:spacing w:lineRule="auto" w:line="276" w:before="0" w:after="0"/>
        <w:ind w:left="0" w:firstLine="709"/>
        <w:jc w:val="both"/>
        <w:rPr>
          <w:color w:val="000000"/>
        </w:rPr>
      </w:pPr>
      <w:r>
        <w:rPr>
          <w:color w:val="000000"/>
        </w:rPr>
        <w:t xml:space="preserve">Системы </w:t>
      </w:r>
      <w:r>
        <w:rPr/>
        <w:t>розничной торговли и общепита</w:t>
      </w:r>
      <w:r>
        <w:rPr>
          <w:color w:val="000000"/>
        </w:rPr>
        <w:t xml:space="preserve"> на территории муниципального образования формируется объектами иной (частной) формы собственности. </w:t>
      </w:r>
    </w:p>
    <w:p>
      <w:pPr>
        <w:pStyle w:val="BodyTextIndent2"/>
        <w:spacing w:lineRule="auto" w:line="276" w:before="0" w:after="0"/>
        <w:ind w:left="0" w:firstLine="709"/>
        <w:jc w:val="both"/>
        <w:rPr>
          <w:rFonts w:eastAsia="Calibri"/>
          <w:lang w:eastAsia="en-US"/>
        </w:rPr>
      </w:pPr>
      <w:r>
        <w:rPr>
          <w:color w:val="000000"/>
        </w:rPr>
        <w:t xml:space="preserve">Перечень объектов в области </w:t>
      </w:r>
      <w:r>
        <w:rPr/>
        <w:t>обслуживания</w:t>
      </w:r>
      <w:r>
        <w:rPr>
          <w:color w:val="000000"/>
        </w:rPr>
        <w:t xml:space="preserve">, расположенных на территории сельского поселения представлен в таблице 3.5.7. </w:t>
      </w:r>
      <w:r>
        <w:rPr>
          <w:sz w:val="22"/>
          <w:szCs w:val="22"/>
        </w:rPr>
        <w:t>Перечень организаций, учреждений управления и кредитно-финансовых учреждений, и предприятий представлен в таблице 3.5.8.</w:t>
      </w:r>
    </w:p>
    <w:p>
      <w:pPr>
        <w:pStyle w:val="BodyTextIndent2"/>
        <w:spacing w:lineRule="auto" w:line="276" w:before="0" w:after="0"/>
        <w:ind w:left="0" w:firstLine="709"/>
        <w:jc w:val="right"/>
        <w:rPr>
          <w:rFonts w:eastAsia="Calibri"/>
          <w:lang w:eastAsia="en-US"/>
        </w:rPr>
      </w:pPr>
      <w:r>
        <w:rPr>
          <w:rFonts w:eastAsia="Calibri"/>
          <w:lang w:eastAsia="en-US"/>
        </w:rPr>
        <w:t xml:space="preserve">Таблица </w:t>
      </w:r>
      <w:r>
        <w:rPr/>
        <w:t>3.5.7</w:t>
      </w:r>
    </w:p>
    <w:p>
      <w:pPr>
        <w:pStyle w:val="BodyTextIndent2"/>
        <w:spacing w:lineRule="auto" w:line="276" w:before="0" w:after="0"/>
        <w:ind w:left="0" w:hanging="0"/>
        <w:jc w:val="center"/>
        <w:rPr>
          <w:rFonts w:eastAsia="Calibri"/>
          <w:lang w:eastAsia="en-US"/>
        </w:rPr>
      </w:pPr>
      <w:r>
        <w:rPr>
          <w:rFonts w:eastAsia="Calibri"/>
          <w:lang w:eastAsia="en-US"/>
        </w:rPr>
        <w:t xml:space="preserve">Объекты обслуживания, расположенные на территории </w:t>
      </w:r>
      <w:r>
        <w:rPr/>
        <w:t xml:space="preserve">Катенинского сельского поселения </w:t>
      </w:r>
    </w:p>
    <w:tbl>
      <w:tblPr>
        <w:tblStyle w:val="1ff9"/>
        <w:tblW w:w="5000" w:type="pct"/>
        <w:jc w:val="left"/>
        <w:tblInd w:w="-108" w:type="dxa"/>
        <w:tblCellMar>
          <w:top w:w="0" w:type="dxa"/>
          <w:left w:w="108" w:type="dxa"/>
          <w:bottom w:w="0" w:type="dxa"/>
          <w:right w:w="108" w:type="dxa"/>
        </w:tblCellMar>
        <w:tblLook w:firstRow="1" w:noVBand="1" w:lastRow="0" w:firstColumn="1" w:lastColumn="0" w:noHBand="0" w:val="04a0"/>
      </w:tblPr>
      <w:tblGrid>
        <w:gridCol w:w="420"/>
        <w:gridCol w:w="1278"/>
        <w:gridCol w:w="2413"/>
        <w:gridCol w:w="4113"/>
        <w:gridCol w:w="1697"/>
      </w:tblGrid>
      <w:tr>
        <w:trPr>
          <w:trHeight w:val="522" w:hRule="atLeast"/>
        </w:trPr>
        <w:tc>
          <w:tcPr>
            <w:tcW w:w="420" w:type="dxa"/>
            <w:tcBorders>
              <w:bottom w:val="nil"/>
            </w:tcBorders>
            <w:vAlign w:val="center"/>
          </w:tcPr>
          <w:p>
            <w:pPr>
              <w:pStyle w:val="Normal"/>
              <w:widowControl w:val="false"/>
              <w:spacing w:lineRule="auto" w:line="240"/>
              <w:jc w:val="center"/>
              <w:rPr>
                <w:rFonts w:eastAsia="Times New Roman"/>
                <w:b/>
                <w:b/>
                <w:bCs/>
                <w:sz w:val="20"/>
                <w:szCs w:val="20"/>
                <w:highlight w:val="white"/>
                <w:lang w:bidi="ru-RU"/>
              </w:rPr>
            </w:pPr>
            <w:r>
              <w:rPr>
                <w:rFonts w:eastAsia="Times New Roman"/>
                <w:b/>
                <w:bCs/>
                <w:sz w:val="20"/>
                <w:szCs w:val="20"/>
                <w:shd w:fill="FFFFFF" w:val="clear"/>
                <w:lang w:eastAsia="en-US" w:bidi="ru-RU"/>
              </w:rPr>
              <w:t>№</w:t>
            </w:r>
          </w:p>
        </w:tc>
        <w:tc>
          <w:tcPr>
            <w:tcW w:w="1278" w:type="dxa"/>
            <w:tcBorders>
              <w:bottom w:val="nil"/>
            </w:tcBorders>
          </w:tcPr>
          <w:p>
            <w:pPr>
              <w:pStyle w:val="Normal"/>
              <w:spacing w:lineRule="auto" w:line="240"/>
              <w:ind w:right="-2" w:hanging="0"/>
              <w:jc w:val="center"/>
              <w:rPr>
                <w:b/>
                <w:b/>
                <w:bCs/>
                <w:sz w:val="20"/>
                <w:szCs w:val="20"/>
                <w:highlight w:val="white"/>
                <w:lang w:bidi="ru-RU"/>
              </w:rPr>
            </w:pPr>
            <w:r>
              <w:rPr>
                <w:b/>
                <w:bCs/>
                <w:color w:val="000000"/>
                <w:sz w:val="20"/>
                <w:szCs w:val="22"/>
                <w:shd w:fill="FFFFFF" w:val="clear"/>
                <w:lang w:eastAsia="en-US" w:bidi="ru-RU"/>
              </w:rPr>
              <w:t xml:space="preserve">№ </w:t>
            </w:r>
            <w:r>
              <w:rPr>
                <w:b/>
                <w:bCs/>
                <w:color w:val="000000"/>
                <w:sz w:val="20"/>
                <w:szCs w:val="22"/>
                <w:shd w:fill="FFFFFF" w:val="clear"/>
                <w:lang w:eastAsia="en-US" w:bidi="ru-RU"/>
              </w:rPr>
              <w:t>объекта на карте</w:t>
            </w:r>
          </w:p>
        </w:tc>
        <w:tc>
          <w:tcPr>
            <w:tcW w:w="2413" w:type="dxa"/>
            <w:tcBorders>
              <w:bottom w:val="nil"/>
            </w:tcBorders>
            <w:vAlign w:val="center"/>
          </w:tcPr>
          <w:p>
            <w:pPr>
              <w:pStyle w:val="Normal"/>
              <w:spacing w:lineRule="auto" w:line="240"/>
              <w:ind w:right="-2" w:hanging="0"/>
              <w:jc w:val="center"/>
              <w:rPr>
                <w:b/>
                <w:b/>
                <w:bCs/>
                <w:sz w:val="20"/>
                <w:szCs w:val="20"/>
                <w:highlight w:val="white"/>
                <w:lang w:bidi="ru-RU"/>
              </w:rPr>
            </w:pPr>
            <w:r>
              <w:rPr>
                <w:b/>
                <w:bCs/>
                <w:sz w:val="20"/>
                <w:szCs w:val="20"/>
                <w:shd w:fill="FFFFFF" w:val="clear"/>
                <w:lang w:eastAsia="en-US" w:bidi="ru-RU"/>
              </w:rPr>
              <w:t>Наименование</w:t>
            </w:r>
          </w:p>
        </w:tc>
        <w:tc>
          <w:tcPr>
            <w:tcW w:w="4113" w:type="dxa"/>
            <w:tcBorders>
              <w:bottom w:val="nil"/>
            </w:tcBorders>
            <w:vAlign w:val="center"/>
          </w:tcPr>
          <w:p>
            <w:pPr>
              <w:pStyle w:val="Normal"/>
              <w:spacing w:lineRule="auto" w:line="240"/>
              <w:ind w:right="-2" w:hanging="0"/>
              <w:jc w:val="center"/>
              <w:rPr>
                <w:b/>
                <w:b/>
                <w:bCs/>
                <w:sz w:val="20"/>
                <w:szCs w:val="20"/>
                <w:highlight w:val="white"/>
                <w:lang w:bidi="ru-RU"/>
              </w:rPr>
            </w:pPr>
            <w:r>
              <w:rPr>
                <w:b/>
                <w:bCs/>
                <w:sz w:val="20"/>
                <w:szCs w:val="20"/>
                <w:shd w:fill="FFFFFF" w:val="clear"/>
                <w:lang w:eastAsia="en-US" w:bidi="ru-RU"/>
              </w:rPr>
              <w:t>Местоположение</w:t>
            </w:r>
          </w:p>
        </w:tc>
        <w:tc>
          <w:tcPr>
            <w:tcW w:w="1697" w:type="dxa"/>
            <w:tcBorders>
              <w:bottom w:val="nil"/>
            </w:tcBorders>
            <w:vAlign w:val="center"/>
          </w:tcPr>
          <w:p>
            <w:pPr>
              <w:pStyle w:val="Normal"/>
              <w:spacing w:lineRule="auto" w:line="240"/>
              <w:ind w:right="-2" w:hanging="0"/>
              <w:jc w:val="center"/>
              <w:rPr>
                <w:b/>
                <w:b/>
                <w:bCs/>
                <w:sz w:val="20"/>
                <w:szCs w:val="20"/>
                <w:highlight w:val="white"/>
                <w:lang w:bidi="ru-RU"/>
              </w:rPr>
            </w:pPr>
            <w:r>
              <w:rPr>
                <w:b/>
                <w:sz w:val="20"/>
                <w:szCs w:val="20"/>
                <w:lang w:eastAsia="en-US"/>
              </w:rPr>
              <w:t>Площадь общая / торговая (м</w:t>
            </w:r>
            <w:r>
              <w:rPr>
                <w:b/>
                <w:sz w:val="20"/>
                <w:szCs w:val="20"/>
                <w:vertAlign w:val="superscript"/>
                <w:lang w:eastAsia="en-US"/>
              </w:rPr>
              <w:t>2</w:t>
            </w:r>
            <w:r>
              <w:rPr>
                <w:b/>
                <w:sz w:val="20"/>
                <w:szCs w:val="20"/>
                <w:lang w:eastAsia="en-US"/>
              </w:rPr>
              <w:t>)</w:t>
            </w:r>
          </w:p>
        </w:tc>
      </w:tr>
    </w:tbl>
    <w:p>
      <w:pPr>
        <w:pStyle w:val="Normal"/>
        <w:spacing w:lineRule="auto" w:line="12"/>
        <w:jc w:val="center"/>
        <w:rPr>
          <w:sz w:val="20"/>
          <w:szCs w:val="20"/>
        </w:rPr>
      </w:pPr>
      <w:r>
        <w:rPr>
          <w:sz w:val="20"/>
          <w:szCs w:val="20"/>
        </w:rPr>
      </w:r>
    </w:p>
    <w:tbl>
      <w:tblPr>
        <w:tblStyle w:val="1ff9"/>
        <w:tblW w:w="5000" w:type="pct"/>
        <w:jc w:val="left"/>
        <w:tblInd w:w="-62" w:type="dxa"/>
        <w:tblCellMar>
          <w:top w:w="0" w:type="dxa"/>
          <w:left w:w="57" w:type="dxa"/>
          <w:bottom w:w="0" w:type="dxa"/>
          <w:right w:w="57" w:type="dxa"/>
        </w:tblCellMar>
        <w:tblLook w:firstRow="1" w:noVBand="1" w:lastRow="0" w:firstColumn="1" w:lastColumn="0" w:noHBand="0" w:val="04a0"/>
      </w:tblPr>
      <w:tblGrid>
        <w:gridCol w:w="422"/>
        <w:gridCol w:w="1278"/>
        <w:gridCol w:w="2411"/>
        <w:gridCol w:w="4113"/>
        <w:gridCol w:w="1697"/>
      </w:tblGrid>
      <w:tr>
        <w:trPr>
          <w:tblHeader w:val="true"/>
          <w:trHeight w:val="20" w:hRule="atLeast"/>
        </w:trPr>
        <w:tc>
          <w:tcPr>
            <w:tcW w:w="422" w:type="dxa"/>
            <w:tcBorders/>
          </w:tcPr>
          <w:p>
            <w:pPr>
              <w:pStyle w:val="Normal"/>
              <w:widowControl w:val="false"/>
              <w:spacing w:lineRule="auto" w:line="240"/>
              <w:jc w:val="center"/>
              <w:rPr>
                <w:rFonts w:eastAsia="Times New Roman"/>
                <w:b/>
                <w:b/>
                <w:bCs/>
                <w:color w:val="000000"/>
                <w:sz w:val="20"/>
                <w:szCs w:val="20"/>
                <w:highlight w:val="white"/>
                <w:lang w:bidi="ru-RU"/>
              </w:rPr>
            </w:pPr>
            <w:r>
              <w:rPr>
                <w:rFonts w:eastAsia="Times New Roman"/>
                <w:b/>
                <w:bCs/>
                <w:color w:val="000000"/>
                <w:sz w:val="20"/>
                <w:szCs w:val="20"/>
                <w:shd w:fill="FFFFFF" w:val="clear"/>
                <w:lang w:eastAsia="en-US" w:bidi="ru-RU"/>
              </w:rPr>
              <w:t>1</w:t>
            </w:r>
          </w:p>
        </w:tc>
        <w:tc>
          <w:tcPr>
            <w:tcW w:w="1278" w:type="dxa"/>
            <w:tcBorders/>
          </w:tcPr>
          <w:p>
            <w:pPr>
              <w:pStyle w:val="Normal"/>
              <w:spacing w:lineRule="auto" w:line="240"/>
              <w:jc w:val="center"/>
              <w:rPr>
                <w:b/>
                <w:b/>
                <w:bCs/>
                <w:color w:val="000000"/>
                <w:sz w:val="20"/>
                <w:szCs w:val="20"/>
                <w:highlight w:val="white"/>
                <w:lang w:bidi="ru-RU"/>
              </w:rPr>
            </w:pPr>
            <w:r>
              <w:rPr>
                <w:b/>
                <w:bCs/>
                <w:color w:val="000000"/>
                <w:sz w:val="20"/>
                <w:szCs w:val="20"/>
                <w:shd w:fill="FFFFFF" w:val="clear"/>
                <w:lang w:eastAsia="en-US" w:bidi="ru-RU"/>
              </w:rPr>
              <w:t>2</w:t>
            </w:r>
          </w:p>
        </w:tc>
        <w:tc>
          <w:tcPr>
            <w:tcW w:w="2411" w:type="dxa"/>
            <w:tcBorders/>
            <w:vAlign w:val="center"/>
          </w:tcPr>
          <w:p>
            <w:pPr>
              <w:pStyle w:val="Normal"/>
              <w:spacing w:lineRule="auto" w:line="240"/>
              <w:jc w:val="center"/>
              <w:rPr>
                <w:b/>
                <w:b/>
                <w:bCs/>
                <w:color w:val="000000"/>
                <w:sz w:val="20"/>
                <w:szCs w:val="20"/>
                <w:highlight w:val="white"/>
                <w:lang w:bidi="ru-RU"/>
              </w:rPr>
            </w:pPr>
            <w:r>
              <w:rPr>
                <w:b/>
                <w:bCs/>
                <w:color w:val="000000"/>
                <w:sz w:val="20"/>
                <w:szCs w:val="20"/>
                <w:shd w:fill="FFFFFF" w:val="clear"/>
                <w:lang w:eastAsia="en-US" w:bidi="ru-RU"/>
              </w:rPr>
              <w:t>3</w:t>
            </w:r>
          </w:p>
        </w:tc>
        <w:tc>
          <w:tcPr>
            <w:tcW w:w="4113" w:type="dxa"/>
            <w:tcBorders/>
            <w:vAlign w:val="center"/>
          </w:tcPr>
          <w:p>
            <w:pPr>
              <w:pStyle w:val="Normal"/>
              <w:spacing w:lineRule="auto" w:line="240"/>
              <w:jc w:val="center"/>
              <w:rPr>
                <w:b/>
                <w:b/>
                <w:bCs/>
                <w:color w:val="000000"/>
                <w:sz w:val="20"/>
                <w:szCs w:val="20"/>
                <w:highlight w:val="white"/>
                <w:lang w:bidi="ru-RU"/>
              </w:rPr>
            </w:pPr>
            <w:r>
              <w:rPr>
                <w:b/>
                <w:bCs/>
                <w:color w:val="000000"/>
                <w:sz w:val="20"/>
                <w:szCs w:val="20"/>
                <w:shd w:fill="FFFFFF" w:val="clear"/>
                <w:lang w:eastAsia="en-US" w:bidi="ru-RU"/>
              </w:rPr>
              <w:t>4</w:t>
            </w:r>
          </w:p>
        </w:tc>
        <w:tc>
          <w:tcPr>
            <w:tcW w:w="1697" w:type="dxa"/>
            <w:tcBorders/>
          </w:tcPr>
          <w:p>
            <w:pPr>
              <w:pStyle w:val="Normal"/>
              <w:spacing w:lineRule="auto" w:line="240"/>
              <w:jc w:val="center"/>
              <w:rPr>
                <w:b/>
                <w:b/>
                <w:bCs/>
                <w:color w:val="000000"/>
                <w:sz w:val="20"/>
                <w:szCs w:val="20"/>
                <w:highlight w:val="white"/>
                <w:lang w:bidi="ru-RU"/>
              </w:rPr>
            </w:pPr>
            <w:r>
              <w:rPr>
                <w:b/>
                <w:bCs/>
                <w:color w:val="000000"/>
                <w:sz w:val="20"/>
                <w:szCs w:val="20"/>
                <w:shd w:fill="FFFFFF" w:val="clear"/>
                <w:lang w:eastAsia="en-US" w:bidi="ru-RU"/>
              </w:rPr>
              <w:t>5</w:t>
            </w:r>
          </w:p>
        </w:tc>
      </w:tr>
      <w:tr>
        <w:trPr>
          <w:trHeight w:val="20" w:hRule="atLeast"/>
        </w:trPr>
        <w:tc>
          <w:tcPr>
            <w:tcW w:w="422" w:type="dxa"/>
            <w:tcBorders/>
          </w:tcPr>
          <w:p>
            <w:pPr>
              <w:pStyle w:val="Normal"/>
              <w:widowControl w:val="false"/>
              <w:spacing w:lineRule="auto" w:line="240"/>
              <w:jc w:val="center"/>
              <w:rPr>
                <w:bCs/>
                <w:color w:val="000000"/>
                <w:sz w:val="20"/>
                <w:szCs w:val="20"/>
                <w:highlight w:val="white"/>
                <w:lang w:bidi="ru-RU"/>
              </w:rPr>
            </w:pPr>
            <w:r>
              <w:rPr>
                <w:bCs/>
                <w:color w:val="000000"/>
                <w:sz w:val="20"/>
                <w:szCs w:val="20"/>
                <w:shd w:fill="FFFFFF" w:val="clear"/>
                <w:lang w:eastAsia="en-US" w:bidi="ru-RU"/>
              </w:rPr>
              <w:t>1</w:t>
            </w:r>
          </w:p>
        </w:tc>
        <w:tc>
          <w:tcPr>
            <w:tcW w:w="1278" w:type="dxa"/>
            <w:tcBorders/>
          </w:tcPr>
          <w:p>
            <w:pPr>
              <w:pStyle w:val="Normal"/>
              <w:widowControl w:val="false"/>
              <w:spacing w:lineRule="auto" w:line="240"/>
              <w:jc w:val="left"/>
              <w:rPr>
                <w:sz w:val="20"/>
                <w:szCs w:val="20"/>
              </w:rPr>
            </w:pPr>
            <w:r>
              <w:rPr>
                <w:bCs/>
                <w:color w:val="000000"/>
                <w:sz w:val="20"/>
                <w:szCs w:val="20"/>
                <w:shd w:fill="FFFFFF" w:val="clear"/>
                <w:lang w:eastAsia="en-US" w:bidi="ru-RU"/>
              </w:rPr>
              <w:t>ПО.4.1</w:t>
            </w:r>
          </w:p>
        </w:tc>
        <w:tc>
          <w:tcPr>
            <w:tcW w:w="2411" w:type="dxa"/>
            <w:tcBorders/>
          </w:tcPr>
          <w:p>
            <w:pPr>
              <w:pStyle w:val="Normal"/>
              <w:widowControl w:val="false"/>
              <w:spacing w:lineRule="auto" w:line="240"/>
              <w:jc w:val="left"/>
              <w:rPr>
                <w:rFonts w:eastAsia="Times New Roman"/>
                <w:b/>
                <w:b/>
                <w:sz w:val="20"/>
                <w:szCs w:val="20"/>
              </w:rPr>
            </w:pPr>
            <w:r>
              <w:rPr>
                <w:sz w:val="20"/>
                <w:szCs w:val="20"/>
                <w:lang w:eastAsia="en-US"/>
              </w:rPr>
              <w:t>Магазин «Бриз»</w:t>
            </w:r>
          </w:p>
        </w:tc>
        <w:tc>
          <w:tcPr>
            <w:tcW w:w="4113" w:type="dxa"/>
            <w:tcBorders/>
          </w:tcPr>
          <w:p>
            <w:pPr>
              <w:pStyle w:val="Normal"/>
              <w:spacing w:lineRule="auto" w:line="240"/>
              <w:jc w:val="left"/>
              <w:rPr>
                <w:rFonts w:eastAsia="Times New Roman"/>
                <w:b/>
                <w:b/>
                <w:color w:val="000000"/>
                <w:sz w:val="20"/>
                <w:szCs w:val="20"/>
                <w:lang w:val="cs-CZ"/>
              </w:rPr>
            </w:pPr>
            <w:r>
              <w:rPr>
                <w:bCs/>
                <w:sz w:val="20"/>
                <w:szCs w:val="20"/>
                <w:shd w:fill="FFFFFF" w:val="clear"/>
                <w:lang w:eastAsia="en-US" w:bidi="ru-RU"/>
              </w:rPr>
              <w:t>Челябинская область, Варненский муниципальный район, Катенинское сельское поселение,</w:t>
            </w:r>
            <w:r>
              <w:rPr>
                <w:sz w:val="20"/>
                <w:szCs w:val="20"/>
                <w:lang w:eastAsia="en-US"/>
              </w:rPr>
              <w:t xml:space="preserve"> с. Катенино </w:t>
            </w:r>
            <w:r>
              <w:rPr>
                <w:bCs/>
                <w:sz w:val="20"/>
                <w:szCs w:val="20"/>
                <w:shd w:fill="FFFFFF" w:val="clear"/>
                <w:lang w:eastAsia="en-US" w:bidi="ru-RU"/>
              </w:rPr>
              <w:t xml:space="preserve"> </w:t>
            </w:r>
          </w:p>
        </w:tc>
        <w:tc>
          <w:tcPr>
            <w:tcW w:w="1697" w:type="dxa"/>
            <w:tcBorders/>
          </w:tcPr>
          <w:p>
            <w:pPr>
              <w:pStyle w:val="Normal"/>
              <w:spacing w:lineRule="auto" w:line="240"/>
              <w:jc w:val="center"/>
              <w:rPr>
                <w:bCs/>
                <w:color w:val="000000"/>
                <w:sz w:val="20"/>
                <w:szCs w:val="20"/>
                <w:highlight w:val="white"/>
                <w:lang w:bidi="ru-RU"/>
              </w:rPr>
            </w:pPr>
            <w:r>
              <w:rPr>
                <w:sz w:val="20"/>
                <w:szCs w:val="20"/>
                <w:lang w:eastAsia="en-US"/>
              </w:rPr>
              <w:t>-/36,0</w:t>
            </w:r>
          </w:p>
        </w:tc>
      </w:tr>
      <w:tr>
        <w:trPr>
          <w:trHeight w:val="20" w:hRule="atLeast"/>
        </w:trPr>
        <w:tc>
          <w:tcPr>
            <w:tcW w:w="422" w:type="dxa"/>
            <w:tcBorders/>
          </w:tcPr>
          <w:p>
            <w:pPr>
              <w:pStyle w:val="Normal"/>
              <w:widowControl w:val="false"/>
              <w:spacing w:lineRule="auto" w:line="240"/>
              <w:jc w:val="center"/>
              <w:rPr>
                <w:bCs/>
                <w:color w:val="000000"/>
                <w:sz w:val="20"/>
                <w:szCs w:val="20"/>
                <w:highlight w:val="white"/>
                <w:lang w:bidi="ru-RU"/>
              </w:rPr>
            </w:pPr>
            <w:r>
              <w:rPr>
                <w:bCs/>
                <w:color w:val="000000"/>
                <w:sz w:val="20"/>
                <w:szCs w:val="20"/>
                <w:shd w:fill="FFFFFF" w:val="clear"/>
                <w:lang w:eastAsia="en-US" w:bidi="ru-RU"/>
              </w:rPr>
              <w:t>2</w:t>
            </w:r>
          </w:p>
        </w:tc>
        <w:tc>
          <w:tcPr>
            <w:tcW w:w="1278" w:type="dxa"/>
            <w:tcBorders/>
          </w:tcPr>
          <w:p>
            <w:pPr>
              <w:pStyle w:val="Normal"/>
              <w:widowControl w:val="false"/>
              <w:spacing w:lineRule="auto" w:line="240"/>
              <w:jc w:val="left"/>
              <w:rPr>
                <w:sz w:val="20"/>
                <w:szCs w:val="20"/>
              </w:rPr>
            </w:pPr>
            <w:r>
              <w:rPr>
                <w:bCs/>
                <w:color w:val="000000"/>
                <w:sz w:val="20"/>
                <w:szCs w:val="20"/>
                <w:shd w:fill="FFFFFF" w:val="clear"/>
                <w:lang w:eastAsia="en-US" w:bidi="ru-RU"/>
              </w:rPr>
              <w:t>ПО.4.2</w:t>
            </w:r>
          </w:p>
        </w:tc>
        <w:tc>
          <w:tcPr>
            <w:tcW w:w="2411" w:type="dxa"/>
            <w:tcBorders/>
          </w:tcPr>
          <w:p>
            <w:pPr>
              <w:pStyle w:val="Normal"/>
              <w:widowControl w:val="false"/>
              <w:spacing w:lineRule="auto" w:line="240"/>
              <w:jc w:val="left"/>
              <w:rPr>
                <w:rFonts w:eastAsia="Times New Roman"/>
                <w:b/>
                <w:b/>
                <w:sz w:val="20"/>
                <w:szCs w:val="20"/>
              </w:rPr>
            </w:pPr>
            <w:r>
              <w:rPr>
                <w:sz w:val="20"/>
                <w:szCs w:val="20"/>
                <w:lang w:eastAsia="en-US"/>
              </w:rPr>
              <w:t>Магазин «Алди»</w:t>
            </w:r>
          </w:p>
        </w:tc>
        <w:tc>
          <w:tcPr>
            <w:tcW w:w="4113" w:type="dxa"/>
            <w:tcBorders/>
          </w:tcPr>
          <w:p>
            <w:pPr>
              <w:pStyle w:val="Normal"/>
              <w:spacing w:lineRule="auto" w:line="240"/>
              <w:jc w:val="left"/>
              <w:rPr>
                <w:rFonts w:eastAsia="Times New Roman"/>
                <w:b/>
                <w:b/>
                <w:color w:val="000000"/>
                <w:sz w:val="20"/>
                <w:szCs w:val="20"/>
                <w:lang w:val="cs-CZ"/>
              </w:rPr>
            </w:pPr>
            <w:r>
              <w:rPr>
                <w:bCs/>
                <w:sz w:val="20"/>
                <w:szCs w:val="20"/>
                <w:shd w:fill="FFFFFF" w:val="clear"/>
                <w:lang w:eastAsia="en-US" w:bidi="ru-RU"/>
              </w:rPr>
              <w:t>Челябинская область, Варненский муниципальный район, Катенинское сельское поселение,</w:t>
            </w:r>
            <w:r>
              <w:rPr>
                <w:sz w:val="20"/>
                <w:szCs w:val="20"/>
                <w:lang w:eastAsia="en-US"/>
              </w:rPr>
              <w:t xml:space="preserve"> с. Катенино </w:t>
            </w:r>
            <w:r>
              <w:rPr>
                <w:bCs/>
                <w:sz w:val="20"/>
                <w:szCs w:val="20"/>
                <w:shd w:fill="FFFFFF" w:val="clear"/>
                <w:lang w:eastAsia="en-US" w:bidi="ru-RU"/>
              </w:rPr>
              <w:t xml:space="preserve"> </w:t>
            </w:r>
          </w:p>
        </w:tc>
        <w:tc>
          <w:tcPr>
            <w:tcW w:w="1697" w:type="dxa"/>
            <w:tcBorders/>
          </w:tcPr>
          <w:p>
            <w:pPr>
              <w:pStyle w:val="Normal"/>
              <w:spacing w:lineRule="auto" w:line="240"/>
              <w:jc w:val="center"/>
              <w:rPr>
                <w:bCs/>
                <w:color w:val="000000"/>
                <w:sz w:val="20"/>
                <w:szCs w:val="20"/>
                <w:highlight w:val="white"/>
                <w:lang w:bidi="ru-RU"/>
              </w:rPr>
            </w:pPr>
            <w:r>
              <w:rPr>
                <w:sz w:val="20"/>
                <w:szCs w:val="20"/>
                <w:lang w:eastAsia="en-US"/>
              </w:rPr>
              <w:t>9,0/27</w:t>
            </w:r>
          </w:p>
        </w:tc>
      </w:tr>
    </w:tbl>
    <w:p>
      <w:pPr>
        <w:pStyle w:val="BodyTextIndent2"/>
        <w:spacing w:lineRule="auto" w:line="276" w:before="120" w:after="0"/>
        <w:ind w:left="0" w:firstLine="709"/>
        <w:jc w:val="right"/>
        <w:rPr>
          <w:b/>
          <w:b/>
        </w:rPr>
      </w:pPr>
      <w:r>
        <w:rPr>
          <w:rFonts w:eastAsia="Calibri"/>
          <w:lang w:eastAsia="en-US"/>
        </w:rPr>
        <w:t xml:space="preserve">Таблица </w:t>
      </w:r>
      <w:r>
        <w:rPr/>
        <w:t>3.5.8</w:t>
      </w:r>
    </w:p>
    <w:p>
      <w:pPr>
        <w:pStyle w:val="BodyTextIndent2"/>
        <w:spacing w:lineRule="auto" w:line="276" w:before="0" w:after="0"/>
        <w:ind w:left="0" w:firstLine="709"/>
        <w:rPr>
          <w:rFonts w:eastAsia="Calibri"/>
          <w:lang w:eastAsia="en-US"/>
        </w:rPr>
      </w:pPr>
      <w:r>
        <w:rPr>
          <w:sz w:val="22"/>
          <w:szCs w:val="22"/>
        </w:rPr>
        <w:t>Организации, учреждения управления и кредитно-финансовые учреждения и предприятия</w:t>
      </w:r>
    </w:p>
    <w:tbl>
      <w:tblPr>
        <w:tblStyle w:val="aff"/>
        <w:tblW w:w="9912" w:type="dxa"/>
        <w:jc w:val="left"/>
        <w:tblInd w:w="-108" w:type="dxa"/>
        <w:tblCellMar>
          <w:top w:w="0" w:type="dxa"/>
          <w:left w:w="108" w:type="dxa"/>
          <w:bottom w:w="0" w:type="dxa"/>
          <w:right w:w="108" w:type="dxa"/>
        </w:tblCellMar>
        <w:tblLook w:firstRow="1" w:noVBand="1" w:lastRow="0" w:firstColumn="1" w:lastColumn="0" w:noHBand="0" w:val="04a0"/>
      </w:tblPr>
      <w:tblGrid>
        <w:gridCol w:w="421"/>
        <w:gridCol w:w="1139"/>
        <w:gridCol w:w="1581"/>
        <w:gridCol w:w="3375"/>
        <w:gridCol w:w="1276"/>
        <w:gridCol w:w="2119"/>
      </w:tblGrid>
      <w:tr>
        <w:trPr/>
        <w:tc>
          <w:tcPr>
            <w:tcW w:w="421" w:type="dxa"/>
            <w:tcBorders/>
            <w:vAlign w:val="center"/>
          </w:tcPr>
          <w:p>
            <w:pPr>
              <w:pStyle w:val="Normal"/>
              <w:spacing w:lineRule="auto" w:line="240"/>
              <w:jc w:val="center"/>
              <w:rPr>
                <w:b/>
                <w:b/>
                <w:sz w:val="20"/>
                <w:szCs w:val="20"/>
              </w:rPr>
            </w:pPr>
            <w:r>
              <w:rPr>
                <w:rFonts w:eastAsia="Times New Roman"/>
                <w:b/>
                <w:bCs/>
                <w:sz w:val="20"/>
                <w:szCs w:val="20"/>
                <w:shd w:fill="FFFFFF" w:val="clear"/>
                <w:lang w:bidi="ru-RU"/>
              </w:rPr>
              <w:t>№</w:t>
            </w:r>
          </w:p>
        </w:tc>
        <w:tc>
          <w:tcPr>
            <w:tcW w:w="1139" w:type="dxa"/>
            <w:tcBorders/>
            <w:vAlign w:val="center"/>
          </w:tcPr>
          <w:p>
            <w:pPr>
              <w:pStyle w:val="Normal"/>
              <w:spacing w:lineRule="auto" w:line="240"/>
              <w:jc w:val="center"/>
              <w:rPr>
                <w:b/>
                <w:b/>
                <w:bCs/>
                <w:sz w:val="20"/>
                <w:szCs w:val="20"/>
                <w:highlight w:val="white"/>
                <w:lang w:bidi="ru-RU"/>
              </w:rPr>
            </w:pPr>
            <w:r>
              <w:rPr>
                <w:b/>
                <w:bCs/>
                <w:color w:val="000000"/>
                <w:sz w:val="20"/>
                <w:shd w:fill="FFFFFF" w:val="clear"/>
                <w:lang w:bidi="ru-RU"/>
              </w:rPr>
              <w:t xml:space="preserve">№ </w:t>
            </w:r>
            <w:r>
              <w:rPr>
                <w:b/>
                <w:bCs/>
                <w:color w:val="000000"/>
                <w:sz w:val="20"/>
                <w:shd w:fill="FFFFFF" w:val="clear"/>
                <w:lang w:bidi="ru-RU"/>
              </w:rPr>
              <w:t>объекта на карте</w:t>
            </w:r>
          </w:p>
        </w:tc>
        <w:tc>
          <w:tcPr>
            <w:tcW w:w="1581" w:type="dxa"/>
            <w:tcBorders/>
            <w:vAlign w:val="center"/>
          </w:tcPr>
          <w:p>
            <w:pPr>
              <w:pStyle w:val="Normal"/>
              <w:spacing w:lineRule="auto" w:line="240"/>
              <w:jc w:val="center"/>
              <w:rPr>
                <w:b/>
                <w:b/>
                <w:sz w:val="20"/>
                <w:szCs w:val="20"/>
              </w:rPr>
            </w:pPr>
            <w:r>
              <w:rPr>
                <w:b/>
                <w:bCs/>
                <w:sz w:val="20"/>
                <w:szCs w:val="20"/>
                <w:shd w:fill="FFFFFF" w:val="clear"/>
                <w:lang w:bidi="ru-RU"/>
              </w:rPr>
              <w:t>Наименование</w:t>
            </w:r>
          </w:p>
        </w:tc>
        <w:tc>
          <w:tcPr>
            <w:tcW w:w="3375" w:type="dxa"/>
            <w:tcBorders/>
            <w:vAlign w:val="center"/>
          </w:tcPr>
          <w:p>
            <w:pPr>
              <w:pStyle w:val="Normal"/>
              <w:spacing w:lineRule="auto" w:line="240"/>
              <w:jc w:val="center"/>
              <w:rPr>
                <w:b/>
                <w:b/>
                <w:sz w:val="20"/>
                <w:szCs w:val="20"/>
              </w:rPr>
            </w:pPr>
            <w:r>
              <w:rPr>
                <w:b/>
                <w:bCs/>
                <w:sz w:val="20"/>
                <w:szCs w:val="20"/>
                <w:shd w:fill="FFFFFF" w:val="clear"/>
                <w:lang w:bidi="ru-RU"/>
              </w:rPr>
              <w:t>Местоположение</w:t>
            </w:r>
          </w:p>
        </w:tc>
        <w:tc>
          <w:tcPr>
            <w:tcW w:w="1276" w:type="dxa"/>
            <w:tcBorders/>
            <w:vAlign w:val="center"/>
          </w:tcPr>
          <w:p>
            <w:pPr>
              <w:pStyle w:val="Normal"/>
              <w:spacing w:lineRule="auto" w:line="240"/>
              <w:jc w:val="center"/>
              <w:rPr>
                <w:b/>
                <w:b/>
                <w:sz w:val="20"/>
                <w:szCs w:val="20"/>
              </w:rPr>
            </w:pPr>
            <w:r>
              <w:rPr>
                <w:rFonts w:eastAsia="Times New Roman"/>
                <w:b/>
                <w:sz w:val="20"/>
                <w:szCs w:val="20"/>
                <w:lang w:eastAsia="ru-RU"/>
              </w:rPr>
              <w:t>Общая площадь здания, м</w:t>
            </w:r>
            <w:r>
              <w:rPr>
                <w:rFonts w:eastAsia="Times New Roman"/>
                <w:b/>
                <w:sz w:val="20"/>
                <w:szCs w:val="20"/>
                <w:vertAlign w:val="superscript"/>
                <w:lang w:eastAsia="ru-RU"/>
              </w:rPr>
              <w:t>2</w:t>
            </w:r>
          </w:p>
        </w:tc>
        <w:tc>
          <w:tcPr>
            <w:tcW w:w="2119" w:type="dxa"/>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Год постройки, состояние объекта (хорошее, удовлетворительное, ветхое)</w:t>
            </w:r>
          </w:p>
        </w:tc>
      </w:tr>
      <w:tr>
        <w:trPr/>
        <w:tc>
          <w:tcPr>
            <w:tcW w:w="421" w:type="dxa"/>
            <w:tcBorders/>
            <w:vAlign w:val="center"/>
          </w:tcPr>
          <w:p>
            <w:pPr>
              <w:pStyle w:val="Normal"/>
              <w:spacing w:lineRule="auto" w:line="240"/>
              <w:jc w:val="center"/>
              <w:rPr>
                <w:rFonts w:eastAsia="Times New Roman"/>
                <w:b/>
                <w:b/>
                <w:bCs/>
                <w:sz w:val="20"/>
                <w:szCs w:val="20"/>
                <w:highlight w:val="white"/>
                <w:lang w:bidi="ru-RU"/>
              </w:rPr>
            </w:pPr>
            <w:r>
              <w:rPr>
                <w:rFonts w:eastAsia="Times New Roman"/>
                <w:b/>
                <w:bCs/>
                <w:sz w:val="20"/>
                <w:szCs w:val="20"/>
                <w:shd w:fill="FFFFFF" w:val="clear"/>
                <w:lang w:bidi="ru-RU"/>
              </w:rPr>
              <w:t>1</w:t>
            </w:r>
          </w:p>
        </w:tc>
        <w:tc>
          <w:tcPr>
            <w:tcW w:w="1139" w:type="dxa"/>
            <w:tcBorders/>
          </w:tcPr>
          <w:p>
            <w:pPr>
              <w:pStyle w:val="Normal"/>
              <w:spacing w:lineRule="auto" w:line="240"/>
              <w:jc w:val="center"/>
              <w:rPr>
                <w:b/>
                <w:b/>
                <w:bCs/>
                <w:sz w:val="20"/>
                <w:szCs w:val="20"/>
                <w:highlight w:val="white"/>
                <w:lang w:bidi="ru-RU"/>
              </w:rPr>
            </w:pPr>
            <w:r>
              <w:rPr>
                <w:b/>
                <w:bCs/>
                <w:sz w:val="20"/>
                <w:szCs w:val="20"/>
                <w:shd w:fill="FFFFFF" w:val="clear"/>
                <w:lang w:bidi="ru-RU"/>
              </w:rPr>
              <w:t>2</w:t>
            </w:r>
          </w:p>
        </w:tc>
        <w:tc>
          <w:tcPr>
            <w:tcW w:w="1581" w:type="dxa"/>
            <w:tcBorders/>
            <w:vAlign w:val="center"/>
          </w:tcPr>
          <w:p>
            <w:pPr>
              <w:pStyle w:val="Normal"/>
              <w:spacing w:lineRule="auto" w:line="240"/>
              <w:jc w:val="center"/>
              <w:rPr>
                <w:b/>
                <w:b/>
                <w:bCs/>
                <w:sz w:val="20"/>
                <w:szCs w:val="20"/>
                <w:highlight w:val="white"/>
                <w:lang w:bidi="ru-RU"/>
              </w:rPr>
            </w:pPr>
            <w:r>
              <w:rPr>
                <w:b/>
                <w:bCs/>
                <w:sz w:val="20"/>
                <w:szCs w:val="20"/>
                <w:shd w:fill="FFFFFF" w:val="clear"/>
                <w:lang w:bidi="ru-RU"/>
              </w:rPr>
              <w:t>3</w:t>
            </w:r>
          </w:p>
        </w:tc>
        <w:tc>
          <w:tcPr>
            <w:tcW w:w="3375" w:type="dxa"/>
            <w:tcBorders/>
            <w:vAlign w:val="center"/>
          </w:tcPr>
          <w:p>
            <w:pPr>
              <w:pStyle w:val="Normal"/>
              <w:spacing w:lineRule="auto" w:line="240"/>
              <w:jc w:val="center"/>
              <w:rPr>
                <w:b/>
                <w:b/>
                <w:bCs/>
                <w:sz w:val="20"/>
                <w:szCs w:val="20"/>
                <w:highlight w:val="white"/>
                <w:lang w:bidi="ru-RU"/>
              </w:rPr>
            </w:pPr>
            <w:r>
              <w:rPr>
                <w:b/>
                <w:bCs/>
                <w:sz w:val="20"/>
                <w:szCs w:val="20"/>
                <w:shd w:fill="FFFFFF" w:val="clear"/>
                <w:lang w:bidi="ru-RU"/>
              </w:rPr>
              <w:t>4</w:t>
            </w:r>
          </w:p>
        </w:tc>
        <w:tc>
          <w:tcPr>
            <w:tcW w:w="1276" w:type="dxa"/>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5</w:t>
            </w:r>
          </w:p>
        </w:tc>
        <w:tc>
          <w:tcPr>
            <w:tcW w:w="2119" w:type="dxa"/>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6</w:t>
            </w:r>
          </w:p>
        </w:tc>
      </w:tr>
      <w:tr>
        <w:trPr/>
        <w:tc>
          <w:tcPr>
            <w:tcW w:w="421" w:type="dxa"/>
            <w:tcBorders/>
          </w:tcPr>
          <w:p>
            <w:pPr>
              <w:pStyle w:val="Normal"/>
              <w:spacing w:lineRule="auto" w:line="240"/>
              <w:jc w:val="center"/>
              <w:rPr>
                <w:rFonts w:eastAsia="Times New Roman"/>
                <w:bCs/>
                <w:color w:val="000000" w:themeColor="text1"/>
                <w:sz w:val="20"/>
                <w:szCs w:val="20"/>
                <w:highlight w:val="white"/>
                <w:lang w:bidi="ru-RU"/>
              </w:rPr>
            </w:pPr>
            <w:r>
              <w:rPr>
                <w:rFonts w:eastAsia="Times New Roman"/>
                <w:bCs/>
                <w:color w:val="000000" w:themeColor="text1"/>
                <w:sz w:val="20"/>
                <w:szCs w:val="20"/>
                <w:shd w:fill="FFFFFF" w:val="clear"/>
                <w:lang w:bidi="ru-RU"/>
              </w:rPr>
              <w:t>1</w:t>
            </w:r>
          </w:p>
        </w:tc>
        <w:tc>
          <w:tcPr>
            <w:tcW w:w="1139" w:type="dxa"/>
            <w:tcBorders/>
          </w:tcPr>
          <w:p>
            <w:pPr>
              <w:pStyle w:val="Normal"/>
              <w:spacing w:lineRule="auto" w:line="240"/>
              <w:jc w:val="left"/>
              <w:rPr>
                <w:rFonts w:eastAsia="Times New Roman"/>
                <w:color w:val="000000" w:themeColor="text1"/>
                <w:sz w:val="20"/>
                <w:szCs w:val="20"/>
                <w:lang w:eastAsia="ru-RU"/>
              </w:rPr>
            </w:pPr>
            <w:r>
              <w:rPr>
                <w:rFonts w:eastAsia="Times New Roman"/>
                <w:color w:val="000000" w:themeColor="text1"/>
                <w:sz w:val="20"/>
                <w:szCs w:val="20"/>
                <w:lang w:eastAsia="ru-RU"/>
              </w:rPr>
              <w:t>ПО.1.1</w:t>
            </w:r>
          </w:p>
        </w:tc>
        <w:tc>
          <w:tcPr>
            <w:tcW w:w="1581" w:type="dxa"/>
            <w:tcBorders/>
          </w:tcPr>
          <w:p>
            <w:pPr>
              <w:pStyle w:val="Normal"/>
              <w:spacing w:lineRule="auto" w:line="240"/>
              <w:jc w:val="left"/>
              <w:rPr>
                <w:b/>
                <w:b/>
                <w:bCs/>
                <w:color w:val="000000" w:themeColor="text1"/>
                <w:sz w:val="20"/>
                <w:szCs w:val="20"/>
                <w:highlight w:val="white"/>
                <w:lang w:bidi="ru-RU"/>
              </w:rPr>
            </w:pPr>
            <w:r>
              <w:rPr>
                <w:rFonts w:eastAsia="Times New Roman"/>
                <w:color w:val="000000" w:themeColor="text1"/>
                <w:sz w:val="20"/>
                <w:szCs w:val="20"/>
                <w:lang w:eastAsia="ru-RU"/>
              </w:rPr>
              <w:t>Администрация поселения</w:t>
            </w:r>
          </w:p>
        </w:tc>
        <w:tc>
          <w:tcPr>
            <w:tcW w:w="3375" w:type="dxa"/>
            <w:tcBorders/>
          </w:tcPr>
          <w:p>
            <w:pPr>
              <w:pStyle w:val="Normal"/>
              <w:spacing w:lineRule="auto" w:line="240"/>
              <w:ind w:right="-133" w:hanging="0"/>
              <w:jc w:val="left"/>
              <w:rPr>
                <w:b/>
                <w:b/>
                <w:bCs/>
                <w:color w:val="000000" w:themeColor="text1"/>
                <w:sz w:val="20"/>
                <w:szCs w:val="20"/>
                <w:highlight w:val="white"/>
                <w:lang w:bidi="ru-RU"/>
              </w:rPr>
            </w:pPr>
            <w:r>
              <w:rPr>
                <w:bCs/>
                <w:sz w:val="20"/>
                <w:szCs w:val="20"/>
                <w:shd w:fill="FFFFFF" w:val="clear"/>
                <w:lang w:bidi="ru-RU"/>
              </w:rPr>
              <w:t>Челябинская область, Варненский муниципальный район, Катенинское сельское поселение,</w:t>
            </w:r>
            <w:r>
              <w:rPr>
                <w:sz w:val="20"/>
                <w:szCs w:val="20"/>
              </w:rPr>
              <w:t xml:space="preserve"> с. Катенино, </w:t>
            </w:r>
            <w:r>
              <w:rPr>
                <w:sz w:val="20"/>
              </w:rPr>
              <w:t>ул. Школьная д. 23</w:t>
            </w:r>
            <w:r>
              <w:rPr>
                <w:bCs/>
                <w:sz w:val="20"/>
                <w:szCs w:val="20"/>
                <w:shd w:fill="FFFFFF" w:val="clear"/>
                <w:lang w:bidi="ru-RU"/>
              </w:rPr>
              <w:t xml:space="preserve">, (кадастровый номер земельного участка </w:t>
            </w:r>
            <w:r>
              <w:rPr>
                <w:sz w:val="20"/>
              </w:rPr>
              <w:t>74:05:1700001:773)</w:t>
            </w:r>
          </w:p>
        </w:tc>
        <w:tc>
          <w:tcPr>
            <w:tcW w:w="1276" w:type="dxa"/>
            <w:tcBorders/>
          </w:tcPr>
          <w:p>
            <w:pPr>
              <w:pStyle w:val="Normal"/>
              <w:spacing w:lineRule="auto" w:line="240"/>
              <w:jc w:val="center"/>
              <w:rPr>
                <w:rFonts w:eastAsia="Times New Roman"/>
                <w:color w:val="000000" w:themeColor="text1"/>
                <w:sz w:val="20"/>
                <w:szCs w:val="20"/>
                <w:lang w:eastAsia="ru-RU"/>
              </w:rPr>
            </w:pPr>
            <w:r>
              <w:rPr>
                <w:rFonts w:eastAsia="Times New Roman"/>
                <w:color w:val="000000" w:themeColor="text1"/>
                <w:sz w:val="20"/>
                <w:szCs w:val="20"/>
                <w:lang w:eastAsia="ru-RU"/>
              </w:rPr>
              <w:t>142</w:t>
            </w:r>
          </w:p>
        </w:tc>
        <w:tc>
          <w:tcPr>
            <w:tcW w:w="2119" w:type="dxa"/>
            <w:tcBorders/>
          </w:tcPr>
          <w:p>
            <w:pPr>
              <w:pStyle w:val="Normal"/>
              <w:spacing w:lineRule="auto" w:line="240"/>
              <w:jc w:val="center"/>
              <w:rPr>
                <w:rFonts w:eastAsia="Times New Roman"/>
                <w:b/>
                <w:b/>
                <w:color w:val="000000" w:themeColor="text1"/>
                <w:sz w:val="20"/>
                <w:szCs w:val="20"/>
                <w:lang w:eastAsia="ru-RU"/>
              </w:rPr>
            </w:pPr>
            <w:r>
              <w:rPr>
                <w:color w:val="000000" w:themeColor="text1"/>
                <w:sz w:val="20"/>
              </w:rPr>
              <w:t>1960, удовлетворительное</w:t>
            </w:r>
          </w:p>
        </w:tc>
      </w:tr>
      <w:tr>
        <w:trPr/>
        <w:tc>
          <w:tcPr>
            <w:tcW w:w="421" w:type="dxa"/>
            <w:tcBorders/>
          </w:tcPr>
          <w:p>
            <w:pPr>
              <w:pStyle w:val="Normal"/>
              <w:spacing w:lineRule="auto" w:line="240"/>
              <w:jc w:val="center"/>
              <w:rPr>
                <w:rFonts w:eastAsia="Times New Roman"/>
                <w:bCs/>
                <w:color w:val="000000" w:themeColor="text1"/>
                <w:sz w:val="20"/>
                <w:szCs w:val="20"/>
                <w:highlight w:val="white"/>
                <w:lang w:bidi="ru-RU"/>
              </w:rPr>
            </w:pPr>
            <w:r>
              <w:rPr>
                <w:rFonts w:eastAsia="Times New Roman"/>
                <w:bCs/>
                <w:color w:val="000000" w:themeColor="text1"/>
                <w:sz w:val="20"/>
                <w:szCs w:val="20"/>
                <w:shd w:fill="FFFFFF" w:val="clear"/>
                <w:lang w:bidi="ru-RU"/>
              </w:rPr>
              <w:t>2</w:t>
            </w:r>
          </w:p>
        </w:tc>
        <w:tc>
          <w:tcPr>
            <w:tcW w:w="1139" w:type="dxa"/>
            <w:tcBorders/>
          </w:tcPr>
          <w:p>
            <w:pPr>
              <w:pStyle w:val="Normal"/>
              <w:spacing w:lineRule="auto" w:line="240"/>
              <w:jc w:val="left"/>
              <w:rPr>
                <w:color w:val="000000" w:themeColor="text1"/>
                <w:sz w:val="20"/>
              </w:rPr>
            </w:pPr>
            <w:r>
              <w:rPr>
                <w:color w:val="000000" w:themeColor="text1"/>
                <w:sz w:val="20"/>
              </w:rPr>
              <w:t>С.9.1</w:t>
            </w:r>
          </w:p>
        </w:tc>
        <w:tc>
          <w:tcPr>
            <w:tcW w:w="1581" w:type="dxa"/>
            <w:tcBorders/>
          </w:tcPr>
          <w:p>
            <w:pPr>
              <w:pStyle w:val="Normal"/>
              <w:spacing w:lineRule="auto" w:line="240"/>
              <w:jc w:val="left"/>
              <w:rPr>
                <w:rFonts w:eastAsia="Times New Roman"/>
                <w:color w:val="000000" w:themeColor="text1"/>
                <w:sz w:val="20"/>
                <w:szCs w:val="20"/>
                <w:lang w:eastAsia="ru-RU"/>
              </w:rPr>
            </w:pPr>
            <w:r>
              <w:rPr>
                <w:color w:val="000000" w:themeColor="text1"/>
                <w:sz w:val="20"/>
              </w:rPr>
              <w:t xml:space="preserve">Отделение почтовой связи </w:t>
              <w:br/>
              <w:t>№ 456982</w:t>
            </w:r>
          </w:p>
        </w:tc>
        <w:tc>
          <w:tcPr>
            <w:tcW w:w="3375" w:type="dxa"/>
            <w:tcBorders/>
          </w:tcPr>
          <w:p>
            <w:pPr>
              <w:pStyle w:val="Normal"/>
              <w:spacing w:lineRule="auto" w:line="240"/>
              <w:ind w:right="-133" w:hanging="0"/>
              <w:jc w:val="left"/>
              <w:rPr>
                <w:rFonts w:eastAsia="Times New Roman"/>
                <w:color w:val="000000" w:themeColor="text1"/>
                <w:sz w:val="20"/>
                <w:szCs w:val="20"/>
                <w:lang w:eastAsia="ru-RU"/>
              </w:rPr>
            </w:pPr>
            <w:r>
              <w:rPr>
                <w:bCs/>
                <w:sz w:val="20"/>
                <w:szCs w:val="20"/>
                <w:shd w:fill="FFFFFF" w:val="clear"/>
                <w:lang w:bidi="ru-RU"/>
              </w:rPr>
              <w:t>Челябинская область, Варненский муниципальный район, Катенинское сельское поселение,</w:t>
            </w:r>
            <w:r>
              <w:rPr>
                <w:sz w:val="20"/>
                <w:szCs w:val="20"/>
              </w:rPr>
              <w:t xml:space="preserve"> с. Катенино, </w:t>
            </w:r>
            <w:r>
              <w:rPr>
                <w:sz w:val="20"/>
              </w:rPr>
              <w:t>ул. Мира, д. 23/1</w:t>
            </w:r>
          </w:p>
        </w:tc>
        <w:tc>
          <w:tcPr>
            <w:tcW w:w="1276" w:type="dxa"/>
            <w:tcBorders/>
          </w:tcPr>
          <w:p>
            <w:pPr>
              <w:pStyle w:val="Normal"/>
              <w:spacing w:lineRule="auto" w:line="240"/>
              <w:jc w:val="center"/>
              <w:rPr>
                <w:rFonts w:eastAsia="Times New Roman"/>
                <w:color w:val="000000" w:themeColor="text1"/>
                <w:sz w:val="20"/>
                <w:szCs w:val="20"/>
                <w:lang w:eastAsia="ru-RU"/>
              </w:rPr>
            </w:pPr>
            <w:r>
              <w:rPr>
                <w:rFonts w:eastAsia="Times New Roman"/>
                <w:color w:val="000000" w:themeColor="text1"/>
                <w:sz w:val="20"/>
                <w:szCs w:val="20"/>
                <w:lang w:eastAsia="ru-RU"/>
              </w:rPr>
              <w:t>58</w:t>
            </w:r>
          </w:p>
        </w:tc>
        <w:tc>
          <w:tcPr>
            <w:tcW w:w="2119" w:type="dxa"/>
            <w:tcBorders/>
          </w:tcPr>
          <w:p>
            <w:pPr>
              <w:pStyle w:val="Normal"/>
              <w:spacing w:lineRule="auto" w:line="240"/>
              <w:jc w:val="center"/>
              <w:rPr>
                <w:rFonts w:eastAsia="Times New Roman"/>
                <w:color w:val="000000" w:themeColor="text1"/>
                <w:sz w:val="20"/>
                <w:szCs w:val="20"/>
                <w:lang w:eastAsia="ru-RU"/>
              </w:rPr>
            </w:pPr>
            <w:r>
              <w:rPr>
                <w:rFonts w:eastAsia="Times New Roman"/>
                <w:color w:val="000000" w:themeColor="text1"/>
                <w:sz w:val="20"/>
                <w:szCs w:val="20"/>
                <w:lang w:eastAsia="ru-RU"/>
              </w:rPr>
              <w:t>1985,</w:t>
            </w:r>
            <w:r>
              <w:rPr>
                <w:color w:val="000000" w:themeColor="text1"/>
                <w:sz w:val="20"/>
              </w:rPr>
              <w:t xml:space="preserve"> удовлетворительное</w:t>
            </w:r>
          </w:p>
        </w:tc>
      </w:tr>
    </w:tbl>
    <w:p>
      <w:pPr>
        <w:pStyle w:val="Normal"/>
        <w:spacing w:lineRule="auto" w:line="276" w:before="120" w:after="200"/>
        <w:ind w:firstLine="709"/>
        <w:rPr>
          <w:b/>
          <w:b/>
          <w:szCs w:val="24"/>
        </w:rPr>
      </w:pPr>
      <w:r>
        <w:rPr>
          <w:b/>
          <w:szCs w:val="24"/>
        </w:rPr>
        <w:t>Информация об основных проблемах и ограничениях</w:t>
      </w:r>
    </w:p>
    <w:p>
      <w:pPr>
        <w:pStyle w:val="Normal"/>
        <w:spacing w:lineRule="auto" w:line="276"/>
        <w:ind w:firstLine="709"/>
        <w:rPr>
          <w:rFonts w:eastAsia="Calibri" w:eastAsiaTheme="minorHAnsi"/>
          <w:szCs w:val="24"/>
        </w:rPr>
      </w:pPr>
      <w:r>
        <w:rPr>
          <w:szCs w:val="24"/>
        </w:rPr>
        <w:t>Для объектов обслуживания сельского поселения характерно отсутствие развития существующих объектов обслуживания и торговли.</w:t>
      </w:r>
    </w:p>
    <w:p>
      <w:pPr>
        <w:pStyle w:val="Normal"/>
        <w:spacing w:lineRule="auto" w:line="276"/>
        <w:ind w:firstLine="709"/>
        <w:jc w:val="left"/>
        <w:rPr>
          <w:b/>
          <w:b/>
          <w:szCs w:val="24"/>
        </w:rPr>
      </w:pPr>
      <w:r>
        <w:rPr>
          <w:b/>
          <w:szCs w:val="24"/>
        </w:rPr>
        <w:t>Направления развития</w:t>
      </w:r>
    </w:p>
    <w:p>
      <w:pPr>
        <w:pStyle w:val="Normal"/>
        <w:spacing w:lineRule="auto" w:line="276"/>
        <w:ind w:firstLine="709"/>
        <w:rPr>
          <w:szCs w:val="24"/>
        </w:rPr>
      </w:pPr>
      <w:r>
        <w:rPr>
          <w:szCs w:val="24"/>
        </w:rPr>
        <w:t>Генеральным планом мероприятия по размещению планируемых объектов местного значения сельского поселен в области розничной торговли, общественного питания и бытового обслуживания и по реконструкции таких объектов не предусматриваются. В целях развития вышеуказанных объектов в населенных пунктах выделяются общественно-деловые зоны, в том числе для формирования обслуживающих центров в структуре населенных пунктов и дальнейшего размещения в данных зонах объектов местного значения сельского поселения в области розничной торговли, общественного питания и бытового обслуживания.</w:t>
      </w:r>
    </w:p>
    <w:p>
      <w:pPr>
        <w:pStyle w:val="0212161"/>
        <w:rPr>
          <w:b/>
          <w:b/>
        </w:rPr>
      </w:pPr>
      <w:bookmarkStart w:id="137" w:name="_Toc182210472"/>
      <w:bookmarkStart w:id="138" w:name="_Toc69297545"/>
      <w:bookmarkStart w:id="139" w:name="_Toc497157985"/>
      <w:r>
        <w:rPr/>
        <w:t>5.2.8 Обеспечение ритуального обслуживания</w:t>
      </w:r>
      <w:bookmarkEnd w:id="137"/>
      <w:bookmarkEnd w:id="138"/>
      <w:bookmarkEnd w:id="139"/>
    </w:p>
    <w:p>
      <w:pPr>
        <w:pStyle w:val="Normal"/>
        <w:spacing w:lineRule="auto" w:line="276" w:before="120" w:after="200"/>
        <w:ind w:firstLine="709"/>
        <w:jc w:val="left"/>
        <w:rPr>
          <w:b/>
          <w:b/>
        </w:rPr>
      </w:pPr>
      <w:bookmarkStart w:id="140" w:name="_Toc69297546"/>
      <w:r>
        <w:rPr>
          <w:b/>
        </w:rPr>
        <w:t xml:space="preserve">Анализ </w:t>
      </w:r>
      <w:r>
        <w:rPr>
          <w:b/>
          <w:szCs w:val="24"/>
        </w:rPr>
        <w:t>существующего</w:t>
      </w:r>
      <w:r>
        <w:rPr>
          <w:b/>
        </w:rPr>
        <w:t xml:space="preserve"> состояния</w:t>
      </w:r>
    </w:p>
    <w:p>
      <w:pPr>
        <w:pStyle w:val="Normal"/>
        <w:spacing w:lineRule="auto" w:line="276"/>
        <w:ind w:right="-2" w:firstLine="709"/>
        <w:rPr>
          <w:rFonts w:eastAsia="Times New Roman"/>
          <w:szCs w:val="24"/>
          <w:lang w:eastAsia="ru-RU"/>
        </w:rPr>
      </w:pPr>
      <w:r>
        <w:rPr>
          <w:rFonts w:eastAsia="Times New Roman"/>
          <w:szCs w:val="24"/>
          <w:lang w:eastAsia="ru-RU"/>
        </w:rPr>
        <w:t>Инфраструктура объектов ритуального обслуживания муниципального образования представлена 4 кладбищами. Сводный перечень объектов местного значения муниципального образования в области обеспечения ритуального обслуживания приведен в</w:t>
      </w:r>
      <w:r>
        <w:rPr/>
        <w:t xml:space="preserve"> таблице </w:t>
      </w:r>
      <w:r>
        <w:rPr>
          <w:rFonts w:eastAsia="Times New Roman"/>
          <w:szCs w:val="24"/>
          <w:lang w:eastAsia="ru-RU"/>
        </w:rPr>
        <w:t>3.5.9.</w:t>
      </w:r>
    </w:p>
    <w:p>
      <w:pPr>
        <w:pStyle w:val="Normal"/>
        <w:spacing w:lineRule="auto" w:line="276"/>
        <w:jc w:val="right"/>
        <w:rPr>
          <w:b/>
          <w:b/>
        </w:rPr>
      </w:pPr>
      <w:r>
        <w:rPr/>
      </w:r>
      <w:r>
        <w:br w:type="page"/>
      </w:r>
    </w:p>
    <w:p>
      <w:pPr>
        <w:pStyle w:val="Normal"/>
        <w:spacing w:lineRule="auto" w:line="276"/>
        <w:jc w:val="right"/>
        <w:rPr>
          <w:rFonts w:eastAsia="Times New Roman"/>
          <w:szCs w:val="24"/>
          <w:lang w:eastAsia="ru-RU"/>
        </w:rPr>
      </w:pPr>
      <w:r>
        <w:rPr/>
        <w:t xml:space="preserve">Таблице </w:t>
      </w:r>
      <w:r>
        <w:rPr>
          <w:rFonts w:eastAsia="Times New Roman"/>
          <w:szCs w:val="24"/>
          <w:lang w:eastAsia="ru-RU"/>
        </w:rPr>
        <w:t>3.5.</w:t>
      </w:r>
      <w:r>
        <w:rPr/>
        <w:t>9</w:t>
      </w:r>
    </w:p>
    <w:p>
      <w:pPr>
        <w:pStyle w:val="Normal"/>
        <w:spacing w:lineRule="auto" w:line="276"/>
        <w:jc w:val="center"/>
        <w:rPr>
          <w:rFonts w:eastAsia="Times New Roman"/>
          <w:szCs w:val="24"/>
          <w:lang w:eastAsia="ru-RU"/>
        </w:rPr>
      </w:pPr>
      <w:r>
        <w:rPr>
          <w:rFonts w:eastAsia="Times New Roman"/>
          <w:szCs w:val="24"/>
          <w:lang w:eastAsia="ru-RU"/>
        </w:rPr>
        <w:t>Перечень объектов местного значения муниципального образования в области обеспечения ритуального обслуживания</w:t>
      </w:r>
    </w:p>
    <w:tbl>
      <w:tblPr>
        <w:tblStyle w:val="1ff9"/>
        <w:tblW w:w="4950" w:type="pct"/>
        <w:jc w:val="left"/>
        <w:tblInd w:w="-28" w:type="dxa"/>
        <w:tblCellMar>
          <w:top w:w="0" w:type="dxa"/>
          <w:left w:w="28" w:type="dxa"/>
          <w:bottom w:w="0" w:type="dxa"/>
          <w:right w:w="28" w:type="dxa"/>
        </w:tblCellMar>
        <w:tblLook w:firstRow="1" w:noVBand="1" w:lastRow="0" w:firstColumn="1" w:lastColumn="0" w:noHBand="0" w:val="04a0"/>
      </w:tblPr>
      <w:tblGrid>
        <w:gridCol w:w="399"/>
        <w:gridCol w:w="863"/>
        <w:gridCol w:w="1390"/>
        <w:gridCol w:w="2271"/>
        <w:gridCol w:w="1548"/>
        <w:gridCol w:w="1969"/>
        <w:gridCol w:w="1380"/>
      </w:tblGrid>
      <w:tr>
        <w:trPr>
          <w:trHeight w:val="113" w:hRule="atLeast"/>
        </w:trPr>
        <w:tc>
          <w:tcPr>
            <w:tcW w:w="399" w:type="dxa"/>
            <w:tcBorders>
              <w:bottom w:val="nil"/>
            </w:tcBorders>
            <w:vAlign w:val="center"/>
          </w:tcPr>
          <w:p>
            <w:pPr>
              <w:pStyle w:val="Normal"/>
              <w:widowControl w:val="false"/>
              <w:spacing w:lineRule="auto" w:line="240"/>
              <w:jc w:val="center"/>
              <w:rPr>
                <w:rFonts w:eastAsia="Times New Roman"/>
                <w:b/>
                <w:b/>
                <w:bCs/>
                <w:sz w:val="20"/>
                <w:highlight w:val="white"/>
                <w:lang w:bidi="ru-RU"/>
              </w:rPr>
            </w:pPr>
            <w:r>
              <w:rPr>
                <w:rFonts w:eastAsia="Times New Roman"/>
                <w:b/>
                <w:bCs/>
                <w:sz w:val="20"/>
                <w:szCs w:val="22"/>
                <w:shd w:fill="FFFFFF" w:val="clear"/>
                <w:lang w:eastAsia="en-US" w:bidi="ru-RU"/>
              </w:rPr>
              <w:t>№</w:t>
            </w:r>
          </w:p>
        </w:tc>
        <w:tc>
          <w:tcPr>
            <w:tcW w:w="863" w:type="dxa"/>
            <w:tcBorders>
              <w:bottom w:val="nil"/>
            </w:tcBorders>
            <w:vAlign w:val="center"/>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 xml:space="preserve">№ </w:t>
            </w:r>
            <w:r>
              <w:rPr>
                <w:b/>
                <w:bCs/>
                <w:sz w:val="20"/>
                <w:szCs w:val="22"/>
                <w:shd w:fill="FFFFFF" w:val="clear"/>
                <w:lang w:eastAsia="en-US" w:bidi="ru-RU"/>
              </w:rPr>
              <w:t>на карте</w:t>
            </w:r>
          </w:p>
        </w:tc>
        <w:tc>
          <w:tcPr>
            <w:tcW w:w="1390" w:type="dxa"/>
            <w:tcBorders>
              <w:bottom w:val="nil"/>
            </w:tcBorders>
            <w:vAlign w:val="center"/>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Наименование</w:t>
            </w:r>
          </w:p>
        </w:tc>
        <w:tc>
          <w:tcPr>
            <w:tcW w:w="2271" w:type="dxa"/>
            <w:tcBorders>
              <w:bottom w:val="nil"/>
            </w:tcBorders>
            <w:vAlign w:val="center"/>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Местоположение</w:t>
            </w:r>
          </w:p>
        </w:tc>
        <w:tc>
          <w:tcPr>
            <w:tcW w:w="1548" w:type="dxa"/>
            <w:tcBorders>
              <w:bottom w:val="nil"/>
            </w:tcBorders>
            <w:vAlign w:val="center"/>
          </w:tcPr>
          <w:p>
            <w:pPr>
              <w:pStyle w:val="Normal"/>
              <w:spacing w:lineRule="auto" w:line="240"/>
              <w:ind w:right="-2" w:hanging="0"/>
              <w:jc w:val="center"/>
              <w:rPr>
                <w:sz w:val="20"/>
                <w:szCs w:val="20"/>
              </w:rPr>
            </w:pPr>
            <w:r>
              <w:rPr>
                <w:b/>
                <w:sz w:val="20"/>
                <w:szCs w:val="20"/>
                <w:lang w:eastAsia="en-US"/>
              </w:rPr>
              <w:t>Обслуживаемые населенные пункты</w:t>
            </w:r>
          </w:p>
        </w:tc>
        <w:tc>
          <w:tcPr>
            <w:tcW w:w="1969" w:type="dxa"/>
            <w:tcBorders>
              <w:bottom w:val="nil"/>
            </w:tcBorders>
            <w:vAlign w:val="center"/>
          </w:tcPr>
          <w:p>
            <w:pPr>
              <w:pStyle w:val="Normal"/>
              <w:spacing w:lineRule="auto" w:line="240"/>
              <w:ind w:right="-2" w:hanging="0"/>
              <w:jc w:val="center"/>
              <w:rPr>
                <w:b/>
                <w:b/>
                <w:bCs/>
                <w:sz w:val="20"/>
                <w:szCs w:val="20"/>
              </w:rPr>
            </w:pPr>
            <w:r>
              <w:rPr>
                <w:b/>
                <w:bCs/>
                <w:sz w:val="20"/>
                <w:szCs w:val="20"/>
                <w:lang w:eastAsia="en-US"/>
              </w:rPr>
              <w:t>Площадь (свободная площадь для захоронения/ площадь кладбища), га</w:t>
            </w:r>
          </w:p>
        </w:tc>
        <w:tc>
          <w:tcPr>
            <w:tcW w:w="1380" w:type="dxa"/>
            <w:tcBorders>
              <w:bottom w:val="nil"/>
            </w:tcBorders>
            <w:vAlign w:val="center"/>
          </w:tcPr>
          <w:p>
            <w:pPr>
              <w:pStyle w:val="Normal"/>
              <w:spacing w:lineRule="auto" w:line="240"/>
              <w:ind w:right="-2" w:hanging="0"/>
              <w:jc w:val="center"/>
              <w:rPr>
                <w:b/>
                <w:b/>
                <w:sz w:val="20"/>
                <w:szCs w:val="20"/>
              </w:rPr>
            </w:pPr>
            <w:r>
              <w:rPr>
                <w:b/>
                <w:sz w:val="20"/>
                <w:szCs w:val="20"/>
                <w:lang w:eastAsia="en-US"/>
              </w:rPr>
              <w:t>Статус кладбища (действующее, закрытое)</w:t>
            </w:r>
          </w:p>
        </w:tc>
      </w:tr>
    </w:tbl>
    <w:p>
      <w:pPr>
        <w:pStyle w:val="Normal"/>
        <w:spacing w:lineRule="auto" w:line="276"/>
        <w:rPr>
          <w:sz w:val="2"/>
          <w:szCs w:val="2"/>
        </w:rPr>
      </w:pPr>
      <w:r>
        <w:rPr>
          <w:sz w:val="2"/>
          <w:szCs w:val="2"/>
        </w:rPr>
      </w:r>
    </w:p>
    <w:tbl>
      <w:tblPr>
        <w:tblStyle w:val="1ff9"/>
        <w:tblW w:w="4950" w:type="pct"/>
        <w:jc w:val="left"/>
        <w:tblInd w:w="-57" w:type="dxa"/>
        <w:tblCellMar>
          <w:top w:w="0" w:type="dxa"/>
          <w:left w:w="57" w:type="dxa"/>
          <w:bottom w:w="0" w:type="dxa"/>
          <w:right w:w="57" w:type="dxa"/>
        </w:tblCellMar>
        <w:tblLook w:firstRow="1" w:noVBand="1" w:lastRow="0" w:firstColumn="1" w:lastColumn="0" w:noHBand="0" w:val="04a0"/>
      </w:tblPr>
      <w:tblGrid>
        <w:gridCol w:w="411"/>
        <w:gridCol w:w="855"/>
        <w:gridCol w:w="1397"/>
        <w:gridCol w:w="2257"/>
        <w:gridCol w:w="1548"/>
        <w:gridCol w:w="1972"/>
        <w:gridCol w:w="1380"/>
      </w:tblGrid>
      <w:tr>
        <w:trPr>
          <w:tblHeader w:val="true"/>
          <w:trHeight w:val="20" w:hRule="atLeast"/>
        </w:trPr>
        <w:tc>
          <w:tcPr>
            <w:tcW w:w="411" w:type="dxa"/>
            <w:tcBorders/>
            <w:vAlign w:val="center"/>
          </w:tcPr>
          <w:p>
            <w:pPr>
              <w:pStyle w:val="Normal"/>
              <w:widowControl w:val="false"/>
              <w:spacing w:lineRule="auto" w:line="240"/>
              <w:jc w:val="center"/>
              <w:rPr>
                <w:rFonts w:eastAsia="Times New Roman"/>
                <w:b/>
                <w:b/>
                <w:bCs/>
                <w:sz w:val="20"/>
                <w:highlight w:val="white"/>
                <w:lang w:bidi="ru-RU"/>
              </w:rPr>
            </w:pPr>
            <w:r>
              <w:rPr>
                <w:rFonts w:eastAsia="Times New Roman"/>
                <w:b/>
                <w:bCs/>
                <w:sz w:val="20"/>
                <w:szCs w:val="22"/>
                <w:shd w:fill="FFFFFF" w:val="clear"/>
                <w:lang w:eastAsia="en-US" w:bidi="ru-RU"/>
              </w:rPr>
              <w:t>1</w:t>
            </w:r>
          </w:p>
        </w:tc>
        <w:tc>
          <w:tcPr>
            <w:tcW w:w="855" w:type="dxa"/>
            <w:tcBorders/>
            <w:vAlign w:val="center"/>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2</w:t>
            </w:r>
          </w:p>
        </w:tc>
        <w:tc>
          <w:tcPr>
            <w:tcW w:w="1397" w:type="dxa"/>
            <w:tcBorders/>
            <w:vAlign w:val="center"/>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3</w:t>
            </w:r>
          </w:p>
        </w:tc>
        <w:tc>
          <w:tcPr>
            <w:tcW w:w="2257" w:type="dxa"/>
            <w:tcBorders/>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4</w:t>
            </w:r>
          </w:p>
        </w:tc>
        <w:tc>
          <w:tcPr>
            <w:tcW w:w="1548" w:type="dxa"/>
            <w:tcBorders/>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5</w:t>
            </w:r>
          </w:p>
        </w:tc>
        <w:tc>
          <w:tcPr>
            <w:tcW w:w="1972" w:type="dxa"/>
            <w:tcBorders/>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6</w:t>
            </w:r>
          </w:p>
        </w:tc>
        <w:tc>
          <w:tcPr>
            <w:tcW w:w="1380" w:type="dxa"/>
            <w:tcBorders/>
          </w:tcPr>
          <w:p>
            <w:pPr>
              <w:pStyle w:val="Normal"/>
              <w:spacing w:lineRule="auto" w:line="240"/>
              <w:ind w:right="-2" w:hanging="0"/>
              <w:jc w:val="center"/>
              <w:rPr>
                <w:b/>
                <w:b/>
                <w:bCs/>
                <w:sz w:val="20"/>
                <w:highlight w:val="white"/>
                <w:lang w:bidi="ru-RU"/>
              </w:rPr>
            </w:pPr>
            <w:r>
              <w:rPr>
                <w:b/>
                <w:bCs/>
                <w:sz w:val="20"/>
                <w:szCs w:val="22"/>
                <w:shd w:fill="FFFFFF" w:val="clear"/>
                <w:lang w:eastAsia="en-US" w:bidi="ru-RU"/>
              </w:rPr>
              <w:t>7</w:t>
            </w:r>
          </w:p>
        </w:tc>
      </w:tr>
      <w:tr>
        <w:trPr>
          <w:trHeight w:val="20" w:hRule="atLeast"/>
        </w:trPr>
        <w:tc>
          <w:tcPr>
            <w:tcW w:w="411" w:type="dxa"/>
            <w:tcBorders/>
            <w:shd w:color="auto" w:fill="auto" w:val="clear"/>
          </w:tcPr>
          <w:p>
            <w:pPr>
              <w:pStyle w:val="Normal"/>
              <w:widowControl w:val="false"/>
              <w:spacing w:lineRule="auto" w:line="240"/>
              <w:jc w:val="center"/>
              <w:rPr>
                <w:rFonts w:eastAsia="Times New Roman"/>
                <w:bCs/>
                <w:sz w:val="20"/>
                <w:highlight w:val="white"/>
                <w:lang w:bidi="ru-RU"/>
              </w:rPr>
            </w:pPr>
            <w:r>
              <w:rPr>
                <w:rFonts w:eastAsia="Times New Roman"/>
                <w:bCs/>
                <w:sz w:val="20"/>
                <w:szCs w:val="22"/>
                <w:shd w:fill="FFFFFF" w:val="clear"/>
                <w:lang w:eastAsia="en-US" w:bidi="ru-RU"/>
              </w:rPr>
              <w:t>1</w:t>
            </w:r>
          </w:p>
        </w:tc>
        <w:tc>
          <w:tcPr>
            <w:tcW w:w="855" w:type="dxa"/>
            <w:tcBorders/>
          </w:tcPr>
          <w:p>
            <w:pPr>
              <w:pStyle w:val="Normal"/>
              <w:widowControl w:val="false"/>
              <w:spacing w:lineRule="auto" w:line="240"/>
              <w:jc w:val="left"/>
              <w:rPr>
                <w:sz w:val="20"/>
                <w:szCs w:val="20"/>
              </w:rPr>
            </w:pPr>
            <w:r>
              <w:rPr>
                <w:sz w:val="20"/>
                <w:szCs w:val="20"/>
                <w:lang w:eastAsia="en-US"/>
              </w:rPr>
              <w:t>МП.1.1</w:t>
            </w:r>
          </w:p>
        </w:tc>
        <w:tc>
          <w:tcPr>
            <w:tcW w:w="1397" w:type="dxa"/>
            <w:tcBorders/>
            <w:shd w:color="auto" w:fill="auto" w:val="clear"/>
          </w:tcPr>
          <w:p>
            <w:pPr>
              <w:pStyle w:val="Normal"/>
              <w:widowControl w:val="false"/>
              <w:spacing w:lineRule="auto" w:line="240"/>
              <w:jc w:val="left"/>
              <w:rPr>
                <w:rFonts w:eastAsia="Times New Roman"/>
                <w:b/>
                <w:b/>
                <w:sz w:val="20"/>
                <w:szCs w:val="20"/>
              </w:rPr>
            </w:pPr>
            <w:r>
              <w:rPr>
                <w:sz w:val="20"/>
                <w:szCs w:val="20"/>
                <w:lang w:eastAsia="en-US"/>
              </w:rPr>
              <w:t>Кладбище</w:t>
            </w:r>
          </w:p>
        </w:tc>
        <w:tc>
          <w:tcPr>
            <w:tcW w:w="2257" w:type="dxa"/>
            <w:tcBorders/>
            <w:shd w:color="auto" w:fill="auto" w:val="clear"/>
          </w:tcPr>
          <w:p>
            <w:pPr>
              <w:pStyle w:val="Normal"/>
              <w:spacing w:lineRule="auto" w:line="240"/>
              <w:ind w:right="-56" w:hanging="0"/>
              <w:jc w:val="left"/>
              <w:rPr>
                <w:bCs/>
                <w:sz w:val="20"/>
                <w:szCs w:val="20"/>
                <w:highlight w:val="white"/>
                <w:lang w:bidi="ru-RU"/>
              </w:rPr>
            </w:pPr>
            <w:r>
              <w:rPr>
                <w:bCs/>
                <w:sz w:val="20"/>
                <w:szCs w:val="20"/>
                <w:shd w:fill="FFFFFF" w:val="clear"/>
                <w:lang w:eastAsia="en-US" w:bidi="ru-RU"/>
              </w:rPr>
              <w:t>Челябинская область, Варненский муниципальный район, Катенинское сельское поселение, с. Катенино</w:t>
            </w:r>
          </w:p>
        </w:tc>
        <w:tc>
          <w:tcPr>
            <w:tcW w:w="1548" w:type="dxa"/>
            <w:tcBorders/>
            <w:shd w:color="auto" w:fill="auto" w:val="clear"/>
          </w:tcPr>
          <w:p>
            <w:pPr>
              <w:pStyle w:val="Normal"/>
              <w:spacing w:lineRule="auto" w:line="240"/>
              <w:jc w:val="left"/>
              <w:rPr>
                <w:bCs/>
                <w:sz w:val="20"/>
                <w:szCs w:val="20"/>
                <w:highlight w:val="white"/>
                <w:lang w:bidi="ru-RU"/>
              </w:rPr>
            </w:pPr>
            <w:r>
              <w:rPr>
                <w:bCs/>
                <w:sz w:val="20"/>
                <w:szCs w:val="20"/>
                <w:shd w:fill="FFFFFF" w:val="clear"/>
                <w:lang w:eastAsia="en-US" w:bidi="ru-RU"/>
              </w:rPr>
              <w:t>с. Катенино</w:t>
            </w:r>
          </w:p>
        </w:tc>
        <w:tc>
          <w:tcPr>
            <w:tcW w:w="1972" w:type="dxa"/>
            <w:tcBorders/>
            <w:shd w:color="auto" w:fill="auto" w:val="clear"/>
          </w:tcPr>
          <w:p>
            <w:pPr>
              <w:pStyle w:val="Normal"/>
              <w:spacing w:lineRule="auto" w:line="240"/>
              <w:jc w:val="center"/>
              <w:rPr>
                <w:bCs/>
                <w:sz w:val="20"/>
                <w:szCs w:val="20"/>
                <w:highlight w:val="white"/>
                <w:lang w:bidi="ru-RU"/>
              </w:rPr>
            </w:pPr>
            <w:r>
              <w:rPr>
                <w:bCs/>
                <w:sz w:val="20"/>
                <w:szCs w:val="20"/>
                <w:shd w:fill="FFFFFF" w:val="clear"/>
                <w:lang w:eastAsia="en-US" w:bidi="ru-RU"/>
              </w:rPr>
              <w:t>-/2,84</w:t>
            </w:r>
          </w:p>
        </w:tc>
        <w:tc>
          <w:tcPr>
            <w:tcW w:w="1380" w:type="dxa"/>
            <w:tcBorders/>
            <w:shd w:color="auto" w:fill="auto" w:val="clear"/>
          </w:tcPr>
          <w:p>
            <w:pPr>
              <w:pStyle w:val="Normal"/>
              <w:spacing w:lineRule="auto" w:line="240"/>
              <w:jc w:val="center"/>
              <w:rPr>
                <w:bCs/>
                <w:sz w:val="20"/>
                <w:szCs w:val="20"/>
                <w:highlight w:val="white"/>
                <w:lang w:bidi="ru-RU"/>
              </w:rPr>
            </w:pPr>
            <w:r>
              <w:rPr>
                <w:bCs/>
                <w:sz w:val="20"/>
                <w:szCs w:val="20"/>
                <w:shd w:fill="FFFFFF" w:val="clear"/>
                <w:lang w:eastAsia="en-US" w:bidi="ru-RU"/>
              </w:rPr>
              <w:t>Действующее</w:t>
            </w:r>
          </w:p>
        </w:tc>
      </w:tr>
      <w:tr>
        <w:trPr>
          <w:trHeight w:val="20" w:hRule="atLeast"/>
        </w:trPr>
        <w:tc>
          <w:tcPr>
            <w:tcW w:w="411" w:type="dxa"/>
            <w:tcBorders/>
          </w:tcPr>
          <w:p>
            <w:pPr>
              <w:pStyle w:val="Normal"/>
              <w:widowControl w:val="false"/>
              <w:spacing w:lineRule="auto" w:line="240"/>
              <w:jc w:val="center"/>
              <w:rPr>
                <w:rFonts w:eastAsia="Times New Roman"/>
                <w:bCs/>
                <w:sz w:val="20"/>
                <w:highlight w:val="white"/>
                <w:lang w:bidi="ru-RU"/>
              </w:rPr>
            </w:pPr>
            <w:r>
              <w:rPr>
                <w:rFonts w:eastAsia="Times New Roman"/>
                <w:bCs/>
                <w:sz w:val="20"/>
                <w:szCs w:val="22"/>
                <w:shd w:fill="FFFFFF" w:val="clear"/>
                <w:lang w:eastAsia="en-US" w:bidi="ru-RU"/>
              </w:rPr>
              <w:t>2</w:t>
            </w:r>
          </w:p>
        </w:tc>
        <w:tc>
          <w:tcPr>
            <w:tcW w:w="855" w:type="dxa"/>
            <w:tcBorders/>
          </w:tcPr>
          <w:p>
            <w:pPr>
              <w:pStyle w:val="Normal"/>
              <w:widowControl w:val="false"/>
              <w:spacing w:lineRule="auto" w:line="240"/>
              <w:jc w:val="left"/>
              <w:rPr>
                <w:sz w:val="20"/>
                <w:szCs w:val="20"/>
              </w:rPr>
            </w:pPr>
            <w:r>
              <w:rPr>
                <w:sz w:val="20"/>
                <w:szCs w:val="20"/>
                <w:lang w:eastAsia="en-US"/>
              </w:rPr>
              <w:t>МП.1.2</w:t>
            </w:r>
          </w:p>
        </w:tc>
        <w:tc>
          <w:tcPr>
            <w:tcW w:w="1397" w:type="dxa"/>
            <w:tcBorders/>
          </w:tcPr>
          <w:p>
            <w:pPr>
              <w:pStyle w:val="Normal"/>
              <w:widowControl w:val="false"/>
              <w:spacing w:lineRule="auto" w:line="240"/>
              <w:jc w:val="left"/>
              <w:rPr>
                <w:rFonts w:eastAsia="Times New Roman"/>
                <w:b/>
                <w:b/>
                <w:sz w:val="20"/>
                <w:szCs w:val="20"/>
              </w:rPr>
            </w:pPr>
            <w:r>
              <w:rPr>
                <w:sz w:val="20"/>
                <w:szCs w:val="20"/>
                <w:lang w:eastAsia="en-US"/>
              </w:rPr>
              <w:t>Кладбище</w:t>
            </w:r>
          </w:p>
        </w:tc>
        <w:tc>
          <w:tcPr>
            <w:tcW w:w="2257" w:type="dxa"/>
            <w:tcBorders/>
          </w:tcPr>
          <w:p>
            <w:pPr>
              <w:pStyle w:val="Normal"/>
              <w:spacing w:lineRule="auto" w:line="240"/>
              <w:jc w:val="left"/>
              <w:rPr>
                <w:bCs/>
                <w:sz w:val="20"/>
                <w:szCs w:val="20"/>
                <w:highlight w:val="white"/>
                <w:lang w:bidi="ru-RU"/>
              </w:rPr>
            </w:pPr>
            <w:r>
              <w:rPr>
                <w:bCs/>
                <w:sz w:val="20"/>
                <w:szCs w:val="20"/>
                <w:shd w:fill="FFFFFF" w:val="clear"/>
                <w:lang w:eastAsia="en-US" w:bidi="ru-RU"/>
              </w:rPr>
              <w:t>Челябинская область, Варненский муниципальный район, Катенинское сельское поселение, п. Караоба</w:t>
            </w:r>
          </w:p>
        </w:tc>
        <w:tc>
          <w:tcPr>
            <w:tcW w:w="1548" w:type="dxa"/>
            <w:tcBorders/>
          </w:tcPr>
          <w:p>
            <w:pPr>
              <w:pStyle w:val="Normal"/>
              <w:spacing w:lineRule="auto" w:line="240"/>
              <w:jc w:val="left"/>
              <w:rPr>
                <w:bCs/>
                <w:sz w:val="20"/>
                <w:szCs w:val="20"/>
                <w:highlight w:val="white"/>
                <w:lang w:bidi="ru-RU"/>
              </w:rPr>
            </w:pPr>
            <w:r>
              <w:rPr>
                <w:bCs/>
                <w:sz w:val="20"/>
                <w:szCs w:val="20"/>
                <w:shd w:fill="FFFFFF" w:val="clear"/>
                <w:lang w:eastAsia="en-US" w:bidi="ru-RU"/>
              </w:rPr>
              <w:t>п. Караоба</w:t>
            </w:r>
          </w:p>
        </w:tc>
        <w:tc>
          <w:tcPr>
            <w:tcW w:w="1972" w:type="dxa"/>
            <w:tcBorders/>
          </w:tcPr>
          <w:p>
            <w:pPr>
              <w:pStyle w:val="Normal"/>
              <w:spacing w:lineRule="auto" w:line="240"/>
              <w:jc w:val="center"/>
              <w:rPr>
                <w:bCs/>
                <w:sz w:val="20"/>
                <w:szCs w:val="20"/>
                <w:highlight w:val="white"/>
                <w:lang w:bidi="ru-RU"/>
              </w:rPr>
            </w:pPr>
            <w:r>
              <w:rPr>
                <w:bCs/>
                <w:sz w:val="20"/>
                <w:szCs w:val="20"/>
                <w:shd w:fill="FFFFFF" w:val="clear"/>
                <w:lang w:eastAsia="en-US" w:bidi="ru-RU"/>
              </w:rPr>
              <w:t>-/0,5</w:t>
            </w:r>
          </w:p>
        </w:tc>
        <w:tc>
          <w:tcPr>
            <w:tcW w:w="1380" w:type="dxa"/>
            <w:tcBorders/>
          </w:tcPr>
          <w:p>
            <w:pPr>
              <w:pStyle w:val="Normal"/>
              <w:spacing w:lineRule="auto" w:line="240"/>
              <w:jc w:val="center"/>
              <w:rPr>
                <w:bCs/>
                <w:sz w:val="20"/>
                <w:szCs w:val="20"/>
                <w:highlight w:val="white"/>
                <w:lang w:bidi="ru-RU"/>
              </w:rPr>
            </w:pPr>
            <w:r>
              <w:rPr>
                <w:bCs/>
                <w:sz w:val="20"/>
                <w:szCs w:val="20"/>
                <w:shd w:fill="FFFFFF" w:val="clear"/>
                <w:lang w:eastAsia="en-US" w:bidi="ru-RU"/>
              </w:rPr>
              <w:t>Действующее</w:t>
            </w:r>
          </w:p>
        </w:tc>
      </w:tr>
      <w:tr>
        <w:trPr>
          <w:trHeight w:val="20" w:hRule="atLeast"/>
        </w:trPr>
        <w:tc>
          <w:tcPr>
            <w:tcW w:w="411" w:type="dxa"/>
            <w:tcBorders/>
          </w:tcPr>
          <w:p>
            <w:pPr>
              <w:pStyle w:val="Normal"/>
              <w:widowControl w:val="false"/>
              <w:spacing w:lineRule="auto" w:line="240"/>
              <w:jc w:val="center"/>
              <w:rPr>
                <w:rFonts w:eastAsia="Times New Roman"/>
                <w:bCs/>
                <w:sz w:val="20"/>
                <w:highlight w:val="white"/>
                <w:lang w:bidi="ru-RU"/>
              </w:rPr>
            </w:pPr>
            <w:r>
              <w:rPr>
                <w:rFonts w:eastAsia="Times New Roman"/>
                <w:bCs/>
                <w:sz w:val="20"/>
                <w:szCs w:val="22"/>
                <w:shd w:fill="FFFFFF" w:val="clear"/>
                <w:lang w:eastAsia="en-US" w:bidi="ru-RU"/>
              </w:rPr>
              <w:t>3</w:t>
            </w:r>
          </w:p>
        </w:tc>
        <w:tc>
          <w:tcPr>
            <w:tcW w:w="855" w:type="dxa"/>
            <w:tcBorders/>
          </w:tcPr>
          <w:p>
            <w:pPr>
              <w:pStyle w:val="Normal"/>
              <w:widowControl w:val="false"/>
              <w:spacing w:lineRule="auto" w:line="240"/>
              <w:jc w:val="left"/>
              <w:rPr>
                <w:sz w:val="20"/>
                <w:szCs w:val="20"/>
              </w:rPr>
            </w:pPr>
            <w:r>
              <w:rPr>
                <w:sz w:val="20"/>
                <w:szCs w:val="20"/>
                <w:lang w:eastAsia="en-US"/>
              </w:rPr>
              <w:t>МП.1.3</w:t>
            </w:r>
          </w:p>
        </w:tc>
        <w:tc>
          <w:tcPr>
            <w:tcW w:w="1397" w:type="dxa"/>
            <w:tcBorders/>
          </w:tcPr>
          <w:p>
            <w:pPr>
              <w:pStyle w:val="Normal"/>
              <w:widowControl w:val="false"/>
              <w:spacing w:lineRule="auto" w:line="240"/>
              <w:jc w:val="left"/>
              <w:rPr>
                <w:rFonts w:eastAsia="Times New Roman"/>
                <w:b/>
                <w:b/>
                <w:sz w:val="20"/>
                <w:szCs w:val="20"/>
              </w:rPr>
            </w:pPr>
            <w:r>
              <w:rPr>
                <w:sz w:val="20"/>
                <w:szCs w:val="20"/>
                <w:lang w:eastAsia="en-US"/>
              </w:rPr>
              <w:t>Кладбище</w:t>
            </w:r>
          </w:p>
        </w:tc>
        <w:tc>
          <w:tcPr>
            <w:tcW w:w="2257" w:type="dxa"/>
            <w:tcBorders/>
          </w:tcPr>
          <w:p>
            <w:pPr>
              <w:pStyle w:val="Normal"/>
              <w:spacing w:lineRule="auto" w:line="240"/>
              <w:jc w:val="left"/>
              <w:rPr>
                <w:bCs/>
                <w:sz w:val="20"/>
                <w:szCs w:val="20"/>
                <w:highlight w:val="white"/>
                <w:lang w:bidi="ru-RU"/>
              </w:rPr>
            </w:pPr>
            <w:r>
              <w:rPr>
                <w:bCs/>
                <w:sz w:val="20"/>
                <w:szCs w:val="20"/>
                <w:shd w:fill="FFFFFF" w:val="clear"/>
                <w:lang w:eastAsia="en-US" w:bidi="ru-RU"/>
              </w:rPr>
              <w:t>Челябинская область, Варненский муниципальный район, Катенинское сельское поселение, п. Комсомольский</w:t>
            </w:r>
          </w:p>
        </w:tc>
        <w:tc>
          <w:tcPr>
            <w:tcW w:w="1548" w:type="dxa"/>
            <w:tcBorders/>
          </w:tcPr>
          <w:p>
            <w:pPr>
              <w:pStyle w:val="Normal"/>
              <w:spacing w:lineRule="auto" w:line="240"/>
              <w:jc w:val="left"/>
              <w:rPr>
                <w:bCs/>
                <w:sz w:val="20"/>
                <w:szCs w:val="20"/>
                <w:highlight w:val="white"/>
                <w:lang w:bidi="ru-RU"/>
              </w:rPr>
            </w:pPr>
            <w:r>
              <w:rPr>
                <w:bCs/>
                <w:sz w:val="20"/>
                <w:szCs w:val="20"/>
                <w:shd w:fill="FFFFFF" w:val="clear"/>
                <w:lang w:eastAsia="en-US" w:bidi="ru-RU"/>
              </w:rPr>
              <w:t>п. Комсомольский</w:t>
            </w:r>
          </w:p>
        </w:tc>
        <w:tc>
          <w:tcPr>
            <w:tcW w:w="1972" w:type="dxa"/>
            <w:tcBorders/>
          </w:tcPr>
          <w:p>
            <w:pPr>
              <w:pStyle w:val="Normal"/>
              <w:spacing w:lineRule="auto" w:line="240"/>
              <w:jc w:val="center"/>
              <w:rPr>
                <w:bCs/>
                <w:sz w:val="20"/>
                <w:szCs w:val="20"/>
                <w:highlight w:val="white"/>
                <w:lang w:bidi="ru-RU"/>
              </w:rPr>
            </w:pPr>
            <w:r>
              <w:rPr>
                <w:bCs/>
                <w:sz w:val="20"/>
                <w:szCs w:val="20"/>
                <w:shd w:fill="FFFFFF" w:val="clear"/>
                <w:lang w:eastAsia="en-US" w:bidi="ru-RU"/>
              </w:rPr>
              <w:t>-/0,35</w:t>
            </w:r>
          </w:p>
        </w:tc>
        <w:tc>
          <w:tcPr>
            <w:tcW w:w="1380" w:type="dxa"/>
            <w:tcBorders/>
          </w:tcPr>
          <w:p>
            <w:pPr>
              <w:pStyle w:val="Normal"/>
              <w:spacing w:lineRule="auto" w:line="240"/>
              <w:jc w:val="center"/>
              <w:rPr>
                <w:bCs/>
                <w:sz w:val="20"/>
                <w:szCs w:val="20"/>
                <w:highlight w:val="white"/>
                <w:lang w:bidi="ru-RU"/>
              </w:rPr>
            </w:pPr>
            <w:r>
              <w:rPr>
                <w:bCs/>
                <w:sz w:val="20"/>
                <w:szCs w:val="20"/>
                <w:shd w:fill="FFFFFF" w:val="clear"/>
                <w:lang w:eastAsia="en-US" w:bidi="ru-RU"/>
              </w:rPr>
              <w:t>Действующее</w:t>
            </w:r>
          </w:p>
        </w:tc>
      </w:tr>
      <w:tr>
        <w:trPr>
          <w:trHeight w:val="20" w:hRule="atLeast"/>
        </w:trPr>
        <w:tc>
          <w:tcPr>
            <w:tcW w:w="411" w:type="dxa"/>
            <w:tcBorders/>
          </w:tcPr>
          <w:p>
            <w:pPr>
              <w:pStyle w:val="Normal"/>
              <w:widowControl w:val="false"/>
              <w:spacing w:lineRule="auto" w:line="240"/>
              <w:jc w:val="center"/>
              <w:rPr>
                <w:rFonts w:eastAsia="Times New Roman"/>
                <w:bCs/>
                <w:sz w:val="20"/>
                <w:highlight w:val="white"/>
                <w:lang w:bidi="ru-RU"/>
              </w:rPr>
            </w:pPr>
            <w:r>
              <w:rPr>
                <w:rFonts w:eastAsia="Times New Roman"/>
                <w:bCs/>
                <w:sz w:val="20"/>
                <w:szCs w:val="22"/>
                <w:shd w:fill="FFFFFF" w:val="clear"/>
                <w:lang w:eastAsia="en-US" w:bidi="ru-RU"/>
              </w:rPr>
              <w:t>4</w:t>
            </w:r>
          </w:p>
        </w:tc>
        <w:tc>
          <w:tcPr>
            <w:tcW w:w="855" w:type="dxa"/>
            <w:tcBorders/>
          </w:tcPr>
          <w:p>
            <w:pPr>
              <w:pStyle w:val="Normal"/>
              <w:widowControl w:val="false"/>
              <w:spacing w:lineRule="auto" w:line="240"/>
              <w:jc w:val="left"/>
              <w:rPr>
                <w:sz w:val="20"/>
                <w:szCs w:val="20"/>
              </w:rPr>
            </w:pPr>
            <w:r>
              <w:rPr>
                <w:sz w:val="20"/>
                <w:szCs w:val="20"/>
                <w:lang w:eastAsia="en-US"/>
              </w:rPr>
              <w:t>МП.1.4</w:t>
            </w:r>
          </w:p>
        </w:tc>
        <w:tc>
          <w:tcPr>
            <w:tcW w:w="1397" w:type="dxa"/>
            <w:tcBorders/>
          </w:tcPr>
          <w:p>
            <w:pPr>
              <w:pStyle w:val="Normal"/>
              <w:widowControl w:val="false"/>
              <w:spacing w:lineRule="auto" w:line="240"/>
              <w:jc w:val="left"/>
              <w:rPr>
                <w:sz w:val="20"/>
                <w:szCs w:val="20"/>
              </w:rPr>
            </w:pPr>
            <w:r>
              <w:rPr>
                <w:sz w:val="20"/>
                <w:szCs w:val="20"/>
                <w:lang w:eastAsia="en-US"/>
              </w:rPr>
              <w:t>Кладбище</w:t>
            </w:r>
          </w:p>
        </w:tc>
        <w:tc>
          <w:tcPr>
            <w:tcW w:w="2257" w:type="dxa"/>
            <w:tcBorders/>
          </w:tcPr>
          <w:p>
            <w:pPr>
              <w:pStyle w:val="Normal"/>
              <w:spacing w:lineRule="auto" w:line="240"/>
              <w:jc w:val="left"/>
              <w:rPr>
                <w:bCs/>
                <w:sz w:val="20"/>
                <w:szCs w:val="20"/>
                <w:highlight w:val="white"/>
                <w:lang w:bidi="ru-RU"/>
              </w:rPr>
            </w:pPr>
            <w:r>
              <w:rPr>
                <w:bCs/>
                <w:sz w:val="20"/>
                <w:szCs w:val="20"/>
                <w:shd w:fill="FFFFFF" w:val="clear"/>
                <w:lang w:eastAsia="en-US" w:bidi="ru-RU"/>
              </w:rPr>
              <w:t>Челябинская область, Варненский муниципальный район, Катенинское сельское поселение, п. Красноармейский</w:t>
            </w:r>
          </w:p>
        </w:tc>
        <w:tc>
          <w:tcPr>
            <w:tcW w:w="1548" w:type="dxa"/>
            <w:tcBorders/>
          </w:tcPr>
          <w:p>
            <w:pPr>
              <w:pStyle w:val="Normal"/>
              <w:spacing w:lineRule="auto" w:line="240"/>
              <w:jc w:val="left"/>
              <w:rPr>
                <w:bCs/>
                <w:sz w:val="20"/>
                <w:szCs w:val="20"/>
                <w:highlight w:val="white"/>
                <w:lang w:bidi="ru-RU"/>
              </w:rPr>
            </w:pPr>
            <w:r>
              <w:rPr>
                <w:bCs/>
                <w:sz w:val="20"/>
                <w:szCs w:val="20"/>
                <w:shd w:fill="FFFFFF" w:val="clear"/>
                <w:lang w:eastAsia="en-US" w:bidi="ru-RU"/>
              </w:rPr>
              <w:t>п. Красноармейский</w:t>
            </w:r>
          </w:p>
        </w:tc>
        <w:tc>
          <w:tcPr>
            <w:tcW w:w="1972" w:type="dxa"/>
            <w:tcBorders/>
          </w:tcPr>
          <w:p>
            <w:pPr>
              <w:pStyle w:val="Normal"/>
              <w:spacing w:lineRule="auto" w:line="240"/>
              <w:jc w:val="center"/>
              <w:rPr>
                <w:bCs/>
                <w:sz w:val="20"/>
                <w:szCs w:val="20"/>
                <w:highlight w:val="white"/>
                <w:lang w:bidi="ru-RU"/>
              </w:rPr>
            </w:pPr>
            <w:r>
              <w:rPr>
                <w:bCs/>
                <w:sz w:val="20"/>
                <w:szCs w:val="20"/>
                <w:shd w:fill="FFFFFF" w:val="clear"/>
                <w:lang w:eastAsia="en-US" w:bidi="ru-RU"/>
              </w:rPr>
              <w:t>-</w:t>
            </w:r>
          </w:p>
        </w:tc>
        <w:tc>
          <w:tcPr>
            <w:tcW w:w="1380" w:type="dxa"/>
            <w:tcBorders/>
          </w:tcPr>
          <w:p>
            <w:pPr>
              <w:pStyle w:val="Normal"/>
              <w:spacing w:lineRule="auto" w:line="240"/>
              <w:jc w:val="center"/>
              <w:rPr>
                <w:bCs/>
                <w:sz w:val="20"/>
                <w:szCs w:val="20"/>
                <w:highlight w:val="white"/>
                <w:lang w:bidi="ru-RU"/>
              </w:rPr>
            </w:pPr>
            <w:r>
              <w:rPr>
                <w:bCs/>
                <w:sz w:val="20"/>
                <w:szCs w:val="20"/>
                <w:shd w:fill="FFFFFF" w:val="clear"/>
                <w:lang w:eastAsia="en-US" w:bidi="ru-RU"/>
              </w:rPr>
              <w:t>Действующее</w:t>
            </w:r>
          </w:p>
        </w:tc>
      </w:tr>
    </w:tbl>
    <w:p>
      <w:pPr>
        <w:pStyle w:val="Normal"/>
        <w:spacing w:lineRule="auto" w:line="276" w:before="120" w:after="200"/>
        <w:ind w:firstLine="709"/>
        <w:jc w:val="left"/>
        <w:rPr>
          <w:b/>
          <w:b/>
          <w:szCs w:val="24"/>
        </w:rPr>
      </w:pPr>
      <w:r>
        <w:rPr>
          <w:b/>
          <w:szCs w:val="24"/>
        </w:rPr>
        <w:t>Направления развития</w:t>
      </w:r>
    </w:p>
    <w:p>
      <w:pPr>
        <w:pStyle w:val="Normal"/>
        <w:spacing w:lineRule="auto" w:line="276"/>
        <w:ind w:right="-2" w:firstLine="709"/>
        <w:rPr>
          <w:rFonts w:eastAsia="Times New Roman"/>
          <w:szCs w:val="24"/>
          <w:lang w:eastAsia="ru-RU"/>
        </w:rPr>
      </w:pPr>
      <w:r>
        <w:rPr>
          <w:rFonts w:eastAsia="Times New Roman"/>
          <w:szCs w:val="24"/>
          <w:lang w:eastAsia="ru-RU"/>
        </w:rPr>
        <w:t>Генеральным планом мероприятия по размещению планируемых объектов ритуального обслуживания и по реконструкции таких объектов не предусматриваются.</w:t>
      </w:r>
    </w:p>
    <w:p>
      <w:pPr>
        <w:sectPr>
          <w:headerReference w:type="default" r:id="rId82"/>
          <w:footerReference w:type="default" r:id="rId83"/>
          <w:type w:val="nextPage"/>
          <w:pgSz w:w="11906" w:h="16838"/>
          <w:pgMar w:left="1418" w:right="567" w:header="567" w:top="1134" w:footer="567" w:bottom="1134" w:gutter="0"/>
          <w:pgNumType w:fmt="decimal"/>
          <w:formProt w:val="false"/>
          <w:textDirection w:val="lrTb"/>
          <w:docGrid w:type="default" w:linePitch="360" w:charSpace="0"/>
        </w:sectPr>
        <w:pStyle w:val="Normal"/>
        <w:rPr>
          <w:szCs w:val="24"/>
          <w:lang w:eastAsia="ru-RU"/>
        </w:rPr>
      </w:pPr>
      <w:r>
        <w:rPr>
          <w:szCs w:val="24"/>
          <w:lang w:eastAsia="ru-RU"/>
        </w:rPr>
      </w:r>
    </w:p>
    <w:p>
      <w:pPr>
        <w:pStyle w:val="0212164"/>
        <w:rPr>
          <w:szCs w:val="24"/>
          <w:lang w:eastAsia="ru-RU"/>
        </w:rPr>
      </w:pPr>
      <w:bookmarkStart w:id="141" w:name="_Toc69297546"/>
      <w:bookmarkStart w:id="142" w:name="_Toc182210473"/>
      <w:r>
        <w:rPr/>
        <w:t xml:space="preserve">ГЛАВА 6. </w:t>
      </w:r>
      <w:bookmarkEnd w:id="141"/>
      <w:r>
        <w:rPr/>
        <w:t>ПРЕДПРИЯТИЯ ПРОМЫШЛЕННОСТИ, СЕЛЬСКОГО ХОЗЯЙСТВА И ЛЕСНОГО ХОЗЯЙСТВА</w:t>
      </w:r>
      <w:bookmarkEnd w:id="142"/>
    </w:p>
    <w:p>
      <w:pPr>
        <w:pStyle w:val="0212161"/>
        <w:rPr>
          <w:szCs w:val="24"/>
          <w:lang w:eastAsia="ru-RU"/>
        </w:rPr>
      </w:pPr>
      <w:bookmarkStart w:id="143" w:name="_Toc464044877"/>
      <w:bookmarkStart w:id="144" w:name="_Toc463611276"/>
      <w:bookmarkStart w:id="145" w:name="_Toc463606344"/>
      <w:bookmarkStart w:id="146" w:name="_Toc413402215"/>
      <w:bookmarkStart w:id="147" w:name="_Toc411951841"/>
      <w:bookmarkStart w:id="148" w:name="_Toc411951747"/>
      <w:bookmarkStart w:id="149" w:name="_Toc182210474"/>
      <w:bookmarkStart w:id="150" w:name="_Toc69297548"/>
      <w:bookmarkEnd w:id="143"/>
      <w:bookmarkEnd w:id="144"/>
      <w:bookmarkEnd w:id="145"/>
      <w:bookmarkEnd w:id="146"/>
      <w:bookmarkEnd w:id="147"/>
      <w:bookmarkEnd w:id="148"/>
      <w:r>
        <w:rPr/>
        <w:t xml:space="preserve">6.1 </w:t>
      </w:r>
      <w:bookmarkStart w:id="151" w:name="_Toc69297549"/>
      <w:bookmarkEnd w:id="150"/>
      <w:bookmarkEnd w:id="151"/>
      <w:r>
        <w:rPr/>
        <w:t>Промышленность</w:t>
      </w:r>
      <w:bookmarkEnd w:id="149"/>
      <w:r>
        <w:rPr/>
        <w:t xml:space="preserve"> </w:t>
      </w:r>
    </w:p>
    <w:p>
      <w:pPr>
        <w:pStyle w:val="Normal"/>
        <w:spacing w:lineRule="auto" w:line="276" w:before="120" w:after="200"/>
        <w:ind w:firstLine="709"/>
        <w:jc w:val="left"/>
        <w:rPr>
          <w:b/>
          <w:b/>
          <w:szCs w:val="24"/>
        </w:rPr>
      </w:pPr>
      <w:r>
        <w:rPr>
          <w:b/>
        </w:rPr>
        <w:t>Анализ су</w:t>
      </w:r>
      <w:r>
        <w:rPr>
          <w:b/>
          <w:szCs w:val="24"/>
        </w:rPr>
        <w:t xml:space="preserve">ществующего состояния </w:t>
      </w:r>
    </w:p>
    <w:p>
      <w:pPr>
        <w:pStyle w:val="Normal"/>
        <w:spacing w:lineRule="auto" w:line="276"/>
        <w:ind w:right="-2" w:firstLine="709"/>
        <w:rPr>
          <w:rFonts w:eastAsia="Times New Roman"/>
          <w:szCs w:val="24"/>
          <w:lang w:eastAsia="ru-RU"/>
        </w:rPr>
      </w:pPr>
      <w:r>
        <w:rPr>
          <w:rFonts w:eastAsia="Times New Roman"/>
          <w:szCs w:val="24"/>
          <w:lang w:eastAsia="ru-RU"/>
        </w:rPr>
        <w:t xml:space="preserve">Перечень предприятий промышленности, осуществляющих свою деятельность на территории </w:t>
      </w:r>
      <w:r>
        <w:rPr/>
        <w:t>Катенинского сельского поселения</w:t>
      </w:r>
      <w:r>
        <w:rPr>
          <w:rFonts w:eastAsia="Times New Roman"/>
          <w:szCs w:val="24"/>
          <w:lang w:eastAsia="ru-RU"/>
        </w:rPr>
        <w:t>, представлен в таблице 3.6.1.</w:t>
      </w:r>
    </w:p>
    <w:p>
      <w:pPr>
        <w:pStyle w:val="Normal"/>
        <w:spacing w:lineRule="auto" w:line="276"/>
        <w:ind w:firstLine="709"/>
        <w:jc w:val="right"/>
        <w:rPr>
          <w:szCs w:val="24"/>
          <w:lang w:eastAsia="ru-RU"/>
        </w:rPr>
      </w:pPr>
      <w:r>
        <w:rPr/>
        <w:t>Таблица 3.6.1</w:t>
      </w:r>
    </w:p>
    <w:p>
      <w:pPr>
        <w:pStyle w:val="Normal"/>
        <w:spacing w:lineRule="auto" w:line="276"/>
        <w:ind w:firstLine="709"/>
        <w:jc w:val="center"/>
        <w:rPr>
          <w:szCs w:val="24"/>
          <w:lang w:eastAsia="ru-RU"/>
        </w:rPr>
      </w:pPr>
      <w:r>
        <w:rPr/>
        <w:t>Перечень предприятий промышленности, осуществляющих свою деятельность на территории Катенинского сельского поселения</w:t>
      </w:r>
    </w:p>
    <w:tbl>
      <w:tblPr>
        <w:tblW w:w="5000" w:type="pct"/>
        <w:jc w:val="left"/>
        <w:tblInd w:w="-57" w:type="dxa"/>
        <w:tblCellMar>
          <w:top w:w="0" w:type="dxa"/>
          <w:left w:w="57" w:type="dxa"/>
          <w:bottom w:w="0" w:type="dxa"/>
          <w:right w:w="57" w:type="dxa"/>
        </w:tblCellMar>
        <w:tblLook w:firstRow="1" w:noVBand="1" w:lastRow="0" w:firstColumn="1" w:lastColumn="0" w:noHBand="0" w:val="04a0"/>
      </w:tblPr>
      <w:tblGrid>
        <w:gridCol w:w="458"/>
        <w:gridCol w:w="957"/>
        <w:gridCol w:w="2129"/>
        <w:gridCol w:w="2414"/>
        <w:gridCol w:w="2554"/>
        <w:gridCol w:w="1408"/>
      </w:tblGrid>
      <w:tr>
        <w:trPr>
          <w:tblHeader w:val="true"/>
          <w:trHeight w:val="186" w:hRule="atLeast"/>
        </w:trPr>
        <w:tc>
          <w:tcPr>
            <w:tcW w:w="458" w:type="dxa"/>
            <w:tcBorders>
              <w:top w:val="single" w:sz="4" w:space="0" w:color="000000"/>
              <w:left w:val="single" w:sz="4" w:space="0" w:color="000000"/>
              <w:right w:val="single" w:sz="4" w:space="0" w:color="000000"/>
            </w:tcBorders>
            <w:vAlign w:val="center"/>
          </w:tcPr>
          <w:p>
            <w:pPr>
              <w:pStyle w:val="Normal"/>
              <w:spacing w:lineRule="auto" w:line="240"/>
              <w:jc w:val="center"/>
              <w:rPr>
                <w:b/>
                <w:b/>
                <w:color w:val="000000" w:themeColor="text1"/>
                <w:sz w:val="20"/>
                <w:szCs w:val="20"/>
              </w:rPr>
            </w:pPr>
            <w:r>
              <w:rPr>
                <w:b/>
                <w:color w:val="000000" w:themeColor="text1"/>
                <w:sz w:val="20"/>
                <w:szCs w:val="20"/>
              </w:rPr>
              <w:t xml:space="preserve">№ </w:t>
            </w:r>
          </w:p>
        </w:tc>
        <w:tc>
          <w:tcPr>
            <w:tcW w:w="957" w:type="dxa"/>
            <w:tcBorders>
              <w:top w:val="single" w:sz="4" w:space="0" w:color="000000"/>
              <w:left w:val="single" w:sz="4" w:space="0" w:color="000000"/>
              <w:right w:val="single" w:sz="4" w:space="0" w:color="000000"/>
            </w:tcBorders>
            <w:vAlign w:val="center"/>
          </w:tcPr>
          <w:p>
            <w:pPr>
              <w:pStyle w:val="Normal"/>
              <w:spacing w:lineRule="auto" w:line="240"/>
              <w:jc w:val="center"/>
              <w:rPr>
                <w:b/>
                <w:b/>
                <w:color w:val="000000" w:themeColor="text1"/>
                <w:sz w:val="20"/>
                <w:szCs w:val="20"/>
              </w:rPr>
            </w:pPr>
            <w:r>
              <w:rPr>
                <w:b/>
                <w:color w:val="000000" w:themeColor="text1"/>
                <w:sz w:val="20"/>
                <w:szCs w:val="20"/>
              </w:rPr>
              <w:t xml:space="preserve">№ </w:t>
            </w:r>
            <w:r>
              <w:rPr>
                <w:b/>
                <w:color w:val="000000" w:themeColor="text1"/>
                <w:sz w:val="20"/>
                <w:szCs w:val="20"/>
              </w:rPr>
              <w:t>на карте</w:t>
            </w:r>
          </w:p>
        </w:tc>
        <w:tc>
          <w:tcPr>
            <w:tcW w:w="2129" w:type="dxa"/>
            <w:tcBorders>
              <w:top w:val="single" w:sz="4" w:space="0" w:color="000000"/>
              <w:left w:val="single" w:sz="4" w:space="0" w:color="000000"/>
              <w:right w:val="single" w:sz="4" w:space="0" w:color="000000"/>
            </w:tcBorders>
            <w:vAlign w:val="center"/>
          </w:tcPr>
          <w:p>
            <w:pPr>
              <w:pStyle w:val="Normal"/>
              <w:spacing w:lineRule="auto" w:line="240"/>
              <w:jc w:val="center"/>
              <w:rPr>
                <w:b/>
                <w:b/>
                <w:color w:val="000000" w:themeColor="text1"/>
                <w:sz w:val="20"/>
                <w:szCs w:val="20"/>
              </w:rPr>
            </w:pPr>
            <w:r>
              <w:rPr>
                <w:b/>
                <w:color w:val="000000" w:themeColor="text1"/>
                <w:sz w:val="20"/>
                <w:szCs w:val="20"/>
              </w:rPr>
              <w:t>Наименование</w:t>
            </w:r>
          </w:p>
        </w:tc>
        <w:tc>
          <w:tcPr>
            <w:tcW w:w="2414" w:type="dxa"/>
            <w:tcBorders>
              <w:top w:val="single" w:sz="4" w:space="0" w:color="000000"/>
              <w:left w:val="single" w:sz="4" w:space="0" w:color="000000"/>
              <w:right w:val="single" w:sz="4" w:space="0" w:color="000000"/>
            </w:tcBorders>
            <w:vAlign w:val="center"/>
          </w:tcPr>
          <w:p>
            <w:pPr>
              <w:pStyle w:val="Normal"/>
              <w:spacing w:lineRule="auto" w:line="240"/>
              <w:jc w:val="center"/>
              <w:rPr>
                <w:b/>
                <w:b/>
                <w:color w:val="000000" w:themeColor="text1"/>
                <w:sz w:val="20"/>
                <w:szCs w:val="20"/>
              </w:rPr>
            </w:pPr>
            <w:r>
              <w:rPr>
                <w:b/>
                <w:color w:val="000000" w:themeColor="text1"/>
                <w:sz w:val="20"/>
                <w:szCs w:val="20"/>
              </w:rPr>
              <w:t>Местоположение</w:t>
            </w:r>
          </w:p>
        </w:tc>
        <w:tc>
          <w:tcPr>
            <w:tcW w:w="2554" w:type="dxa"/>
            <w:tcBorders>
              <w:top w:val="single" w:sz="4" w:space="0" w:color="000000"/>
              <w:left w:val="single" w:sz="4" w:space="0" w:color="000000"/>
              <w:right w:val="single" w:sz="4" w:space="0" w:color="000000"/>
            </w:tcBorders>
            <w:vAlign w:val="center"/>
          </w:tcPr>
          <w:p>
            <w:pPr>
              <w:pStyle w:val="Normal"/>
              <w:spacing w:lineRule="auto" w:line="240"/>
              <w:jc w:val="center"/>
              <w:rPr>
                <w:b/>
                <w:b/>
                <w:color w:val="000000" w:themeColor="text1"/>
                <w:sz w:val="20"/>
                <w:szCs w:val="20"/>
              </w:rPr>
            </w:pPr>
            <w:r>
              <w:rPr>
                <w:b/>
                <w:color w:val="000000" w:themeColor="text1"/>
                <w:sz w:val="20"/>
                <w:szCs w:val="20"/>
              </w:rPr>
              <w:t>Специализация</w:t>
            </w:r>
          </w:p>
        </w:tc>
        <w:tc>
          <w:tcPr>
            <w:tcW w:w="1408" w:type="dxa"/>
            <w:tcBorders>
              <w:top w:val="single" w:sz="4" w:space="0" w:color="000000"/>
              <w:left w:val="single" w:sz="4" w:space="0" w:color="000000"/>
              <w:right w:val="single" w:sz="4" w:space="0" w:color="000000"/>
            </w:tcBorders>
            <w:vAlign w:val="center"/>
          </w:tcPr>
          <w:p>
            <w:pPr>
              <w:pStyle w:val="Normal"/>
              <w:spacing w:lineRule="auto" w:line="240"/>
              <w:jc w:val="center"/>
              <w:rPr>
                <w:b/>
                <w:b/>
                <w:color w:val="000000" w:themeColor="text1"/>
                <w:sz w:val="20"/>
                <w:szCs w:val="20"/>
              </w:rPr>
            </w:pPr>
            <w:r>
              <w:rPr>
                <w:b/>
                <w:color w:val="000000" w:themeColor="text1"/>
                <w:sz w:val="20"/>
                <w:szCs w:val="20"/>
              </w:rPr>
              <w:t>Численность работающих, человек</w:t>
            </w:r>
          </w:p>
        </w:tc>
      </w:tr>
    </w:tbl>
    <w:p>
      <w:pPr>
        <w:pStyle w:val="ListParagraph"/>
        <w:numPr>
          <w:ilvl w:val="0"/>
          <w:numId w:val="10"/>
        </w:numPr>
        <w:spacing w:lineRule="auto" w:line="9"/>
        <w:rPr>
          <w:iCs/>
          <w:color w:val="000000" w:themeColor="text1"/>
          <w:szCs w:val="24"/>
        </w:rPr>
      </w:pPr>
      <w:r>
        <w:rPr>
          <w:iCs/>
          <w:color w:val="000000" w:themeColor="text1"/>
          <w:szCs w:val="24"/>
        </w:rPr>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421"/>
        <w:gridCol w:w="993"/>
        <w:gridCol w:w="2157"/>
        <w:gridCol w:w="2383"/>
        <w:gridCol w:w="2554"/>
        <w:gridCol w:w="1412"/>
      </w:tblGrid>
      <w:tr>
        <w:trPr>
          <w:tblHeader w:val="true"/>
          <w:trHeight w:val="186" w:hRule="atLeast"/>
        </w:trPr>
        <w:tc>
          <w:tcPr>
            <w:tcW w:w="42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color w:val="000000" w:themeColor="text1"/>
                <w:sz w:val="20"/>
                <w:szCs w:val="20"/>
              </w:rPr>
            </w:pPr>
            <w:r>
              <w:rPr>
                <w:b/>
                <w:color w:val="000000" w:themeColor="text1"/>
                <w:sz w:val="20"/>
                <w:szCs w:val="20"/>
              </w:rPr>
              <w:t>1</w:t>
            </w:r>
          </w:p>
        </w:tc>
        <w:tc>
          <w:tcPr>
            <w:tcW w:w="993"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color w:val="000000" w:themeColor="text1"/>
                <w:sz w:val="20"/>
                <w:szCs w:val="20"/>
              </w:rPr>
            </w:pPr>
            <w:r>
              <w:rPr>
                <w:b/>
                <w:color w:val="000000" w:themeColor="text1"/>
                <w:sz w:val="20"/>
                <w:szCs w:val="20"/>
              </w:rPr>
              <w:t>2</w:t>
            </w:r>
          </w:p>
        </w:tc>
        <w:tc>
          <w:tcPr>
            <w:tcW w:w="2157"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color w:val="000000" w:themeColor="text1"/>
                <w:sz w:val="20"/>
                <w:szCs w:val="20"/>
              </w:rPr>
            </w:pPr>
            <w:r>
              <w:rPr>
                <w:b/>
                <w:color w:val="000000" w:themeColor="text1"/>
                <w:sz w:val="20"/>
                <w:szCs w:val="20"/>
              </w:rPr>
              <w:t>3</w:t>
            </w:r>
          </w:p>
        </w:tc>
        <w:tc>
          <w:tcPr>
            <w:tcW w:w="238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color w:val="000000" w:themeColor="text1"/>
                <w:sz w:val="20"/>
                <w:szCs w:val="20"/>
              </w:rPr>
            </w:pPr>
            <w:r>
              <w:rPr>
                <w:b/>
                <w:color w:val="000000" w:themeColor="text1"/>
                <w:sz w:val="20"/>
                <w:szCs w:val="20"/>
              </w:rPr>
              <w:t>4</w:t>
            </w:r>
          </w:p>
        </w:tc>
        <w:tc>
          <w:tcPr>
            <w:tcW w:w="2554"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color w:val="000000" w:themeColor="text1"/>
                <w:sz w:val="20"/>
                <w:szCs w:val="20"/>
              </w:rPr>
            </w:pPr>
            <w:r>
              <w:rPr>
                <w:b/>
                <w:color w:val="000000" w:themeColor="text1"/>
                <w:sz w:val="20"/>
                <w:szCs w:val="20"/>
              </w:rPr>
              <w:t>5</w:t>
            </w:r>
          </w:p>
        </w:tc>
        <w:tc>
          <w:tcPr>
            <w:tcW w:w="141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color w:val="000000" w:themeColor="text1"/>
                <w:sz w:val="20"/>
                <w:szCs w:val="20"/>
              </w:rPr>
            </w:pPr>
            <w:r>
              <w:rPr>
                <w:b/>
                <w:color w:val="000000" w:themeColor="text1"/>
                <w:sz w:val="20"/>
                <w:szCs w:val="20"/>
              </w:rPr>
              <w:t>6</w:t>
            </w:r>
          </w:p>
        </w:tc>
      </w:tr>
      <w:tr>
        <w:trPr>
          <w:trHeight w:val="285" w:hRule="atLeast"/>
        </w:trPr>
        <w:tc>
          <w:tcPr>
            <w:tcW w:w="42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color w:val="000000" w:themeColor="text1"/>
                <w:sz w:val="20"/>
                <w:szCs w:val="20"/>
              </w:rPr>
            </w:pPr>
            <w:r>
              <w:rPr>
                <w:color w:val="000000" w:themeColor="text1"/>
                <w:sz w:val="20"/>
                <w:szCs w:val="20"/>
              </w:rPr>
              <w:t>1</w:t>
            </w:r>
          </w:p>
        </w:tc>
        <w:tc>
          <w:tcPr>
            <w:tcW w:w="993" w:type="dxa"/>
            <w:vMerge w:val="restart"/>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color w:val="000000" w:themeColor="text1"/>
                <w:sz w:val="20"/>
                <w:szCs w:val="20"/>
              </w:rPr>
            </w:pPr>
            <w:r>
              <w:rPr>
                <w:color w:val="000000" w:themeColor="text1"/>
                <w:sz w:val="20"/>
                <w:szCs w:val="20"/>
              </w:rPr>
              <w:t>ПП.1.1</w:t>
            </w:r>
          </w:p>
        </w:tc>
        <w:tc>
          <w:tcPr>
            <w:tcW w:w="215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color w:val="000000" w:themeColor="text1"/>
                <w:sz w:val="20"/>
                <w:szCs w:val="20"/>
              </w:rPr>
            </w:pPr>
            <w:r>
              <w:rPr>
                <w:sz w:val="20"/>
                <w:szCs w:val="20"/>
              </w:rPr>
              <w:t>Промышленный узел АО «Михеевский ГОК», ООО «ИНВЕСТ-РАЗВИТИЕ», ООО «ГазЭнерго», ООО «Капитал-Сити» (ГПС №2)</w:t>
            </w:r>
          </w:p>
        </w:tc>
        <w:tc>
          <w:tcPr>
            <w:tcW w:w="238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color w:val="000000" w:themeColor="text1"/>
                <w:sz w:val="20"/>
                <w:szCs w:val="20"/>
              </w:rPr>
            </w:pPr>
            <w:r>
              <w:rPr>
                <w:color w:val="000000" w:themeColor="text1"/>
                <w:sz w:val="20"/>
                <w:szCs w:val="20"/>
              </w:rPr>
              <w:t>Па юго-востоке Челябинской области, в 1.5 км восточнее автодороги Варна-Карталы, между населенными пунктами: Красноармейский, Комсомольский, Катенино, Новониколаевка</w:t>
            </w:r>
          </w:p>
        </w:tc>
        <w:tc>
          <w:tcPr>
            <w:tcW w:w="255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color w:val="000000" w:themeColor="text1"/>
                <w:sz w:val="20"/>
                <w:szCs w:val="20"/>
              </w:rPr>
            </w:pPr>
            <w:r>
              <w:rPr>
                <w:color w:val="000000" w:themeColor="text1"/>
                <w:sz w:val="20"/>
                <w:szCs w:val="20"/>
              </w:rPr>
              <w:t>Разработка месторождения медно-профильных руд</w:t>
            </w:r>
          </w:p>
        </w:tc>
        <w:tc>
          <w:tcPr>
            <w:tcW w:w="141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color w:val="000000" w:themeColor="text1"/>
                <w:sz w:val="20"/>
                <w:szCs w:val="20"/>
              </w:rPr>
            </w:pPr>
            <w:r>
              <w:rPr>
                <w:color w:val="000000" w:themeColor="text1"/>
                <w:sz w:val="20"/>
                <w:szCs w:val="20"/>
              </w:rPr>
              <w:t>-</w:t>
            </w:r>
          </w:p>
        </w:tc>
      </w:tr>
      <w:tr>
        <w:trPr>
          <w:trHeight w:val="285" w:hRule="atLeast"/>
        </w:trPr>
        <w:tc>
          <w:tcPr>
            <w:tcW w:w="42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color w:val="000000" w:themeColor="text1"/>
                <w:sz w:val="20"/>
                <w:szCs w:val="20"/>
              </w:rPr>
            </w:pPr>
            <w:r>
              <w:rPr>
                <w:color w:val="000000" w:themeColor="text1"/>
                <w:sz w:val="20"/>
                <w:szCs w:val="20"/>
              </w:rPr>
              <w:t>2</w:t>
            </w:r>
          </w:p>
        </w:tc>
        <w:tc>
          <w:tcPr>
            <w:tcW w:w="993" w:type="dxa"/>
            <w:vMerge w:val="continue"/>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color w:val="000000" w:themeColor="text1"/>
                <w:sz w:val="20"/>
                <w:szCs w:val="20"/>
              </w:rPr>
            </w:pPr>
            <w:r>
              <w:rPr>
                <w:color w:val="000000" w:themeColor="text1"/>
                <w:sz w:val="20"/>
                <w:szCs w:val="20"/>
              </w:rPr>
            </w:r>
          </w:p>
        </w:tc>
        <w:tc>
          <w:tcPr>
            <w:tcW w:w="215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color w:val="000000" w:themeColor="text1"/>
                <w:sz w:val="20"/>
                <w:szCs w:val="20"/>
              </w:rPr>
            </w:pPr>
            <w:r>
              <w:rPr>
                <w:sz w:val="20"/>
                <w:szCs w:val="20"/>
              </w:rPr>
              <w:t>ООО «ПРОММОНТАЖ»</w:t>
            </w:r>
          </w:p>
        </w:tc>
        <w:tc>
          <w:tcPr>
            <w:tcW w:w="238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color w:val="000000" w:themeColor="text1"/>
                <w:sz w:val="20"/>
                <w:szCs w:val="20"/>
              </w:rPr>
            </w:pPr>
            <w:r>
              <w:rPr>
                <w:color w:val="000000" w:themeColor="text1"/>
                <w:sz w:val="20"/>
                <w:szCs w:val="20"/>
              </w:rPr>
              <w:t>В границах производственной площадки АО «Михеевский ГОК»</w:t>
            </w:r>
          </w:p>
        </w:tc>
        <w:tc>
          <w:tcPr>
            <w:tcW w:w="255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color w:val="000000" w:themeColor="text1"/>
                <w:sz w:val="20"/>
                <w:szCs w:val="20"/>
              </w:rPr>
            </w:pPr>
            <w:r>
              <w:rPr>
                <w:color w:val="000000" w:themeColor="text1"/>
                <w:sz w:val="20"/>
                <w:szCs w:val="20"/>
              </w:rPr>
              <w:t>Строительство жилых и нежилых зданий</w:t>
            </w:r>
          </w:p>
        </w:tc>
        <w:tc>
          <w:tcPr>
            <w:tcW w:w="141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color w:val="000000" w:themeColor="text1"/>
                <w:sz w:val="20"/>
                <w:szCs w:val="20"/>
              </w:rPr>
            </w:pPr>
            <w:r>
              <w:rPr>
                <w:color w:val="000000" w:themeColor="text1"/>
                <w:sz w:val="20"/>
                <w:szCs w:val="20"/>
              </w:rPr>
              <w:t>-</w:t>
            </w:r>
          </w:p>
        </w:tc>
      </w:tr>
    </w:tbl>
    <w:p>
      <w:pPr>
        <w:pStyle w:val="Normal"/>
        <w:spacing w:lineRule="auto" w:line="276"/>
        <w:ind w:firstLine="709"/>
        <w:jc w:val="left"/>
        <w:rPr>
          <w:b/>
          <w:b/>
          <w:szCs w:val="24"/>
        </w:rPr>
      </w:pPr>
      <w:r>
        <w:rPr>
          <w:b/>
          <w:szCs w:val="24"/>
        </w:rPr>
        <w:t>Направления развития</w:t>
      </w:r>
    </w:p>
    <w:p>
      <w:pPr>
        <w:pStyle w:val="Normal"/>
        <w:spacing w:lineRule="auto" w:line="276"/>
        <w:ind w:right="-2" w:firstLine="709"/>
        <w:rPr>
          <w:rFonts w:eastAsia="Times New Roman"/>
          <w:szCs w:val="24"/>
          <w:lang w:eastAsia="ru-RU"/>
        </w:rPr>
      </w:pPr>
      <w:r>
        <w:rPr>
          <w:rFonts w:eastAsia="Times New Roman"/>
          <w:szCs w:val="24"/>
          <w:lang w:eastAsia="ru-RU"/>
        </w:rPr>
        <w:t>Генеральным планом мероприятия по размещению планируемых объектов промышленности и по реконструкции таких объектов не предусматриваются.</w:t>
      </w:r>
    </w:p>
    <w:p>
      <w:pPr>
        <w:pStyle w:val="0212161"/>
        <w:rPr>
          <w:szCs w:val="24"/>
          <w:lang w:eastAsia="ru-RU"/>
        </w:rPr>
      </w:pPr>
      <w:bookmarkStart w:id="152" w:name="_Toc182210475"/>
      <w:r>
        <w:rPr/>
        <w:t xml:space="preserve">6.2 </w:t>
      </w:r>
      <w:bookmarkStart w:id="153" w:name="_Toc69297549"/>
      <w:bookmarkEnd w:id="153"/>
      <w:r>
        <w:rPr/>
        <w:t>Сельское хозяйство</w:t>
      </w:r>
      <w:bookmarkEnd w:id="152"/>
    </w:p>
    <w:p>
      <w:pPr>
        <w:pStyle w:val="Normal"/>
        <w:spacing w:lineRule="auto" w:line="276" w:before="120" w:after="200"/>
        <w:ind w:firstLine="709"/>
        <w:jc w:val="left"/>
        <w:rPr>
          <w:b/>
          <w:b/>
          <w:szCs w:val="24"/>
        </w:rPr>
      </w:pPr>
      <w:r>
        <w:rPr>
          <w:b/>
        </w:rPr>
        <w:t>Анализ су</w:t>
      </w:r>
      <w:r>
        <w:rPr>
          <w:b/>
          <w:szCs w:val="24"/>
        </w:rPr>
        <w:t xml:space="preserve">ществующего состояния </w:t>
      </w:r>
    </w:p>
    <w:p>
      <w:pPr>
        <w:pStyle w:val="Normal"/>
        <w:spacing w:lineRule="auto" w:line="276"/>
        <w:ind w:firstLine="709"/>
        <w:rPr>
          <w:szCs w:val="24"/>
          <w:lang w:eastAsia="ru-RU"/>
        </w:rPr>
      </w:pPr>
      <w:r>
        <w:rPr/>
        <w:t xml:space="preserve">На территории сельского поселения существуют предприятия сельского хозяйства в отрасли производства молока, </w:t>
      </w:r>
      <w:r>
        <w:rPr>
          <w:szCs w:val="24"/>
        </w:rPr>
        <w:t>выращивания зерновых культур</w:t>
      </w:r>
      <w:r>
        <w:rPr/>
        <w:t>. Перечень объектов в области предприятий сельского хозяйства, расположенных на территории муниципального образования представлен в таблице 3.6.1.</w:t>
      </w:r>
    </w:p>
    <w:p>
      <w:pPr>
        <w:pStyle w:val="Normal"/>
        <w:spacing w:lineRule="auto" w:line="276"/>
        <w:ind w:firstLine="709"/>
        <w:jc w:val="right"/>
        <w:rPr>
          <w:szCs w:val="24"/>
          <w:lang w:eastAsia="ru-RU"/>
        </w:rPr>
      </w:pPr>
      <w:r>
        <w:rPr/>
        <w:t>Таблица 3.6.1</w:t>
      </w:r>
    </w:p>
    <w:p>
      <w:pPr>
        <w:pStyle w:val="Normal"/>
        <w:spacing w:lineRule="auto" w:line="276"/>
        <w:jc w:val="center"/>
        <w:rPr>
          <w:szCs w:val="24"/>
          <w:lang w:eastAsia="ru-RU"/>
        </w:rPr>
      </w:pPr>
      <w:r>
        <w:rPr/>
        <w:t>Перечень объектов в области предприятий сельского хозяйства</w:t>
      </w:r>
    </w:p>
    <w:tbl>
      <w:tblPr>
        <w:tblStyle w:val="1ff9"/>
        <w:tblW w:w="5000" w:type="pct"/>
        <w:jc w:val="left"/>
        <w:tblInd w:w="-108" w:type="dxa"/>
        <w:tblCellMar>
          <w:top w:w="0" w:type="dxa"/>
          <w:left w:w="108" w:type="dxa"/>
          <w:bottom w:w="0" w:type="dxa"/>
          <w:right w:w="108" w:type="dxa"/>
        </w:tblCellMar>
        <w:tblLook w:firstRow="1" w:noVBand="1" w:lastRow="0" w:firstColumn="1" w:lastColumn="0" w:noHBand="0" w:val="04a0"/>
      </w:tblPr>
      <w:tblGrid>
        <w:gridCol w:w="368"/>
        <w:gridCol w:w="1029"/>
        <w:gridCol w:w="2796"/>
        <w:gridCol w:w="2592"/>
        <w:gridCol w:w="3136"/>
      </w:tblGrid>
      <w:tr>
        <w:trPr>
          <w:trHeight w:val="2210" w:hRule="atLeast"/>
          <w:cantSplit w:val="true"/>
        </w:trPr>
        <w:tc>
          <w:tcPr>
            <w:tcW w:w="368" w:type="dxa"/>
            <w:tcBorders/>
            <w:vAlign w:val="center"/>
          </w:tcPr>
          <w:p>
            <w:pPr>
              <w:pStyle w:val="Normal"/>
              <w:widowControl w:val="false"/>
              <w:spacing w:lineRule="auto" w:line="240"/>
              <w:jc w:val="center"/>
              <w:rPr>
                <w:rFonts w:eastAsia="Times New Roman"/>
                <w:b/>
                <w:b/>
                <w:bCs/>
                <w:color w:val="000000"/>
                <w:sz w:val="20"/>
                <w:highlight w:val="white"/>
                <w:lang w:bidi="ru-RU"/>
              </w:rPr>
            </w:pPr>
            <w:r>
              <w:rPr>
                <w:rFonts w:eastAsia="Times New Roman"/>
                <w:b/>
                <w:bCs/>
                <w:color w:val="000000"/>
                <w:sz w:val="20"/>
                <w:szCs w:val="22"/>
                <w:shd w:fill="FFFFFF" w:val="clear"/>
                <w:lang w:eastAsia="en-US" w:bidi="ru-RU"/>
              </w:rPr>
              <w:t>№</w:t>
            </w:r>
          </w:p>
        </w:tc>
        <w:tc>
          <w:tcPr>
            <w:tcW w:w="1029" w:type="dxa"/>
            <w:tcBorders/>
            <w:vAlign w:val="center"/>
          </w:tcPr>
          <w:p>
            <w:pPr>
              <w:pStyle w:val="Normal"/>
              <w:spacing w:lineRule="auto" w:line="240"/>
              <w:ind w:right="-2" w:hanging="0"/>
              <w:jc w:val="center"/>
              <w:rPr>
                <w:b/>
                <w:b/>
                <w:bCs/>
                <w:color w:val="000000"/>
                <w:sz w:val="20"/>
                <w:highlight w:val="white"/>
                <w:lang w:bidi="ru-RU"/>
              </w:rPr>
            </w:pPr>
            <w:r>
              <w:rPr>
                <w:b/>
                <w:bCs/>
                <w:color w:val="000000"/>
                <w:sz w:val="20"/>
                <w:szCs w:val="22"/>
                <w:shd w:fill="FFFFFF" w:val="clear"/>
                <w:lang w:eastAsia="en-US" w:bidi="ru-RU"/>
              </w:rPr>
              <w:t xml:space="preserve">№ </w:t>
            </w:r>
            <w:r>
              <w:rPr>
                <w:b/>
                <w:bCs/>
                <w:color w:val="000000"/>
                <w:sz w:val="20"/>
                <w:szCs w:val="22"/>
                <w:shd w:fill="FFFFFF" w:val="clear"/>
                <w:lang w:eastAsia="en-US" w:bidi="ru-RU"/>
              </w:rPr>
              <w:t>объекта на карте</w:t>
            </w:r>
          </w:p>
        </w:tc>
        <w:tc>
          <w:tcPr>
            <w:tcW w:w="2796" w:type="dxa"/>
            <w:tcBorders/>
            <w:vAlign w:val="center"/>
          </w:tcPr>
          <w:p>
            <w:pPr>
              <w:pStyle w:val="Normal"/>
              <w:spacing w:lineRule="auto" w:line="240"/>
              <w:ind w:right="-2" w:hanging="0"/>
              <w:jc w:val="center"/>
              <w:rPr>
                <w:b/>
                <w:b/>
                <w:bCs/>
                <w:color w:val="000000"/>
                <w:sz w:val="20"/>
                <w:highlight w:val="white"/>
                <w:lang w:bidi="ru-RU"/>
              </w:rPr>
            </w:pPr>
            <w:r>
              <w:rPr>
                <w:b/>
                <w:bCs/>
                <w:color w:val="000000"/>
                <w:sz w:val="20"/>
                <w:szCs w:val="22"/>
                <w:shd w:fill="FFFFFF" w:val="clear"/>
                <w:lang w:eastAsia="en-US" w:bidi="ru-RU"/>
              </w:rPr>
              <w:t>Наименование</w:t>
            </w:r>
          </w:p>
        </w:tc>
        <w:tc>
          <w:tcPr>
            <w:tcW w:w="2592" w:type="dxa"/>
            <w:tcBorders/>
            <w:vAlign w:val="center"/>
          </w:tcPr>
          <w:p>
            <w:pPr>
              <w:pStyle w:val="Normal"/>
              <w:spacing w:lineRule="auto" w:line="240"/>
              <w:ind w:right="-2" w:hanging="0"/>
              <w:jc w:val="center"/>
              <w:rPr>
                <w:b/>
                <w:b/>
                <w:bCs/>
                <w:color w:val="000000"/>
                <w:sz w:val="20"/>
                <w:highlight w:val="white"/>
                <w:lang w:bidi="ru-RU"/>
              </w:rPr>
            </w:pPr>
            <w:r>
              <w:rPr>
                <w:b/>
                <w:bCs/>
                <w:color w:val="000000"/>
                <w:sz w:val="20"/>
                <w:szCs w:val="22"/>
                <w:shd w:fill="FFFFFF" w:val="clear"/>
                <w:lang w:eastAsia="en-US" w:bidi="ru-RU"/>
              </w:rPr>
              <w:t>Местоположение</w:t>
            </w:r>
          </w:p>
        </w:tc>
        <w:tc>
          <w:tcPr>
            <w:tcW w:w="3136" w:type="dxa"/>
            <w:tcBorders/>
            <w:vAlign w:val="center"/>
          </w:tcPr>
          <w:p>
            <w:pPr>
              <w:pStyle w:val="Normal"/>
              <w:spacing w:lineRule="auto" w:line="240"/>
              <w:ind w:right="-2" w:hanging="0"/>
              <w:jc w:val="center"/>
              <w:rPr>
                <w:b/>
                <w:b/>
                <w:sz w:val="20"/>
                <w:szCs w:val="20"/>
              </w:rPr>
            </w:pPr>
            <w:r>
              <w:rPr>
                <w:b/>
                <w:sz w:val="20"/>
                <w:szCs w:val="20"/>
                <w:lang w:eastAsia="en-US"/>
              </w:rPr>
              <w:t>Основной вид деятельности, наименование продукции</w:t>
            </w:r>
          </w:p>
        </w:tc>
      </w:tr>
      <w:tr>
        <w:trPr/>
        <w:tc>
          <w:tcPr>
            <w:tcW w:w="368" w:type="dxa"/>
            <w:tcBorders/>
            <w:tcMar>
              <w:left w:w="57" w:type="dxa"/>
              <w:right w:w="57" w:type="dxa"/>
            </w:tcMar>
            <w:vAlign w:val="center"/>
          </w:tcPr>
          <w:p>
            <w:pPr>
              <w:pStyle w:val="Normal"/>
              <w:widowControl w:val="false"/>
              <w:spacing w:lineRule="auto" w:line="240"/>
              <w:jc w:val="center"/>
              <w:rPr>
                <w:rFonts w:eastAsia="Times New Roman"/>
                <w:b/>
                <w:b/>
                <w:bCs/>
                <w:color w:val="000000"/>
                <w:sz w:val="20"/>
                <w:highlight w:val="white"/>
                <w:lang w:bidi="ru-RU"/>
              </w:rPr>
            </w:pPr>
            <w:r>
              <w:rPr>
                <w:rFonts w:eastAsia="Times New Roman"/>
                <w:b/>
                <w:bCs/>
                <w:color w:val="000000"/>
                <w:sz w:val="20"/>
                <w:szCs w:val="22"/>
                <w:shd w:fill="FFFFFF" w:val="clear"/>
                <w:lang w:eastAsia="en-US" w:bidi="ru-RU"/>
              </w:rPr>
              <w:t>1</w:t>
            </w:r>
          </w:p>
        </w:tc>
        <w:tc>
          <w:tcPr>
            <w:tcW w:w="1029" w:type="dxa"/>
            <w:tcBorders/>
          </w:tcPr>
          <w:p>
            <w:pPr>
              <w:pStyle w:val="Normal"/>
              <w:spacing w:lineRule="auto" w:line="240"/>
              <w:ind w:right="-2" w:hanging="0"/>
              <w:jc w:val="center"/>
              <w:rPr>
                <w:b/>
                <w:b/>
                <w:bCs/>
                <w:color w:val="000000"/>
                <w:sz w:val="20"/>
                <w:highlight w:val="white"/>
                <w:lang w:bidi="ru-RU"/>
              </w:rPr>
            </w:pPr>
            <w:r>
              <w:rPr>
                <w:b/>
                <w:bCs/>
                <w:color w:val="000000"/>
                <w:sz w:val="20"/>
                <w:szCs w:val="22"/>
                <w:shd w:fill="FFFFFF" w:val="clear"/>
                <w:lang w:eastAsia="en-US" w:bidi="ru-RU"/>
              </w:rPr>
              <w:t>2</w:t>
            </w:r>
          </w:p>
        </w:tc>
        <w:tc>
          <w:tcPr>
            <w:tcW w:w="2796" w:type="dxa"/>
            <w:tcBorders/>
            <w:tcMar>
              <w:left w:w="57" w:type="dxa"/>
              <w:right w:w="57" w:type="dxa"/>
            </w:tcMar>
            <w:vAlign w:val="center"/>
          </w:tcPr>
          <w:p>
            <w:pPr>
              <w:pStyle w:val="Normal"/>
              <w:spacing w:lineRule="auto" w:line="240"/>
              <w:ind w:right="-2" w:hanging="0"/>
              <w:jc w:val="center"/>
              <w:rPr>
                <w:b/>
                <w:b/>
                <w:bCs/>
                <w:color w:val="000000"/>
                <w:sz w:val="20"/>
                <w:highlight w:val="white"/>
                <w:lang w:bidi="ru-RU"/>
              </w:rPr>
            </w:pPr>
            <w:r>
              <w:rPr>
                <w:b/>
                <w:bCs/>
                <w:color w:val="000000"/>
                <w:sz w:val="20"/>
                <w:szCs w:val="22"/>
                <w:shd w:fill="FFFFFF" w:val="clear"/>
                <w:lang w:eastAsia="en-US" w:bidi="ru-RU"/>
              </w:rPr>
              <w:t>3</w:t>
            </w:r>
          </w:p>
        </w:tc>
        <w:tc>
          <w:tcPr>
            <w:tcW w:w="2592" w:type="dxa"/>
            <w:tcBorders/>
            <w:tcMar>
              <w:left w:w="57" w:type="dxa"/>
              <w:right w:w="57" w:type="dxa"/>
            </w:tcMar>
            <w:vAlign w:val="center"/>
          </w:tcPr>
          <w:p>
            <w:pPr>
              <w:pStyle w:val="Normal"/>
              <w:spacing w:lineRule="auto" w:line="240"/>
              <w:ind w:right="-2" w:hanging="0"/>
              <w:jc w:val="center"/>
              <w:rPr>
                <w:b/>
                <w:b/>
                <w:bCs/>
                <w:color w:val="000000"/>
                <w:sz w:val="20"/>
                <w:highlight w:val="white"/>
                <w:lang w:bidi="ru-RU"/>
              </w:rPr>
            </w:pPr>
            <w:r>
              <w:rPr>
                <w:b/>
                <w:bCs/>
                <w:color w:val="000000"/>
                <w:sz w:val="20"/>
                <w:szCs w:val="22"/>
                <w:shd w:fill="FFFFFF" w:val="clear"/>
                <w:lang w:eastAsia="en-US" w:bidi="ru-RU"/>
              </w:rPr>
              <w:t>4</w:t>
            </w:r>
          </w:p>
        </w:tc>
        <w:tc>
          <w:tcPr>
            <w:tcW w:w="3136" w:type="dxa"/>
            <w:tcBorders/>
            <w:tcMar>
              <w:left w:w="57" w:type="dxa"/>
              <w:right w:w="57" w:type="dxa"/>
            </w:tcMar>
          </w:tcPr>
          <w:p>
            <w:pPr>
              <w:pStyle w:val="Normal"/>
              <w:spacing w:lineRule="auto" w:line="240"/>
              <w:ind w:right="-2" w:hanging="0"/>
              <w:jc w:val="center"/>
              <w:rPr>
                <w:b/>
                <w:b/>
                <w:bCs/>
                <w:color w:val="000000"/>
                <w:sz w:val="20"/>
                <w:highlight w:val="white"/>
                <w:lang w:bidi="ru-RU"/>
              </w:rPr>
            </w:pPr>
            <w:r>
              <w:rPr>
                <w:b/>
                <w:bCs/>
                <w:color w:val="000000"/>
                <w:sz w:val="20"/>
                <w:szCs w:val="22"/>
                <w:shd w:fill="FFFFFF" w:val="clear"/>
                <w:lang w:eastAsia="en-US" w:bidi="ru-RU"/>
              </w:rPr>
              <w:t>5</w:t>
            </w:r>
          </w:p>
        </w:tc>
      </w:tr>
      <w:tr>
        <w:trPr/>
        <w:tc>
          <w:tcPr>
            <w:tcW w:w="9921" w:type="dxa"/>
            <w:gridSpan w:val="5"/>
            <w:tcBorders/>
          </w:tcPr>
          <w:p>
            <w:pPr>
              <w:pStyle w:val="Normal"/>
              <w:spacing w:lineRule="auto" w:line="240"/>
              <w:ind w:right="-2" w:hanging="0"/>
              <w:jc w:val="center"/>
              <w:rPr>
                <w:b/>
                <w:b/>
                <w:bCs/>
                <w:color w:val="000000"/>
                <w:sz w:val="20"/>
                <w:highlight w:val="white"/>
                <w:lang w:bidi="ru-RU"/>
              </w:rPr>
            </w:pPr>
            <w:r>
              <w:rPr>
                <w:b/>
                <w:bCs/>
                <w:color w:val="000000"/>
                <w:sz w:val="20"/>
                <w:szCs w:val="22"/>
                <w:shd w:fill="FFFFFF" w:val="clear"/>
                <w:lang w:eastAsia="en-US" w:bidi="ru-RU"/>
              </w:rPr>
              <w:t>Предприятия сельского хозяйства</w:t>
            </w:r>
          </w:p>
        </w:tc>
      </w:tr>
      <w:tr>
        <w:trPr/>
        <w:tc>
          <w:tcPr>
            <w:tcW w:w="368" w:type="dxa"/>
            <w:tcBorders/>
            <w:tcMar>
              <w:left w:w="57" w:type="dxa"/>
              <w:right w:w="57" w:type="dxa"/>
            </w:tcMar>
          </w:tcPr>
          <w:p>
            <w:pPr>
              <w:pStyle w:val="Normal"/>
              <w:widowControl w:val="false"/>
              <w:spacing w:lineRule="auto" w:line="240"/>
              <w:jc w:val="center"/>
              <w:rPr>
                <w:rFonts w:eastAsia="Times New Roman"/>
                <w:bCs/>
                <w:color w:val="000000"/>
                <w:sz w:val="20"/>
                <w:highlight w:val="white"/>
                <w:lang w:bidi="ru-RU"/>
              </w:rPr>
            </w:pPr>
            <w:r>
              <w:rPr>
                <w:rFonts w:eastAsia="Times New Roman"/>
                <w:bCs/>
                <w:color w:val="000000"/>
                <w:sz w:val="20"/>
                <w:szCs w:val="22"/>
                <w:shd w:fill="FFFFFF" w:val="clear"/>
                <w:lang w:eastAsia="en-US" w:bidi="ru-RU"/>
              </w:rPr>
              <w:t>1</w:t>
            </w:r>
          </w:p>
        </w:tc>
        <w:tc>
          <w:tcPr>
            <w:tcW w:w="1029" w:type="dxa"/>
            <w:tcBorders/>
          </w:tcPr>
          <w:p>
            <w:pPr>
              <w:pStyle w:val="Normal"/>
              <w:widowControl w:val="false"/>
              <w:spacing w:lineRule="auto" w:line="240"/>
              <w:jc w:val="left"/>
              <w:rPr>
                <w:sz w:val="20"/>
                <w:szCs w:val="20"/>
              </w:rPr>
            </w:pPr>
            <w:r>
              <w:rPr>
                <w:sz w:val="20"/>
                <w:szCs w:val="20"/>
                <w:lang w:eastAsia="en-US"/>
              </w:rPr>
              <w:t>СХ.13.1</w:t>
            </w:r>
          </w:p>
        </w:tc>
        <w:tc>
          <w:tcPr>
            <w:tcW w:w="2796" w:type="dxa"/>
            <w:tcBorders/>
            <w:tcMar>
              <w:left w:w="57" w:type="dxa"/>
              <w:right w:w="57" w:type="dxa"/>
            </w:tcMar>
          </w:tcPr>
          <w:p>
            <w:pPr>
              <w:pStyle w:val="Normal"/>
              <w:spacing w:lineRule="auto" w:line="240"/>
              <w:jc w:val="left"/>
              <w:rPr>
                <w:sz w:val="20"/>
                <w:szCs w:val="20"/>
              </w:rPr>
            </w:pPr>
            <w:r>
              <w:rPr>
                <w:sz w:val="20"/>
                <w:szCs w:val="20"/>
                <w:lang w:eastAsia="en-US"/>
              </w:rPr>
              <w:t>ООО «Красноармейское» (СПК «Красноармейский).</w:t>
            </w:r>
          </w:p>
          <w:p>
            <w:pPr>
              <w:pStyle w:val="Normal"/>
              <w:widowControl w:val="false"/>
              <w:spacing w:lineRule="auto" w:line="240"/>
              <w:jc w:val="left"/>
              <w:rPr>
                <w:rFonts w:eastAsia="Times New Roman"/>
                <w:b/>
                <w:b/>
                <w:sz w:val="20"/>
              </w:rPr>
            </w:pPr>
            <w:r>
              <w:rPr>
                <w:rFonts w:eastAsia="Times New Roman"/>
                <w:b/>
                <w:sz w:val="20"/>
                <w:szCs w:val="22"/>
                <w:lang w:eastAsia="en-US"/>
              </w:rPr>
            </w:r>
          </w:p>
        </w:tc>
        <w:tc>
          <w:tcPr>
            <w:tcW w:w="2592" w:type="dxa"/>
            <w:tcBorders/>
            <w:tcMar>
              <w:left w:w="57" w:type="dxa"/>
              <w:right w:w="57" w:type="dxa"/>
            </w:tcMar>
          </w:tcPr>
          <w:p>
            <w:pPr>
              <w:pStyle w:val="Normal"/>
              <w:spacing w:lineRule="auto" w:line="240"/>
              <w:jc w:val="left"/>
              <w:rPr>
                <w:sz w:val="20"/>
                <w:szCs w:val="20"/>
                <w:lang w:eastAsia="ru-RU"/>
              </w:rPr>
            </w:pPr>
            <w:r>
              <w:rPr>
                <w:sz w:val="20"/>
                <w:szCs w:val="20"/>
                <w:lang w:eastAsia="en-US"/>
              </w:rPr>
              <w:t>Севернее п. Красноармейский (земельный участок с кадастровым номером 74:05:0000000:2194)</w:t>
            </w:r>
          </w:p>
        </w:tc>
        <w:tc>
          <w:tcPr>
            <w:tcW w:w="3136" w:type="dxa"/>
            <w:tcBorders/>
            <w:tcMar>
              <w:left w:w="57" w:type="dxa"/>
              <w:right w:w="57" w:type="dxa"/>
            </w:tcMar>
          </w:tcPr>
          <w:p>
            <w:pPr>
              <w:pStyle w:val="Normal"/>
              <w:spacing w:lineRule="auto" w:line="240"/>
              <w:ind w:right="-2" w:hanging="0"/>
              <w:jc w:val="left"/>
              <w:rPr>
                <w:bCs/>
                <w:sz w:val="20"/>
                <w:highlight w:val="white"/>
                <w:lang w:bidi="ru-RU"/>
              </w:rPr>
            </w:pPr>
            <w:r>
              <w:rPr>
                <w:sz w:val="20"/>
                <w:szCs w:val="20"/>
                <w:lang w:eastAsia="en-US"/>
              </w:rPr>
              <w:t>Производство продукции растениеводство и животноводства</w:t>
            </w:r>
          </w:p>
        </w:tc>
      </w:tr>
    </w:tbl>
    <w:p>
      <w:pPr>
        <w:pStyle w:val="Normal"/>
        <w:spacing w:lineRule="auto" w:line="276" w:before="120" w:after="200"/>
        <w:ind w:firstLine="709"/>
        <w:jc w:val="left"/>
        <w:rPr>
          <w:b/>
          <w:b/>
          <w:szCs w:val="24"/>
        </w:rPr>
      </w:pPr>
      <w:r>
        <w:rPr>
          <w:b/>
          <w:szCs w:val="24"/>
        </w:rPr>
        <w:t>Направления развития</w:t>
      </w:r>
    </w:p>
    <w:p>
      <w:pPr>
        <w:pStyle w:val="Normal"/>
        <w:spacing w:lineRule="auto" w:line="276"/>
        <w:ind w:firstLine="709"/>
        <w:rPr>
          <w:rFonts w:eastAsia="Times New Roman"/>
          <w:szCs w:val="24"/>
          <w:lang w:eastAsia="ru-RU"/>
        </w:rPr>
      </w:pPr>
      <w:bookmarkStart w:id="154" w:name="_Toc464044877"/>
      <w:bookmarkStart w:id="155" w:name="_Toc463611276"/>
      <w:bookmarkStart w:id="156" w:name="_Toc463606344"/>
      <w:bookmarkStart w:id="157" w:name="_Toc413402215"/>
      <w:bookmarkStart w:id="158" w:name="_Toc411951841"/>
      <w:bookmarkStart w:id="159" w:name="_Toc411951747"/>
      <w:bookmarkStart w:id="160" w:name="_Toc69297550"/>
      <w:bookmarkEnd w:id="154"/>
      <w:bookmarkEnd w:id="155"/>
      <w:bookmarkEnd w:id="156"/>
      <w:bookmarkEnd w:id="157"/>
      <w:bookmarkEnd w:id="158"/>
      <w:bookmarkEnd w:id="159"/>
      <w:r>
        <w:rPr>
          <w:rFonts w:eastAsia="Times New Roman"/>
          <w:szCs w:val="24"/>
          <w:lang w:eastAsia="ru-RU"/>
        </w:rPr>
        <w:t>Развитие агропромышленного комплекса имеет большое значение для</w:t>
      </w:r>
      <w:r>
        <w:rPr>
          <w:rFonts w:eastAsia="Times New Roman"/>
          <w:b/>
          <w:szCs w:val="24"/>
          <w:lang w:eastAsia="ru-RU"/>
        </w:rPr>
        <w:t xml:space="preserve"> </w:t>
      </w:r>
      <w:r>
        <w:rPr>
          <w:rFonts w:eastAsia="Times New Roman"/>
          <w:szCs w:val="24"/>
          <w:lang w:eastAsia="ru-RU"/>
        </w:rPr>
        <w:t>обеспечения населения качественным продовольствием, промышленности сырьем и содействия устойчивому развитию сельских территорий.</w:t>
      </w:r>
    </w:p>
    <w:p>
      <w:pPr>
        <w:pStyle w:val="Normal"/>
        <w:spacing w:lineRule="auto" w:line="276"/>
        <w:ind w:firstLine="709"/>
        <w:rPr>
          <w:rFonts w:eastAsia="Times New Roman"/>
          <w:szCs w:val="24"/>
          <w:lang w:eastAsia="ru-RU"/>
        </w:rPr>
      </w:pPr>
      <w:r>
        <w:rPr>
          <w:rFonts w:eastAsia="Times New Roman"/>
          <w:szCs w:val="24"/>
          <w:lang w:eastAsia="ru-RU"/>
        </w:rPr>
        <w:t xml:space="preserve">На территории </w:t>
      </w:r>
      <w:r>
        <w:rPr/>
        <w:t>Катенинского</w:t>
      </w:r>
      <w:r>
        <w:rPr>
          <w:rFonts w:eastAsia="Times New Roman"/>
          <w:szCs w:val="24"/>
          <w:lang w:eastAsia="ru-RU"/>
        </w:rPr>
        <w:t xml:space="preserve"> сельского поселения большое количество сельскохозяйственных земель пустует и не используется по назначению.</w:t>
      </w:r>
    </w:p>
    <w:p>
      <w:pPr>
        <w:pStyle w:val="Normal"/>
        <w:spacing w:lineRule="auto" w:line="276"/>
        <w:ind w:firstLine="709"/>
        <w:rPr>
          <w:szCs w:val="24"/>
        </w:rPr>
      </w:pPr>
      <w:r>
        <w:rPr>
          <w:szCs w:val="24"/>
        </w:rPr>
        <w:t xml:space="preserve">Стратегическими направлениями развития агропромышленного комплекса </w:t>
      </w:r>
      <w:r>
        <w:rPr/>
        <w:t>Катенинского</w:t>
      </w:r>
      <w:r>
        <w:rPr>
          <w:rFonts w:eastAsia="Times New Roman"/>
          <w:szCs w:val="24"/>
          <w:lang w:eastAsia="ru-RU"/>
        </w:rPr>
        <w:t xml:space="preserve"> сельского поселения</w:t>
      </w:r>
      <w:r>
        <w:rPr>
          <w:szCs w:val="24"/>
        </w:rPr>
        <w:t xml:space="preserve"> в частности, являются:</w:t>
      </w:r>
    </w:p>
    <w:p>
      <w:pPr>
        <w:pStyle w:val="ConsPlusNormal"/>
        <w:widowControl w:val="false"/>
        <w:numPr>
          <w:ilvl w:val="0"/>
          <w:numId w:val="10"/>
        </w:numPr>
        <w:tabs>
          <w:tab w:val="clear" w:pos="708"/>
          <w:tab w:val="left" w:pos="338" w:leader="none"/>
        </w:tabs>
        <w:spacing w:lineRule="auto" w:line="276"/>
        <w:ind w:left="0" w:firstLine="426"/>
        <w:jc w:val="both"/>
        <w:rPr>
          <w:rFonts w:ascii="Times New Roman" w:hAnsi="Times New Roman" w:eastAsia="Calibri" w:cs="Times New Roman"/>
          <w:sz w:val="24"/>
          <w:szCs w:val="24"/>
          <w:lang w:eastAsia="en-US"/>
        </w:rPr>
      </w:pPr>
      <w:r>
        <w:rPr>
          <w:rFonts w:eastAsia="Calibri" w:cs="Times New Roman" w:ascii="Times New Roman" w:hAnsi="Times New Roman"/>
          <w:sz w:val="24"/>
          <w:szCs w:val="24"/>
          <w:lang w:eastAsia="en-US"/>
        </w:rPr>
        <w:t>обеспечение населения доступными качественными продуктами питания местных сельскохозяйственных товаропроизводителей, в том числе путем создания условий для эффективного ведения садоводства и огородничества;</w:t>
      </w:r>
    </w:p>
    <w:p>
      <w:pPr>
        <w:pStyle w:val="ConsPlusNormal"/>
        <w:widowControl w:val="false"/>
        <w:numPr>
          <w:ilvl w:val="0"/>
          <w:numId w:val="10"/>
        </w:numPr>
        <w:tabs>
          <w:tab w:val="clear" w:pos="708"/>
          <w:tab w:val="left" w:pos="338" w:leader="none"/>
        </w:tabs>
        <w:spacing w:lineRule="auto" w:line="276"/>
        <w:ind w:left="0" w:firstLine="426"/>
        <w:jc w:val="both"/>
        <w:rPr>
          <w:rFonts w:ascii="Times New Roman" w:hAnsi="Times New Roman" w:eastAsia="Calibri" w:cs="Times New Roman"/>
          <w:sz w:val="24"/>
          <w:szCs w:val="24"/>
          <w:lang w:eastAsia="en-US"/>
        </w:rPr>
      </w:pPr>
      <w:r>
        <w:rPr>
          <w:rFonts w:eastAsia="Calibri" w:cs="Times New Roman" w:ascii="Times New Roman" w:hAnsi="Times New Roman"/>
          <w:sz w:val="24"/>
          <w:szCs w:val="24"/>
          <w:lang w:eastAsia="en-US"/>
        </w:rPr>
        <w:t>повышение конкурентоспособности сельскохозяйственных товаропроизводителей;</w:t>
      </w:r>
    </w:p>
    <w:p>
      <w:pPr>
        <w:pStyle w:val="ConsPlusNormal"/>
        <w:widowControl w:val="false"/>
        <w:numPr>
          <w:ilvl w:val="0"/>
          <w:numId w:val="10"/>
        </w:numPr>
        <w:spacing w:lineRule="auto" w:line="276"/>
        <w:ind w:left="0" w:firstLine="426"/>
        <w:jc w:val="both"/>
        <w:rPr>
          <w:rFonts w:ascii="Times New Roman" w:hAnsi="Times New Roman" w:eastAsia="Calibri" w:cs="Times New Roman"/>
          <w:sz w:val="24"/>
          <w:szCs w:val="24"/>
          <w:lang w:eastAsia="en-US"/>
        </w:rPr>
      </w:pPr>
      <w:r>
        <w:rPr>
          <w:rFonts w:eastAsia="Calibri" w:cs="Times New Roman" w:ascii="Times New Roman" w:hAnsi="Times New Roman"/>
          <w:sz w:val="24"/>
          <w:szCs w:val="24"/>
          <w:lang w:eastAsia="en-US"/>
        </w:rPr>
        <w:t>расширение производства сельского хозяйства путем вовлечения новых земельных участков в сельскохозяйственный оборот.</w:t>
      </w:r>
    </w:p>
    <w:p>
      <w:pPr>
        <w:pStyle w:val="ConsPlusNormal"/>
        <w:spacing w:lineRule="auto" w:line="276"/>
        <w:ind w:firstLine="709"/>
        <w:jc w:val="both"/>
        <w:rPr>
          <w:rFonts w:ascii="Times New Roman" w:hAnsi="Times New Roman" w:eastAsia="Calibri" w:cs="Times New Roman"/>
          <w:sz w:val="24"/>
          <w:szCs w:val="24"/>
          <w:lang w:eastAsia="en-US"/>
        </w:rPr>
      </w:pPr>
      <w:r>
        <w:rPr>
          <w:rFonts w:eastAsia="Calibri" w:cs="Times New Roman" w:ascii="Times New Roman" w:hAnsi="Times New Roman"/>
          <w:sz w:val="24"/>
          <w:szCs w:val="24"/>
          <w:lang w:eastAsia="en-US"/>
        </w:rPr>
        <w:t>Достижение целей будет обеспечиваться за счет решения следующих основных задач:</w:t>
      </w:r>
    </w:p>
    <w:p>
      <w:pPr>
        <w:pStyle w:val="ConsPlusNormal"/>
        <w:widowControl w:val="false"/>
        <w:numPr>
          <w:ilvl w:val="0"/>
          <w:numId w:val="11"/>
        </w:numPr>
        <w:spacing w:lineRule="auto" w:line="276"/>
        <w:ind w:left="0" w:firstLine="426"/>
        <w:jc w:val="both"/>
        <w:rPr>
          <w:rFonts w:ascii="Times New Roman" w:hAnsi="Times New Roman" w:eastAsia="Calibri" w:cs="Times New Roman"/>
          <w:sz w:val="24"/>
          <w:szCs w:val="24"/>
          <w:lang w:eastAsia="en-US"/>
        </w:rPr>
      </w:pPr>
      <w:r>
        <w:rPr>
          <w:rFonts w:eastAsia="Calibri" w:cs="Times New Roman" w:ascii="Times New Roman" w:hAnsi="Times New Roman"/>
          <w:sz w:val="24"/>
          <w:szCs w:val="24"/>
          <w:lang w:eastAsia="en-US"/>
        </w:rPr>
        <w:t>увеличения объемов производства и переработки высококачественной продукции;</w:t>
      </w:r>
    </w:p>
    <w:p>
      <w:pPr>
        <w:pStyle w:val="ConsPlusNormal"/>
        <w:widowControl w:val="false"/>
        <w:numPr>
          <w:ilvl w:val="0"/>
          <w:numId w:val="11"/>
        </w:numPr>
        <w:spacing w:lineRule="auto" w:line="276"/>
        <w:ind w:left="0" w:firstLine="426"/>
        <w:jc w:val="both"/>
        <w:rPr>
          <w:rFonts w:ascii="Times New Roman" w:hAnsi="Times New Roman" w:eastAsia="Calibri" w:cs="Times New Roman"/>
          <w:sz w:val="24"/>
          <w:szCs w:val="24"/>
          <w:lang w:eastAsia="en-US"/>
        </w:rPr>
      </w:pPr>
      <w:r>
        <w:rPr>
          <w:rFonts w:eastAsia="Calibri" w:cs="Times New Roman" w:ascii="Times New Roman" w:hAnsi="Times New Roman"/>
          <w:sz w:val="24"/>
          <w:szCs w:val="24"/>
          <w:lang w:eastAsia="en-US"/>
        </w:rPr>
        <w:t>повышение финансовой устойчивости сельскохозяйственного производства;</w:t>
      </w:r>
    </w:p>
    <w:p>
      <w:pPr>
        <w:pStyle w:val="Normal"/>
        <w:widowControl w:val="false"/>
        <w:numPr>
          <w:ilvl w:val="0"/>
          <w:numId w:val="11"/>
        </w:numPr>
        <w:spacing w:lineRule="auto" w:line="276"/>
        <w:ind w:left="0" w:firstLine="426"/>
        <w:rPr>
          <w:szCs w:val="24"/>
        </w:rPr>
      </w:pPr>
      <w:r>
        <w:rPr>
          <w:szCs w:val="24"/>
        </w:rPr>
        <w:t>стимулирование роста производства основных видов сельскохозяйственной продукции;</w:t>
      </w:r>
    </w:p>
    <w:p>
      <w:pPr>
        <w:pStyle w:val="Normal"/>
        <w:widowControl w:val="false"/>
        <w:numPr>
          <w:ilvl w:val="0"/>
          <w:numId w:val="11"/>
        </w:numPr>
        <w:spacing w:lineRule="auto" w:line="276"/>
        <w:ind w:left="0" w:firstLine="426"/>
        <w:rPr>
          <w:szCs w:val="24"/>
        </w:rPr>
      </w:pPr>
      <w:r>
        <w:rPr>
          <w:szCs w:val="24"/>
        </w:rPr>
        <w:t>поддержка малых форм хозяйствования, садоводческих и дачных объединений и обществ, увеличение уровня самозанятости населения;</w:t>
      </w:r>
    </w:p>
    <w:p>
      <w:pPr>
        <w:pStyle w:val="Normal"/>
        <w:widowControl w:val="false"/>
        <w:numPr>
          <w:ilvl w:val="0"/>
          <w:numId w:val="11"/>
        </w:numPr>
        <w:spacing w:lineRule="auto" w:line="276"/>
        <w:ind w:left="0" w:firstLine="426"/>
        <w:rPr>
          <w:szCs w:val="24"/>
        </w:rPr>
      </w:pPr>
      <w:r>
        <w:rPr>
          <w:szCs w:val="24"/>
        </w:rPr>
        <w:t>создание условий для сохранения и восстановления плодородия почв, ввод в оборот неиспользуемой паши и залежных земель сельскохозяйственного назначения, стимулирование эффективного использования земель сельскохозяйственного назначения;</w:t>
      </w:r>
    </w:p>
    <w:p>
      <w:pPr>
        <w:pStyle w:val="Normal"/>
        <w:widowControl w:val="false"/>
        <w:numPr>
          <w:ilvl w:val="0"/>
          <w:numId w:val="11"/>
        </w:numPr>
        <w:tabs>
          <w:tab w:val="clear" w:pos="708"/>
          <w:tab w:val="left" w:pos="709" w:leader="none"/>
        </w:tabs>
        <w:spacing w:lineRule="auto" w:line="276"/>
        <w:ind w:left="0" w:firstLine="426"/>
        <w:rPr>
          <w:szCs w:val="24"/>
        </w:rPr>
      </w:pPr>
      <w:r>
        <w:rPr>
          <w:szCs w:val="24"/>
        </w:rPr>
        <w:t>улучшение качества жизни населения, развитие социальной инфраструктуры и инженерного-обустройства сельских населенных пунктов.</w:t>
      </w:r>
      <w:r>
        <w:br w:type="page"/>
      </w:r>
    </w:p>
    <w:p>
      <w:pPr>
        <w:pStyle w:val="0212164"/>
        <w:rPr>
          <w:szCs w:val="24"/>
          <w:lang w:eastAsia="ru-RU"/>
        </w:rPr>
      </w:pPr>
      <w:bookmarkStart w:id="161" w:name="_Toc69297550"/>
      <w:bookmarkStart w:id="162" w:name="_Toc182210476"/>
      <w:r>
        <w:rPr/>
        <w:t>ГЛАВА 7. ТРАНСПОРТНАЯ ИНФРАСТРУКТУРА</w:t>
      </w:r>
      <w:bookmarkEnd w:id="161"/>
      <w:bookmarkEnd w:id="162"/>
    </w:p>
    <w:p>
      <w:pPr>
        <w:pStyle w:val="3"/>
        <w:spacing w:lineRule="auto" w:line="276" w:before="0" w:after="0"/>
        <w:rPr>
          <w:rFonts w:ascii="Times New Roman" w:hAnsi="Times New Roman"/>
          <w:sz w:val="24"/>
          <w:szCs w:val="24"/>
        </w:rPr>
      </w:pPr>
      <w:bookmarkStart w:id="163" w:name="_Toc182210477"/>
      <w:bookmarkStart w:id="164" w:name="_Toc69297551"/>
      <w:r>
        <w:rPr>
          <w:rFonts w:ascii="Times New Roman" w:hAnsi="Times New Roman"/>
          <w:sz w:val="24"/>
          <w:szCs w:val="24"/>
        </w:rPr>
        <w:t>7.1 Автомобильный транспорт</w:t>
      </w:r>
      <w:bookmarkEnd w:id="163"/>
      <w:bookmarkEnd w:id="164"/>
    </w:p>
    <w:p>
      <w:pPr>
        <w:pStyle w:val="0212165"/>
        <w:rPr>
          <w:szCs w:val="24"/>
          <w:lang w:eastAsia="ru-RU"/>
        </w:rPr>
      </w:pPr>
      <w:bookmarkStart w:id="165" w:name="_Toc182210478"/>
      <w:r>
        <w:rPr/>
        <w:t>7.1.1 Автомобильные дороги</w:t>
      </w:r>
      <w:bookmarkEnd w:id="165"/>
    </w:p>
    <w:p>
      <w:pPr>
        <w:pStyle w:val="Normal"/>
        <w:spacing w:lineRule="auto" w:line="276"/>
        <w:ind w:firstLine="709"/>
        <w:rPr>
          <w:szCs w:val="24"/>
        </w:rPr>
      </w:pPr>
      <w:r>
        <w:rPr>
          <w:szCs w:val="24"/>
        </w:rPr>
        <w:t>Опорную сеть автомобильных дорог Катенинского сельского поселения составляют автомобильные дороги общего пользования регионального или межмуниципального значения. Автомобильные дороги общего пользования федерального значения в границах поселения отсутствуют</w:t>
      </w:r>
      <w:r>
        <w:rPr/>
        <w:t>.</w:t>
      </w:r>
    </w:p>
    <w:p>
      <w:pPr>
        <w:pStyle w:val="Normal"/>
        <w:spacing w:lineRule="auto" w:line="276"/>
        <w:ind w:firstLine="709"/>
        <w:rPr>
          <w:szCs w:val="24"/>
        </w:rPr>
      </w:pPr>
      <w:r>
        <w:rPr>
          <w:szCs w:val="24"/>
        </w:rPr>
        <w:t>Сведения об автомобильных дорогах общего пользования, проходящих по территории сельского поселения представлены в таблице 3.7.1.</w:t>
      </w:r>
    </w:p>
    <w:p>
      <w:pPr>
        <w:pStyle w:val="Normal"/>
        <w:spacing w:lineRule="auto" w:line="276"/>
        <w:jc w:val="right"/>
        <w:rPr>
          <w:szCs w:val="24"/>
        </w:rPr>
      </w:pPr>
      <w:r>
        <w:rPr>
          <w:szCs w:val="24"/>
        </w:rPr>
        <w:t>Таблица 3.7.1</w:t>
      </w:r>
    </w:p>
    <w:p>
      <w:pPr>
        <w:pStyle w:val="Normal"/>
        <w:spacing w:lineRule="auto" w:line="276"/>
        <w:jc w:val="center"/>
        <w:rPr>
          <w:szCs w:val="24"/>
        </w:rPr>
      </w:pPr>
      <w:r>
        <w:rPr>
          <w:szCs w:val="24"/>
        </w:rPr>
        <w:t>Сведения об автомобильных дорогах общего пользования, проходящих по территории сельского поселения</w:t>
      </w:r>
    </w:p>
    <w:tbl>
      <w:tblPr>
        <w:tblW w:w="5000" w:type="pct"/>
        <w:jc w:val="left"/>
        <w:tblInd w:w="-108" w:type="dxa"/>
        <w:tblCellMar>
          <w:top w:w="0" w:type="dxa"/>
          <w:left w:w="108" w:type="dxa"/>
          <w:bottom w:w="0" w:type="dxa"/>
          <w:right w:w="108" w:type="dxa"/>
        </w:tblCellMar>
        <w:tblLook w:firstRow="1" w:noVBand="0" w:lastRow="1" w:firstColumn="1" w:lastColumn="1" w:noHBand="0" w:val="01e0"/>
      </w:tblPr>
      <w:tblGrid>
        <w:gridCol w:w="420"/>
        <w:gridCol w:w="2413"/>
        <w:gridCol w:w="4246"/>
        <w:gridCol w:w="1175"/>
        <w:gridCol w:w="1667"/>
      </w:tblGrid>
      <w:tr>
        <w:trPr>
          <w:trHeight w:val="20" w:hRule="atLeast"/>
        </w:trPr>
        <w:tc>
          <w:tcPr>
            <w:tcW w:w="420" w:type="dxa"/>
            <w:tcBorders>
              <w:top w:val="single" w:sz="4" w:space="0" w:color="000000"/>
              <w:left w:val="single" w:sz="4" w:space="0" w:color="000000"/>
              <w:right w:val="single" w:sz="4" w:space="0" w:color="000000"/>
            </w:tcBorders>
            <w:vAlign w:val="center"/>
          </w:tcPr>
          <w:p>
            <w:pPr>
              <w:pStyle w:val="Normal"/>
              <w:tabs>
                <w:tab w:val="clear" w:pos="708"/>
                <w:tab w:val="left" w:pos="1197" w:leader="none"/>
              </w:tabs>
              <w:spacing w:lineRule="auto" w:line="240"/>
              <w:jc w:val="center"/>
              <w:rPr>
                <w:b/>
                <w:b/>
                <w:bCs/>
                <w:sz w:val="20"/>
                <w:szCs w:val="20"/>
                <w:lang w:eastAsia="ru-RU"/>
              </w:rPr>
            </w:pPr>
            <w:r>
              <w:rPr>
                <w:b/>
                <w:bCs/>
                <w:sz w:val="20"/>
                <w:szCs w:val="20"/>
              </w:rPr>
              <w:t>№</w:t>
            </w:r>
          </w:p>
        </w:tc>
        <w:tc>
          <w:tcPr>
            <w:tcW w:w="2413" w:type="dxa"/>
            <w:tcBorders>
              <w:top w:val="single" w:sz="4" w:space="0" w:color="000000"/>
              <w:left w:val="single" w:sz="4" w:space="0" w:color="000000"/>
              <w:right w:val="single" w:sz="4" w:space="0" w:color="000000"/>
            </w:tcBorders>
            <w:vAlign w:val="center"/>
          </w:tcPr>
          <w:p>
            <w:pPr>
              <w:pStyle w:val="Normal"/>
              <w:tabs>
                <w:tab w:val="clear" w:pos="708"/>
                <w:tab w:val="left" w:pos="1197" w:leader="none"/>
              </w:tabs>
              <w:spacing w:lineRule="auto" w:line="240"/>
              <w:jc w:val="center"/>
              <w:rPr>
                <w:b/>
                <w:b/>
                <w:bCs/>
                <w:sz w:val="20"/>
                <w:szCs w:val="20"/>
              </w:rPr>
            </w:pPr>
            <w:r>
              <w:rPr>
                <w:b/>
                <w:bCs/>
                <w:sz w:val="20"/>
                <w:szCs w:val="20"/>
              </w:rPr>
              <w:t>Идентификационный номер</w:t>
            </w:r>
          </w:p>
        </w:tc>
        <w:tc>
          <w:tcPr>
            <w:tcW w:w="4246" w:type="dxa"/>
            <w:tcBorders>
              <w:top w:val="single" w:sz="4" w:space="0" w:color="000000"/>
              <w:left w:val="single" w:sz="4" w:space="0" w:color="000000"/>
              <w:right w:val="single" w:sz="4" w:space="0" w:color="000000"/>
            </w:tcBorders>
            <w:vAlign w:val="center"/>
          </w:tcPr>
          <w:p>
            <w:pPr>
              <w:pStyle w:val="Normal"/>
              <w:tabs>
                <w:tab w:val="clear" w:pos="708"/>
                <w:tab w:val="left" w:pos="1197" w:leader="none"/>
              </w:tabs>
              <w:spacing w:lineRule="auto" w:line="240"/>
              <w:jc w:val="center"/>
              <w:rPr>
                <w:b/>
                <w:b/>
                <w:bCs/>
                <w:sz w:val="20"/>
                <w:szCs w:val="20"/>
              </w:rPr>
            </w:pPr>
            <w:r>
              <w:rPr>
                <w:b/>
                <w:bCs/>
                <w:sz w:val="20"/>
                <w:szCs w:val="20"/>
              </w:rPr>
              <w:t>Наименование автомобильной дороги</w:t>
            </w:r>
          </w:p>
        </w:tc>
        <w:tc>
          <w:tcPr>
            <w:tcW w:w="1175" w:type="dxa"/>
            <w:tcBorders>
              <w:top w:val="single" w:sz="4" w:space="0" w:color="000000"/>
              <w:left w:val="single" w:sz="4" w:space="0" w:color="000000"/>
              <w:right w:val="single" w:sz="4" w:space="0" w:color="000000"/>
            </w:tcBorders>
            <w:vAlign w:val="center"/>
          </w:tcPr>
          <w:p>
            <w:pPr>
              <w:pStyle w:val="Normal"/>
              <w:tabs>
                <w:tab w:val="clear" w:pos="708"/>
                <w:tab w:val="left" w:pos="1197" w:leader="none"/>
              </w:tabs>
              <w:spacing w:lineRule="auto" w:line="240"/>
              <w:jc w:val="center"/>
              <w:rPr>
                <w:b/>
                <w:b/>
                <w:bCs/>
                <w:sz w:val="20"/>
                <w:szCs w:val="20"/>
              </w:rPr>
            </w:pPr>
            <w:r>
              <w:rPr>
                <w:b/>
                <w:sz w:val="20"/>
                <w:szCs w:val="20"/>
              </w:rPr>
              <w:t>Категория</w:t>
            </w:r>
          </w:p>
        </w:tc>
        <w:tc>
          <w:tcPr>
            <w:tcW w:w="1667" w:type="dxa"/>
            <w:tcBorders>
              <w:top w:val="single" w:sz="4" w:space="0" w:color="000000"/>
              <w:left w:val="single" w:sz="4" w:space="0" w:color="000000"/>
              <w:right w:val="single" w:sz="4" w:space="0" w:color="000000"/>
            </w:tcBorders>
            <w:vAlign w:val="center"/>
          </w:tcPr>
          <w:p>
            <w:pPr>
              <w:pStyle w:val="Normal"/>
              <w:tabs>
                <w:tab w:val="clear" w:pos="708"/>
                <w:tab w:val="left" w:pos="1197" w:leader="none"/>
              </w:tabs>
              <w:spacing w:lineRule="auto" w:line="240"/>
              <w:jc w:val="center"/>
              <w:rPr>
                <w:b/>
                <w:b/>
                <w:bCs/>
                <w:sz w:val="20"/>
                <w:szCs w:val="20"/>
              </w:rPr>
            </w:pPr>
            <w:r>
              <w:rPr>
                <w:b/>
                <w:bCs/>
                <w:sz w:val="20"/>
                <w:szCs w:val="20"/>
              </w:rPr>
              <w:t>Протяженность в границах сельсовета, км</w:t>
            </w:r>
          </w:p>
        </w:tc>
      </w:tr>
    </w:tbl>
    <w:p>
      <w:pPr>
        <w:pStyle w:val="Normal"/>
        <w:spacing w:lineRule="exact" w:line="20"/>
        <w:ind w:firstLine="709"/>
        <w:rPr>
          <w:sz w:val="20"/>
          <w:szCs w:val="20"/>
        </w:rPr>
      </w:pPr>
      <w:r>
        <w:rPr>
          <w:sz w:val="20"/>
          <w:szCs w:val="20"/>
        </w:rPr>
      </w:r>
    </w:p>
    <w:tbl>
      <w:tblPr>
        <w:tblW w:w="5000" w:type="pct"/>
        <w:jc w:val="left"/>
        <w:tblInd w:w="-108" w:type="dxa"/>
        <w:tblCellMar>
          <w:top w:w="0" w:type="dxa"/>
          <w:left w:w="108" w:type="dxa"/>
          <w:bottom w:w="0" w:type="dxa"/>
          <w:right w:w="108" w:type="dxa"/>
        </w:tblCellMar>
        <w:tblLook w:firstRow="1" w:noVBand="0" w:lastRow="1" w:firstColumn="1" w:lastColumn="1" w:noHBand="0" w:val="01e0"/>
      </w:tblPr>
      <w:tblGrid>
        <w:gridCol w:w="414"/>
        <w:gridCol w:w="2417"/>
        <w:gridCol w:w="4256"/>
        <w:gridCol w:w="1137"/>
        <w:gridCol w:w="1697"/>
      </w:tblGrid>
      <w:tr>
        <w:trPr>
          <w:trHeight w:val="20" w:hRule="atLeast"/>
        </w:trPr>
        <w:tc>
          <w:tcPr>
            <w:tcW w:w="414" w:type="dxa"/>
            <w:tcBorders>
              <w:top w:val="single" w:sz="4" w:space="0" w:color="000000"/>
              <w:left w:val="single" w:sz="4" w:space="0" w:color="000000"/>
              <w:bottom w:val="single" w:sz="4" w:space="0" w:color="000000"/>
              <w:right w:val="single" w:sz="4" w:space="0" w:color="000000"/>
            </w:tcBorders>
            <w:vAlign w:val="center"/>
          </w:tcPr>
          <w:p>
            <w:pPr>
              <w:pStyle w:val="Normal"/>
              <w:tabs>
                <w:tab w:val="clear" w:pos="708"/>
                <w:tab w:val="left" w:pos="1197" w:leader="none"/>
              </w:tabs>
              <w:spacing w:lineRule="auto" w:line="240"/>
              <w:jc w:val="center"/>
              <w:rPr>
                <w:b/>
                <w:b/>
                <w:bCs/>
                <w:sz w:val="20"/>
                <w:szCs w:val="20"/>
                <w:lang w:eastAsia="ru-RU"/>
              </w:rPr>
            </w:pPr>
            <w:r>
              <w:rPr>
                <w:b/>
                <w:bCs/>
                <w:sz w:val="20"/>
                <w:szCs w:val="20"/>
              </w:rPr>
              <w:t>1</w:t>
            </w:r>
          </w:p>
        </w:tc>
        <w:tc>
          <w:tcPr>
            <w:tcW w:w="2417" w:type="dxa"/>
            <w:tcBorders>
              <w:top w:val="single" w:sz="4" w:space="0" w:color="000000"/>
              <w:left w:val="single" w:sz="4" w:space="0" w:color="000000"/>
              <w:bottom w:val="single" w:sz="4" w:space="0" w:color="000000"/>
              <w:right w:val="single" w:sz="4" w:space="0" w:color="000000"/>
            </w:tcBorders>
            <w:vAlign w:val="center"/>
          </w:tcPr>
          <w:p>
            <w:pPr>
              <w:pStyle w:val="Normal"/>
              <w:tabs>
                <w:tab w:val="clear" w:pos="708"/>
                <w:tab w:val="left" w:pos="1197" w:leader="none"/>
              </w:tabs>
              <w:spacing w:lineRule="auto" w:line="240"/>
              <w:jc w:val="center"/>
              <w:rPr>
                <w:b/>
                <w:b/>
                <w:bCs/>
                <w:sz w:val="20"/>
                <w:szCs w:val="20"/>
              </w:rPr>
            </w:pPr>
            <w:r>
              <w:rPr>
                <w:b/>
                <w:bCs/>
                <w:sz w:val="20"/>
                <w:szCs w:val="20"/>
              </w:rPr>
              <w:t>2</w:t>
            </w:r>
          </w:p>
        </w:tc>
        <w:tc>
          <w:tcPr>
            <w:tcW w:w="4256" w:type="dxa"/>
            <w:tcBorders>
              <w:top w:val="single" w:sz="4" w:space="0" w:color="000000"/>
              <w:left w:val="single" w:sz="4" w:space="0" w:color="000000"/>
              <w:bottom w:val="single" w:sz="4" w:space="0" w:color="000000"/>
              <w:right w:val="single" w:sz="4" w:space="0" w:color="000000"/>
            </w:tcBorders>
            <w:vAlign w:val="center"/>
          </w:tcPr>
          <w:p>
            <w:pPr>
              <w:pStyle w:val="Normal"/>
              <w:tabs>
                <w:tab w:val="clear" w:pos="708"/>
                <w:tab w:val="left" w:pos="1197" w:leader="none"/>
              </w:tabs>
              <w:spacing w:lineRule="auto" w:line="240"/>
              <w:jc w:val="center"/>
              <w:rPr>
                <w:b/>
                <w:b/>
                <w:bCs/>
                <w:sz w:val="20"/>
                <w:szCs w:val="20"/>
              </w:rPr>
            </w:pPr>
            <w:r>
              <w:rPr>
                <w:b/>
                <w:bCs/>
                <w:sz w:val="20"/>
                <w:szCs w:val="20"/>
              </w:rPr>
              <w:t>3</w:t>
            </w:r>
          </w:p>
        </w:tc>
        <w:tc>
          <w:tcPr>
            <w:tcW w:w="1137" w:type="dxa"/>
            <w:tcBorders>
              <w:top w:val="single" w:sz="4" w:space="0" w:color="000000"/>
              <w:left w:val="single" w:sz="4" w:space="0" w:color="000000"/>
              <w:bottom w:val="single" w:sz="4" w:space="0" w:color="000000"/>
              <w:right w:val="single" w:sz="4" w:space="0" w:color="000000"/>
            </w:tcBorders>
          </w:tcPr>
          <w:p>
            <w:pPr>
              <w:pStyle w:val="Normal"/>
              <w:tabs>
                <w:tab w:val="clear" w:pos="708"/>
                <w:tab w:val="left" w:pos="1197" w:leader="none"/>
              </w:tabs>
              <w:spacing w:lineRule="auto" w:line="240"/>
              <w:jc w:val="center"/>
              <w:rPr>
                <w:b/>
                <w:b/>
                <w:bCs/>
                <w:sz w:val="20"/>
                <w:szCs w:val="20"/>
                <w:lang w:val="en-US"/>
              </w:rPr>
            </w:pPr>
            <w:r>
              <w:rPr>
                <w:b/>
                <w:bCs/>
                <w:sz w:val="20"/>
                <w:szCs w:val="20"/>
                <w:lang w:val="en-US"/>
              </w:rPr>
              <w:t>4</w:t>
            </w:r>
          </w:p>
        </w:tc>
        <w:tc>
          <w:tcPr>
            <w:tcW w:w="1697" w:type="dxa"/>
            <w:tcBorders>
              <w:top w:val="single" w:sz="4" w:space="0" w:color="000000"/>
              <w:left w:val="single" w:sz="4" w:space="0" w:color="000000"/>
              <w:bottom w:val="single" w:sz="4" w:space="0" w:color="000000"/>
              <w:right w:val="single" w:sz="4" w:space="0" w:color="000000"/>
            </w:tcBorders>
          </w:tcPr>
          <w:p>
            <w:pPr>
              <w:pStyle w:val="Normal"/>
              <w:tabs>
                <w:tab w:val="clear" w:pos="708"/>
                <w:tab w:val="left" w:pos="1197" w:leader="none"/>
              </w:tabs>
              <w:spacing w:lineRule="auto" w:line="240"/>
              <w:jc w:val="center"/>
              <w:rPr>
                <w:b/>
                <w:b/>
                <w:bCs/>
                <w:sz w:val="20"/>
                <w:szCs w:val="20"/>
                <w:lang w:val="en-US"/>
              </w:rPr>
            </w:pPr>
            <w:r>
              <w:rPr>
                <w:b/>
                <w:bCs/>
                <w:sz w:val="20"/>
                <w:szCs w:val="20"/>
                <w:lang w:val="en-US"/>
              </w:rPr>
              <w:t>5</w:t>
            </w:r>
          </w:p>
        </w:tc>
      </w:tr>
      <w:tr>
        <w:trPr>
          <w:trHeight w:val="20" w:hRule="atLeast"/>
        </w:trPr>
        <w:tc>
          <w:tcPr>
            <w:tcW w:w="9921" w:type="dxa"/>
            <w:gridSpan w:val="5"/>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Дороги регионального или межмуниципального значения</w:t>
            </w:r>
          </w:p>
        </w:tc>
      </w:tr>
      <w:tr>
        <w:trPr>
          <w:trHeight w:val="20" w:hRule="atLeast"/>
        </w:trPr>
        <w:tc>
          <w:tcPr>
            <w:tcW w:w="414" w:type="dxa"/>
            <w:tcBorders>
              <w:top w:val="single" w:sz="4" w:space="0" w:color="000000"/>
              <w:left w:val="single" w:sz="4" w:space="0" w:color="000000"/>
              <w:bottom w:val="single" w:sz="4" w:space="0" w:color="000000"/>
              <w:right w:val="single" w:sz="4" w:space="0" w:color="000000"/>
            </w:tcBorders>
          </w:tcPr>
          <w:p>
            <w:pPr>
              <w:pStyle w:val="ListParagraph"/>
              <w:numPr>
                <w:ilvl w:val="0"/>
                <w:numId w:val="12"/>
              </w:numPr>
              <w:spacing w:lineRule="auto" w:line="240" w:before="0" w:after="0"/>
              <w:rPr>
                <w:rFonts w:ascii="Times New Roman" w:hAnsi="Times New Roman"/>
                <w:sz w:val="20"/>
                <w:szCs w:val="20"/>
              </w:rPr>
            </w:pPr>
            <w:r>
              <w:rPr>
                <w:sz w:val="20"/>
                <w:szCs w:val="20"/>
              </w:rPr>
            </w:r>
          </w:p>
        </w:tc>
        <w:tc>
          <w:tcPr>
            <w:tcW w:w="241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74 ОП РЗ 75К-010</w:t>
            </w:r>
          </w:p>
        </w:tc>
        <w:tc>
          <w:tcPr>
            <w:tcW w:w="42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Черноречье – Чесма – Варна – Карталы – Бреды</w:t>
            </w:r>
          </w:p>
        </w:tc>
        <w:tc>
          <w:tcPr>
            <w:tcW w:w="1137" w:type="dxa"/>
            <w:tcBorders>
              <w:top w:val="single" w:sz="4" w:space="0" w:color="000000"/>
              <w:left w:val="single" w:sz="4" w:space="0" w:color="000000"/>
              <w:bottom w:val="single" w:sz="4" w:space="0" w:color="000000"/>
              <w:right w:val="single" w:sz="4" w:space="0" w:color="000000"/>
            </w:tcBorders>
          </w:tcPr>
          <w:p>
            <w:pPr>
              <w:pStyle w:val="Normal"/>
              <w:tabs>
                <w:tab w:val="clear" w:pos="708"/>
                <w:tab w:val="left" w:pos="402" w:leader="none"/>
                <w:tab w:val="center" w:pos="530" w:leader="none"/>
              </w:tabs>
              <w:spacing w:lineRule="auto" w:line="240"/>
              <w:jc w:val="center"/>
              <w:rPr>
                <w:sz w:val="20"/>
                <w:szCs w:val="20"/>
              </w:rPr>
            </w:pPr>
            <w:r>
              <w:rPr>
                <w:sz w:val="20"/>
                <w:szCs w:val="20"/>
              </w:rPr>
              <w:t>III</w:t>
            </w:r>
          </w:p>
        </w:tc>
        <w:tc>
          <w:tcPr>
            <w:tcW w:w="169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17,36</w:t>
            </w:r>
          </w:p>
        </w:tc>
      </w:tr>
      <w:tr>
        <w:trPr>
          <w:trHeight w:val="70" w:hRule="atLeast"/>
        </w:trPr>
        <w:tc>
          <w:tcPr>
            <w:tcW w:w="414" w:type="dxa"/>
            <w:tcBorders>
              <w:top w:val="single" w:sz="4" w:space="0" w:color="000000"/>
              <w:left w:val="single" w:sz="4" w:space="0" w:color="000000"/>
              <w:bottom w:val="single" w:sz="4" w:space="0" w:color="000000"/>
              <w:right w:val="single" w:sz="4" w:space="0" w:color="000000"/>
            </w:tcBorders>
          </w:tcPr>
          <w:p>
            <w:pPr>
              <w:pStyle w:val="ListParagraph"/>
              <w:numPr>
                <w:ilvl w:val="0"/>
                <w:numId w:val="12"/>
              </w:numPr>
              <w:spacing w:lineRule="auto" w:line="240" w:before="0" w:after="0"/>
              <w:rPr>
                <w:rFonts w:ascii="Times New Roman" w:hAnsi="Times New Roman"/>
                <w:sz w:val="20"/>
                <w:szCs w:val="20"/>
              </w:rPr>
            </w:pPr>
            <w:r>
              <w:rPr>
                <w:sz w:val="20"/>
                <w:szCs w:val="20"/>
              </w:rPr>
            </w:r>
          </w:p>
        </w:tc>
        <w:tc>
          <w:tcPr>
            <w:tcW w:w="241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lang w:eastAsia="ru-RU"/>
              </w:rPr>
            </w:pPr>
            <w:r>
              <w:rPr>
                <w:sz w:val="20"/>
                <w:szCs w:val="20"/>
                <w:lang w:eastAsia="ru-RU"/>
              </w:rPr>
              <w:t>74 ОП РЗ 75К-066</w:t>
            </w:r>
          </w:p>
        </w:tc>
        <w:tc>
          <w:tcPr>
            <w:tcW w:w="42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Катенино – Красный Октябрь</w:t>
            </w:r>
          </w:p>
        </w:tc>
        <w:tc>
          <w:tcPr>
            <w:tcW w:w="1137" w:type="dxa"/>
            <w:tcBorders>
              <w:top w:val="single" w:sz="4" w:space="0" w:color="000000"/>
              <w:left w:val="single" w:sz="4" w:space="0" w:color="000000"/>
              <w:bottom w:val="single" w:sz="4" w:space="0" w:color="000000"/>
              <w:right w:val="single" w:sz="4" w:space="0" w:color="000000"/>
            </w:tcBorders>
          </w:tcPr>
          <w:p>
            <w:pPr>
              <w:pStyle w:val="Normal"/>
              <w:tabs>
                <w:tab w:val="clear" w:pos="708"/>
                <w:tab w:val="left" w:pos="402" w:leader="none"/>
                <w:tab w:val="center" w:pos="530" w:leader="none"/>
              </w:tabs>
              <w:spacing w:lineRule="auto" w:line="240"/>
              <w:jc w:val="center"/>
              <w:rPr>
                <w:sz w:val="20"/>
                <w:szCs w:val="20"/>
              </w:rPr>
            </w:pPr>
            <w:r>
              <w:rPr>
                <w:sz w:val="20"/>
                <w:szCs w:val="20"/>
              </w:rPr>
              <w:t>IV</w:t>
            </w:r>
          </w:p>
        </w:tc>
        <w:tc>
          <w:tcPr>
            <w:tcW w:w="169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20,45</w:t>
            </w:r>
          </w:p>
        </w:tc>
      </w:tr>
      <w:tr>
        <w:trPr>
          <w:trHeight w:val="70" w:hRule="atLeast"/>
        </w:trPr>
        <w:tc>
          <w:tcPr>
            <w:tcW w:w="414" w:type="dxa"/>
            <w:tcBorders>
              <w:top w:val="single" w:sz="4" w:space="0" w:color="000000"/>
              <w:left w:val="single" w:sz="4" w:space="0" w:color="000000"/>
              <w:bottom w:val="single" w:sz="4" w:space="0" w:color="000000"/>
              <w:right w:val="single" w:sz="4" w:space="0" w:color="000000"/>
            </w:tcBorders>
          </w:tcPr>
          <w:p>
            <w:pPr>
              <w:pStyle w:val="ListParagraph"/>
              <w:numPr>
                <w:ilvl w:val="0"/>
                <w:numId w:val="12"/>
              </w:numPr>
              <w:spacing w:lineRule="auto" w:line="240" w:before="0" w:after="0"/>
              <w:rPr>
                <w:rFonts w:ascii="Times New Roman" w:hAnsi="Times New Roman"/>
                <w:sz w:val="20"/>
                <w:szCs w:val="20"/>
              </w:rPr>
            </w:pPr>
            <w:r>
              <w:rPr>
                <w:sz w:val="20"/>
                <w:szCs w:val="20"/>
              </w:rPr>
            </w:r>
          </w:p>
        </w:tc>
        <w:tc>
          <w:tcPr>
            <w:tcW w:w="241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lang w:eastAsia="ru-RU"/>
              </w:rPr>
            </w:pPr>
            <w:r>
              <w:rPr>
                <w:sz w:val="20"/>
                <w:szCs w:val="20"/>
                <w:lang w:eastAsia="ru-RU"/>
              </w:rPr>
              <w:t>74 ОП РЗ 75К-295</w:t>
            </w:r>
          </w:p>
        </w:tc>
        <w:tc>
          <w:tcPr>
            <w:tcW w:w="42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Катенино – Караоба</w:t>
            </w:r>
          </w:p>
        </w:tc>
        <w:tc>
          <w:tcPr>
            <w:tcW w:w="1137" w:type="dxa"/>
            <w:tcBorders>
              <w:top w:val="single" w:sz="4" w:space="0" w:color="000000"/>
              <w:left w:val="single" w:sz="4" w:space="0" w:color="000000"/>
              <w:bottom w:val="single" w:sz="4" w:space="0" w:color="000000"/>
              <w:right w:val="single" w:sz="4" w:space="0" w:color="000000"/>
            </w:tcBorders>
          </w:tcPr>
          <w:p>
            <w:pPr>
              <w:pStyle w:val="Normal"/>
              <w:tabs>
                <w:tab w:val="clear" w:pos="708"/>
                <w:tab w:val="left" w:pos="402" w:leader="none"/>
                <w:tab w:val="center" w:pos="530" w:leader="none"/>
              </w:tabs>
              <w:spacing w:lineRule="auto" w:line="240"/>
              <w:jc w:val="center"/>
              <w:rPr>
                <w:sz w:val="20"/>
                <w:szCs w:val="20"/>
              </w:rPr>
            </w:pPr>
            <w:r>
              <w:rPr>
                <w:sz w:val="20"/>
                <w:szCs w:val="20"/>
              </w:rPr>
              <w:t>IV</w:t>
            </w:r>
          </w:p>
        </w:tc>
        <w:tc>
          <w:tcPr>
            <w:tcW w:w="169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9,15</w:t>
            </w:r>
          </w:p>
        </w:tc>
      </w:tr>
      <w:tr>
        <w:trPr>
          <w:trHeight w:val="70" w:hRule="atLeast"/>
        </w:trPr>
        <w:tc>
          <w:tcPr>
            <w:tcW w:w="414" w:type="dxa"/>
            <w:tcBorders>
              <w:top w:val="single" w:sz="4" w:space="0" w:color="000000"/>
              <w:left w:val="single" w:sz="4" w:space="0" w:color="000000"/>
              <w:bottom w:val="single" w:sz="4" w:space="0" w:color="000000"/>
              <w:right w:val="single" w:sz="4" w:space="0" w:color="000000"/>
            </w:tcBorders>
          </w:tcPr>
          <w:p>
            <w:pPr>
              <w:pStyle w:val="ListParagraph"/>
              <w:numPr>
                <w:ilvl w:val="0"/>
                <w:numId w:val="12"/>
              </w:numPr>
              <w:spacing w:lineRule="auto" w:line="240" w:before="0" w:after="0"/>
              <w:rPr>
                <w:rFonts w:ascii="Times New Roman" w:hAnsi="Times New Roman"/>
                <w:sz w:val="20"/>
                <w:szCs w:val="20"/>
              </w:rPr>
            </w:pPr>
            <w:r>
              <w:rPr>
                <w:sz w:val="20"/>
                <w:szCs w:val="20"/>
              </w:rPr>
            </w:r>
          </w:p>
        </w:tc>
        <w:tc>
          <w:tcPr>
            <w:tcW w:w="241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lang w:eastAsia="ru-RU"/>
              </w:rPr>
            </w:pPr>
            <w:r>
              <w:rPr>
                <w:sz w:val="20"/>
                <w:szCs w:val="20"/>
                <w:lang w:eastAsia="ru-RU"/>
              </w:rPr>
              <w:t>74 ОП РЗ 75К-300</w:t>
            </w:r>
          </w:p>
        </w:tc>
        <w:tc>
          <w:tcPr>
            <w:tcW w:w="42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Новокулевчи–Караоба</w:t>
            </w:r>
          </w:p>
        </w:tc>
        <w:tc>
          <w:tcPr>
            <w:tcW w:w="1137" w:type="dxa"/>
            <w:tcBorders>
              <w:top w:val="single" w:sz="4" w:space="0" w:color="000000"/>
              <w:left w:val="single" w:sz="4" w:space="0" w:color="000000"/>
              <w:bottom w:val="single" w:sz="4" w:space="0" w:color="000000"/>
              <w:right w:val="single" w:sz="4" w:space="0" w:color="000000"/>
            </w:tcBorders>
          </w:tcPr>
          <w:p>
            <w:pPr>
              <w:pStyle w:val="Normal"/>
              <w:tabs>
                <w:tab w:val="clear" w:pos="708"/>
                <w:tab w:val="left" w:pos="402" w:leader="none"/>
                <w:tab w:val="center" w:pos="530" w:leader="none"/>
              </w:tabs>
              <w:spacing w:lineRule="auto" w:line="240"/>
              <w:jc w:val="center"/>
              <w:rPr>
                <w:sz w:val="20"/>
                <w:szCs w:val="20"/>
              </w:rPr>
            </w:pPr>
            <w:r>
              <w:rPr>
                <w:sz w:val="20"/>
                <w:szCs w:val="20"/>
              </w:rPr>
              <w:t>IV</w:t>
            </w:r>
          </w:p>
        </w:tc>
        <w:tc>
          <w:tcPr>
            <w:tcW w:w="169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2,26</w:t>
            </w:r>
          </w:p>
        </w:tc>
      </w:tr>
      <w:tr>
        <w:trPr>
          <w:trHeight w:val="70" w:hRule="atLeast"/>
        </w:trPr>
        <w:tc>
          <w:tcPr>
            <w:tcW w:w="414" w:type="dxa"/>
            <w:tcBorders>
              <w:top w:val="single" w:sz="4" w:space="0" w:color="000000"/>
              <w:left w:val="single" w:sz="4" w:space="0" w:color="000000"/>
              <w:bottom w:val="single" w:sz="4" w:space="0" w:color="000000"/>
              <w:right w:val="single" w:sz="4" w:space="0" w:color="000000"/>
            </w:tcBorders>
          </w:tcPr>
          <w:p>
            <w:pPr>
              <w:pStyle w:val="ListParagraph"/>
              <w:numPr>
                <w:ilvl w:val="0"/>
                <w:numId w:val="12"/>
              </w:numPr>
              <w:spacing w:lineRule="auto" w:line="240" w:before="0" w:after="0"/>
              <w:rPr>
                <w:rFonts w:ascii="Times New Roman" w:hAnsi="Times New Roman"/>
                <w:sz w:val="20"/>
                <w:szCs w:val="20"/>
              </w:rPr>
            </w:pPr>
            <w:r>
              <w:rPr>
                <w:sz w:val="20"/>
                <w:szCs w:val="20"/>
              </w:rPr>
            </w:r>
          </w:p>
        </w:tc>
        <w:tc>
          <w:tcPr>
            <w:tcW w:w="241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lang w:eastAsia="ru-RU"/>
              </w:rPr>
            </w:pPr>
            <w:r>
              <w:rPr>
                <w:sz w:val="20"/>
                <w:szCs w:val="20"/>
                <w:lang w:eastAsia="ru-RU"/>
              </w:rPr>
              <w:t>74 ОП РЗ 75К-506</w:t>
            </w:r>
          </w:p>
        </w:tc>
        <w:tc>
          <w:tcPr>
            <w:tcW w:w="42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Красноармейский - автодорога Черноречье - Чесма - Варна - Карталы - Бреды</w:t>
            </w:r>
          </w:p>
        </w:tc>
        <w:tc>
          <w:tcPr>
            <w:tcW w:w="1137" w:type="dxa"/>
            <w:tcBorders>
              <w:top w:val="single" w:sz="4" w:space="0" w:color="000000"/>
              <w:left w:val="single" w:sz="4" w:space="0" w:color="000000"/>
              <w:bottom w:val="single" w:sz="4" w:space="0" w:color="000000"/>
              <w:right w:val="single" w:sz="4" w:space="0" w:color="000000"/>
            </w:tcBorders>
          </w:tcPr>
          <w:p>
            <w:pPr>
              <w:pStyle w:val="Normal"/>
              <w:tabs>
                <w:tab w:val="clear" w:pos="708"/>
                <w:tab w:val="left" w:pos="402" w:leader="none"/>
                <w:tab w:val="center" w:pos="530" w:leader="none"/>
              </w:tabs>
              <w:spacing w:lineRule="auto" w:line="240"/>
              <w:jc w:val="center"/>
              <w:rPr>
                <w:sz w:val="20"/>
                <w:szCs w:val="20"/>
              </w:rPr>
            </w:pPr>
            <w:r>
              <w:rPr>
                <w:sz w:val="20"/>
                <w:szCs w:val="20"/>
              </w:rPr>
              <w:t>IV</w:t>
            </w:r>
          </w:p>
        </w:tc>
        <w:tc>
          <w:tcPr>
            <w:tcW w:w="169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1,02</w:t>
            </w:r>
          </w:p>
        </w:tc>
      </w:tr>
      <w:tr>
        <w:trPr>
          <w:trHeight w:val="20" w:hRule="atLeast"/>
        </w:trPr>
        <w:tc>
          <w:tcPr>
            <w:tcW w:w="9921" w:type="dxa"/>
            <w:gridSpan w:val="5"/>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b/>
                <w:sz w:val="20"/>
                <w:szCs w:val="20"/>
              </w:rPr>
              <w:t>Дороги местного значения</w:t>
            </w:r>
          </w:p>
        </w:tc>
      </w:tr>
      <w:tr>
        <w:trPr>
          <w:trHeight w:val="20" w:hRule="atLeast"/>
        </w:trPr>
        <w:tc>
          <w:tcPr>
            <w:tcW w:w="414" w:type="dxa"/>
            <w:tcBorders>
              <w:top w:val="single" w:sz="4" w:space="0" w:color="000000"/>
              <w:left w:val="single" w:sz="4" w:space="0" w:color="000000"/>
              <w:bottom w:val="single" w:sz="4" w:space="0" w:color="000000"/>
              <w:right w:val="single" w:sz="4" w:space="0" w:color="000000"/>
            </w:tcBorders>
          </w:tcPr>
          <w:p>
            <w:pPr>
              <w:pStyle w:val="ListParagraph"/>
              <w:numPr>
                <w:ilvl w:val="0"/>
                <w:numId w:val="12"/>
              </w:numPr>
              <w:spacing w:lineRule="auto" w:line="240" w:before="0" w:after="0"/>
              <w:rPr>
                <w:rFonts w:ascii="Times New Roman" w:hAnsi="Times New Roman"/>
                <w:sz w:val="20"/>
                <w:szCs w:val="20"/>
              </w:rPr>
            </w:pPr>
            <w:r>
              <w:rPr>
                <w:sz w:val="20"/>
                <w:szCs w:val="20"/>
              </w:rPr>
            </w:r>
          </w:p>
        </w:tc>
        <w:tc>
          <w:tcPr>
            <w:tcW w:w="241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lang w:eastAsia="ru-RU"/>
              </w:rPr>
            </w:pPr>
            <w:r>
              <w:rPr>
                <w:sz w:val="20"/>
                <w:szCs w:val="20"/>
                <w:lang w:eastAsia="ru-RU"/>
              </w:rPr>
              <w:t>-</w:t>
            </w:r>
          </w:p>
        </w:tc>
        <w:tc>
          <w:tcPr>
            <w:tcW w:w="42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Комсомольский – Варна</w:t>
            </w:r>
          </w:p>
        </w:tc>
        <w:tc>
          <w:tcPr>
            <w:tcW w:w="1137" w:type="dxa"/>
            <w:tcBorders>
              <w:top w:val="single" w:sz="4" w:space="0" w:color="000000"/>
              <w:left w:val="single" w:sz="4" w:space="0" w:color="000000"/>
              <w:bottom w:val="single" w:sz="4" w:space="0" w:color="000000"/>
              <w:right w:val="single" w:sz="4" w:space="0" w:color="000000"/>
            </w:tcBorders>
          </w:tcPr>
          <w:p>
            <w:pPr>
              <w:pStyle w:val="Normal"/>
              <w:tabs>
                <w:tab w:val="clear" w:pos="708"/>
                <w:tab w:val="left" w:pos="402" w:leader="none"/>
                <w:tab w:val="center" w:pos="530" w:leader="none"/>
              </w:tabs>
              <w:spacing w:lineRule="auto" w:line="240"/>
              <w:jc w:val="center"/>
              <w:rPr>
                <w:color w:val="333333"/>
                <w:sz w:val="20"/>
                <w:szCs w:val="20"/>
                <w:highlight w:val="white"/>
              </w:rPr>
            </w:pPr>
            <w:r>
              <w:rPr>
                <w:sz w:val="20"/>
                <w:szCs w:val="20"/>
              </w:rPr>
              <w:t>IV</w:t>
            </w:r>
          </w:p>
        </w:tc>
        <w:tc>
          <w:tcPr>
            <w:tcW w:w="169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8,21</w:t>
            </w:r>
          </w:p>
        </w:tc>
      </w:tr>
      <w:tr>
        <w:trPr>
          <w:trHeight w:val="20" w:hRule="atLeast"/>
        </w:trPr>
        <w:tc>
          <w:tcPr>
            <w:tcW w:w="414" w:type="dxa"/>
            <w:tcBorders>
              <w:top w:val="single" w:sz="4" w:space="0" w:color="000000"/>
              <w:left w:val="single" w:sz="4" w:space="0" w:color="000000"/>
              <w:bottom w:val="single" w:sz="4" w:space="0" w:color="000000"/>
              <w:right w:val="single" w:sz="4" w:space="0" w:color="000000"/>
            </w:tcBorders>
          </w:tcPr>
          <w:p>
            <w:pPr>
              <w:pStyle w:val="ListParagraph"/>
              <w:numPr>
                <w:ilvl w:val="0"/>
                <w:numId w:val="12"/>
              </w:numPr>
              <w:spacing w:lineRule="auto" w:line="240" w:before="0" w:after="0"/>
              <w:rPr>
                <w:rFonts w:ascii="Times New Roman" w:hAnsi="Times New Roman"/>
                <w:sz w:val="20"/>
                <w:szCs w:val="20"/>
              </w:rPr>
            </w:pPr>
            <w:r>
              <w:rPr>
                <w:sz w:val="20"/>
                <w:szCs w:val="20"/>
              </w:rPr>
            </w:r>
          </w:p>
        </w:tc>
        <w:tc>
          <w:tcPr>
            <w:tcW w:w="241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lang w:eastAsia="ru-RU"/>
              </w:rPr>
            </w:pPr>
            <w:r>
              <w:rPr>
                <w:sz w:val="20"/>
                <w:szCs w:val="20"/>
                <w:lang w:eastAsia="ru-RU"/>
              </w:rPr>
              <w:t>-</w:t>
            </w:r>
          </w:p>
        </w:tc>
        <w:tc>
          <w:tcPr>
            <w:tcW w:w="42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Комсомольский – Новопокровка</w:t>
            </w:r>
          </w:p>
        </w:tc>
        <w:tc>
          <w:tcPr>
            <w:tcW w:w="1137" w:type="dxa"/>
            <w:tcBorders>
              <w:top w:val="single" w:sz="4" w:space="0" w:color="000000"/>
              <w:left w:val="single" w:sz="4" w:space="0" w:color="000000"/>
              <w:bottom w:val="single" w:sz="4" w:space="0" w:color="000000"/>
              <w:right w:val="single" w:sz="4" w:space="0" w:color="000000"/>
            </w:tcBorders>
          </w:tcPr>
          <w:p>
            <w:pPr>
              <w:pStyle w:val="Normal"/>
              <w:tabs>
                <w:tab w:val="clear" w:pos="708"/>
                <w:tab w:val="left" w:pos="402" w:leader="none"/>
                <w:tab w:val="center" w:pos="530" w:leader="none"/>
              </w:tabs>
              <w:spacing w:lineRule="auto" w:line="240"/>
              <w:jc w:val="center"/>
              <w:rPr>
                <w:sz w:val="20"/>
                <w:szCs w:val="20"/>
              </w:rPr>
            </w:pPr>
            <w:r>
              <w:rPr>
                <w:sz w:val="20"/>
                <w:szCs w:val="20"/>
              </w:rPr>
              <w:t>IV</w:t>
            </w:r>
          </w:p>
        </w:tc>
        <w:tc>
          <w:tcPr>
            <w:tcW w:w="169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3,55</w:t>
            </w:r>
          </w:p>
        </w:tc>
      </w:tr>
      <w:tr>
        <w:trPr>
          <w:trHeight w:val="20" w:hRule="atLeast"/>
        </w:trPr>
        <w:tc>
          <w:tcPr>
            <w:tcW w:w="414" w:type="dxa"/>
            <w:tcBorders>
              <w:top w:val="single" w:sz="4" w:space="0" w:color="000000"/>
              <w:left w:val="single" w:sz="4" w:space="0" w:color="000000"/>
              <w:bottom w:val="single" w:sz="4" w:space="0" w:color="000000"/>
              <w:right w:val="single" w:sz="4" w:space="0" w:color="000000"/>
            </w:tcBorders>
          </w:tcPr>
          <w:p>
            <w:pPr>
              <w:pStyle w:val="ListParagraph"/>
              <w:numPr>
                <w:ilvl w:val="0"/>
                <w:numId w:val="12"/>
              </w:numPr>
              <w:spacing w:lineRule="auto" w:line="240" w:before="0" w:after="0"/>
              <w:rPr>
                <w:rFonts w:ascii="Times New Roman" w:hAnsi="Times New Roman"/>
                <w:sz w:val="20"/>
                <w:szCs w:val="20"/>
              </w:rPr>
            </w:pPr>
            <w:r>
              <w:rPr>
                <w:sz w:val="20"/>
                <w:szCs w:val="20"/>
              </w:rPr>
            </w:r>
          </w:p>
        </w:tc>
        <w:tc>
          <w:tcPr>
            <w:tcW w:w="241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lang w:eastAsia="ru-RU"/>
              </w:rPr>
            </w:pPr>
            <w:r>
              <w:rPr>
                <w:sz w:val="20"/>
                <w:szCs w:val="20"/>
                <w:lang w:eastAsia="ru-RU"/>
              </w:rPr>
              <w:t>-</w:t>
            </w:r>
          </w:p>
        </w:tc>
        <w:tc>
          <w:tcPr>
            <w:tcW w:w="42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Комсомольский — автодорога «Катенино — Красный Октябрь» - автодорога «Черноречье — Чесма — Варна — Карталы — Бреды»</w:t>
            </w:r>
          </w:p>
        </w:tc>
        <w:tc>
          <w:tcPr>
            <w:tcW w:w="1137" w:type="dxa"/>
            <w:tcBorders>
              <w:top w:val="single" w:sz="4" w:space="0" w:color="000000"/>
              <w:left w:val="single" w:sz="4" w:space="0" w:color="000000"/>
              <w:bottom w:val="single" w:sz="4" w:space="0" w:color="000000"/>
              <w:right w:val="single" w:sz="4" w:space="0" w:color="000000"/>
            </w:tcBorders>
          </w:tcPr>
          <w:p>
            <w:pPr>
              <w:pStyle w:val="Normal"/>
              <w:tabs>
                <w:tab w:val="clear" w:pos="708"/>
                <w:tab w:val="left" w:pos="402" w:leader="none"/>
                <w:tab w:val="center" w:pos="530" w:leader="none"/>
              </w:tabs>
              <w:spacing w:lineRule="auto" w:line="240"/>
              <w:jc w:val="center"/>
              <w:rPr>
                <w:sz w:val="20"/>
                <w:szCs w:val="20"/>
              </w:rPr>
            </w:pPr>
            <w:r>
              <w:rPr>
                <w:sz w:val="20"/>
                <w:szCs w:val="20"/>
              </w:rPr>
              <w:t>IV</w:t>
            </w:r>
          </w:p>
        </w:tc>
        <w:tc>
          <w:tcPr>
            <w:tcW w:w="169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0,26</w:t>
            </w:r>
          </w:p>
        </w:tc>
      </w:tr>
      <w:tr>
        <w:trPr>
          <w:trHeight w:val="20" w:hRule="atLeast"/>
        </w:trPr>
        <w:tc>
          <w:tcPr>
            <w:tcW w:w="414" w:type="dxa"/>
            <w:tcBorders>
              <w:top w:val="single" w:sz="4" w:space="0" w:color="000000"/>
              <w:left w:val="single" w:sz="4" w:space="0" w:color="000000"/>
              <w:bottom w:val="single" w:sz="4" w:space="0" w:color="000000"/>
              <w:right w:val="single" w:sz="4" w:space="0" w:color="000000"/>
            </w:tcBorders>
          </w:tcPr>
          <w:p>
            <w:pPr>
              <w:pStyle w:val="ListParagraph"/>
              <w:numPr>
                <w:ilvl w:val="0"/>
                <w:numId w:val="12"/>
              </w:numPr>
              <w:spacing w:lineRule="auto" w:line="240" w:before="0" w:after="0"/>
              <w:rPr>
                <w:rFonts w:ascii="Times New Roman" w:hAnsi="Times New Roman"/>
                <w:sz w:val="20"/>
                <w:szCs w:val="20"/>
              </w:rPr>
            </w:pPr>
            <w:r>
              <w:rPr>
                <w:sz w:val="20"/>
                <w:szCs w:val="20"/>
              </w:rPr>
            </w:r>
          </w:p>
        </w:tc>
        <w:tc>
          <w:tcPr>
            <w:tcW w:w="241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lang w:eastAsia="ru-RU"/>
              </w:rPr>
            </w:pPr>
            <w:r>
              <w:rPr>
                <w:sz w:val="20"/>
                <w:szCs w:val="20"/>
                <w:lang w:eastAsia="ru-RU"/>
              </w:rPr>
              <w:t>-</w:t>
            </w:r>
          </w:p>
        </w:tc>
        <w:tc>
          <w:tcPr>
            <w:tcW w:w="42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Красноармейский — Кызыл-Маяк</w:t>
            </w:r>
          </w:p>
        </w:tc>
        <w:tc>
          <w:tcPr>
            <w:tcW w:w="1137" w:type="dxa"/>
            <w:tcBorders>
              <w:top w:val="single" w:sz="4" w:space="0" w:color="000000"/>
              <w:left w:val="single" w:sz="4" w:space="0" w:color="000000"/>
              <w:bottom w:val="single" w:sz="4" w:space="0" w:color="000000"/>
              <w:right w:val="single" w:sz="4" w:space="0" w:color="000000"/>
            </w:tcBorders>
          </w:tcPr>
          <w:p>
            <w:pPr>
              <w:pStyle w:val="Normal"/>
              <w:tabs>
                <w:tab w:val="clear" w:pos="708"/>
                <w:tab w:val="left" w:pos="402" w:leader="none"/>
                <w:tab w:val="center" w:pos="530" w:leader="none"/>
              </w:tabs>
              <w:spacing w:lineRule="auto" w:line="240"/>
              <w:jc w:val="center"/>
              <w:rPr>
                <w:sz w:val="20"/>
                <w:szCs w:val="20"/>
              </w:rPr>
            </w:pPr>
            <w:r>
              <w:rPr>
                <w:sz w:val="20"/>
                <w:szCs w:val="20"/>
              </w:rPr>
              <w:t>IV</w:t>
            </w:r>
          </w:p>
        </w:tc>
        <w:tc>
          <w:tcPr>
            <w:tcW w:w="169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2,57</w:t>
            </w:r>
          </w:p>
        </w:tc>
      </w:tr>
      <w:tr>
        <w:trPr>
          <w:trHeight w:val="20" w:hRule="atLeast"/>
        </w:trPr>
        <w:tc>
          <w:tcPr>
            <w:tcW w:w="414" w:type="dxa"/>
            <w:tcBorders>
              <w:top w:val="single" w:sz="4" w:space="0" w:color="000000"/>
              <w:left w:val="single" w:sz="4" w:space="0" w:color="000000"/>
              <w:bottom w:val="single" w:sz="4" w:space="0" w:color="000000"/>
              <w:right w:val="single" w:sz="4" w:space="0" w:color="000000"/>
            </w:tcBorders>
          </w:tcPr>
          <w:p>
            <w:pPr>
              <w:pStyle w:val="ListParagraph"/>
              <w:numPr>
                <w:ilvl w:val="0"/>
                <w:numId w:val="12"/>
              </w:numPr>
              <w:spacing w:lineRule="auto" w:line="240" w:before="0" w:after="0"/>
              <w:rPr>
                <w:rFonts w:ascii="Times New Roman" w:hAnsi="Times New Roman"/>
                <w:sz w:val="20"/>
                <w:szCs w:val="20"/>
              </w:rPr>
            </w:pPr>
            <w:r>
              <w:rPr>
                <w:sz w:val="20"/>
                <w:szCs w:val="20"/>
              </w:rPr>
            </w:r>
          </w:p>
        </w:tc>
        <w:tc>
          <w:tcPr>
            <w:tcW w:w="241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lang w:eastAsia="ru-RU"/>
              </w:rPr>
            </w:pPr>
            <w:r>
              <w:rPr>
                <w:sz w:val="20"/>
                <w:szCs w:val="20"/>
                <w:lang w:eastAsia="ru-RU"/>
              </w:rPr>
              <w:t>-</w:t>
            </w:r>
          </w:p>
        </w:tc>
        <w:tc>
          <w:tcPr>
            <w:tcW w:w="42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Красноармейский — Тумак</w:t>
            </w:r>
          </w:p>
        </w:tc>
        <w:tc>
          <w:tcPr>
            <w:tcW w:w="1137" w:type="dxa"/>
            <w:tcBorders>
              <w:top w:val="single" w:sz="4" w:space="0" w:color="000000"/>
              <w:left w:val="single" w:sz="4" w:space="0" w:color="000000"/>
              <w:bottom w:val="single" w:sz="4" w:space="0" w:color="000000"/>
              <w:right w:val="single" w:sz="4" w:space="0" w:color="000000"/>
            </w:tcBorders>
          </w:tcPr>
          <w:p>
            <w:pPr>
              <w:pStyle w:val="Normal"/>
              <w:tabs>
                <w:tab w:val="clear" w:pos="708"/>
                <w:tab w:val="left" w:pos="402" w:leader="none"/>
                <w:tab w:val="center" w:pos="530" w:leader="none"/>
              </w:tabs>
              <w:spacing w:lineRule="auto" w:line="240"/>
              <w:jc w:val="center"/>
              <w:rPr>
                <w:sz w:val="20"/>
                <w:szCs w:val="20"/>
              </w:rPr>
            </w:pPr>
            <w:r>
              <w:rPr>
                <w:sz w:val="20"/>
                <w:szCs w:val="20"/>
              </w:rPr>
              <w:t>IV</w:t>
            </w:r>
          </w:p>
        </w:tc>
        <w:tc>
          <w:tcPr>
            <w:tcW w:w="169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6,28</w:t>
            </w:r>
          </w:p>
        </w:tc>
      </w:tr>
      <w:tr>
        <w:trPr>
          <w:trHeight w:val="20" w:hRule="atLeast"/>
        </w:trPr>
        <w:tc>
          <w:tcPr>
            <w:tcW w:w="414" w:type="dxa"/>
            <w:tcBorders>
              <w:top w:val="single" w:sz="4" w:space="0" w:color="000000"/>
              <w:left w:val="single" w:sz="4" w:space="0" w:color="000000"/>
              <w:bottom w:val="single" w:sz="4" w:space="0" w:color="000000"/>
              <w:right w:val="single" w:sz="4" w:space="0" w:color="000000"/>
            </w:tcBorders>
          </w:tcPr>
          <w:p>
            <w:pPr>
              <w:pStyle w:val="ListParagraph"/>
              <w:numPr>
                <w:ilvl w:val="0"/>
                <w:numId w:val="12"/>
              </w:numPr>
              <w:spacing w:lineRule="auto" w:line="240" w:before="0" w:after="0"/>
              <w:rPr>
                <w:rFonts w:ascii="Times New Roman" w:hAnsi="Times New Roman"/>
                <w:sz w:val="20"/>
                <w:szCs w:val="20"/>
              </w:rPr>
            </w:pPr>
            <w:r>
              <w:rPr>
                <w:sz w:val="20"/>
                <w:szCs w:val="20"/>
              </w:rPr>
            </w:r>
          </w:p>
        </w:tc>
        <w:tc>
          <w:tcPr>
            <w:tcW w:w="241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lang w:eastAsia="ru-RU"/>
              </w:rPr>
            </w:pPr>
            <w:r>
              <w:rPr>
                <w:sz w:val="20"/>
                <w:szCs w:val="20"/>
                <w:lang w:eastAsia="ru-RU"/>
              </w:rPr>
              <w:t>-</w:t>
            </w:r>
          </w:p>
        </w:tc>
        <w:tc>
          <w:tcPr>
            <w:tcW w:w="42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Черноречье — Чесма — Варна — Карталы — Бреды</w:t>
            </w:r>
          </w:p>
        </w:tc>
        <w:tc>
          <w:tcPr>
            <w:tcW w:w="1137" w:type="dxa"/>
            <w:tcBorders>
              <w:top w:val="single" w:sz="4" w:space="0" w:color="000000"/>
              <w:left w:val="single" w:sz="4" w:space="0" w:color="000000"/>
              <w:bottom w:val="single" w:sz="4" w:space="0" w:color="000000"/>
              <w:right w:val="single" w:sz="4" w:space="0" w:color="000000"/>
            </w:tcBorders>
          </w:tcPr>
          <w:p>
            <w:pPr>
              <w:pStyle w:val="Normal"/>
              <w:tabs>
                <w:tab w:val="clear" w:pos="708"/>
                <w:tab w:val="left" w:pos="345" w:leader="none"/>
                <w:tab w:val="left" w:pos="402" w:leader="none"/>
                <w:tab w:val="center" w:pos="473" w:leader="none"/>
                <w:tab w:val="center" w:pos="530" w:leader="none"/>
              </w:tabs>
              <w:spacing w:lineRule="auto" w:line="240"/>
              <w:jc w:val="center"/>
              <w:rPr>
                <w:sz w:val="20"/>
                <w:szCs w:val="20"/>
              </w:rPr>
            </w:pPr>
            <w:r>
              <w:rPr>
                <w:sz w:val="20"/>
                <w:szCs w:val="20"/>
              </w:rPr>
              <w:t>IV</w:t>
            </w:r>
          </w:p>
        </w:tc>
        <w:tc>
          <w:tcPr>
            <w:tcW w:w="169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1,17</w:t>
            </w:r>
          </w:p>
        </w:tc>
      </w:tr>
      <w:tr>
        <w:trPr>
          <w:trHeight w:val="20" w:hRule="atLeast"/>
        </w:trPr>
        <w:tc>
          <w:tcPr>
            <w:tcW w:w="414" w:type="dxa"/>
            <w:tcBorders>
              <w:top w:val="single" w:sz="4" w:space="0" w:color="000000"/>
              <w:left w:val="single" w:sz="4" w:space="0" w:color="000000"/>
              <w:bottom w:val="single" w:sz="4" w:space="0" w:color="000000"/>
              <w:right w:val="single" w:sz="4" w:space="0" w:color="000000"/>
            </w:tcBorders>
          </w:tcPr>
          <w:p>
            <w:pPr>
              <w:pStyle w:val="ListParagraph"/>
              <w:numPr>
                <w:ilvl w:val="0"/>
                <w:numId w:val="12"/>
              </w:numPr>
              <w:spacing w:lineRule="auto" w:line="240" w:before="0" w:after="0"/>
              <w:rPr>
                <w:rFonts w:ascii="Times New Roman" w:hAnsi="Times New Roman"/>
                <w:sz w:val="20"/>
                <w:szCs w:val="20"/>
              </w:rPr>
            </w:pPr>
            <w:r>
              <w:rPr>
                <w:sz w:val="20"/>
                <w:szCs w:val="20"/>
              </w:rPr>
            </w:r>
          </w:p>
        </w:tc>
        <w:tc>
          <w:tcPr>
            <w:tcW w:w="241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lang w:eastAsia="ru-RU"/>
              </w:rPr>
            </w:pPr>
            <w:r>
              <w:rPr>
                <w:sz w:val="20"/>
                <w:szCs w:val="20"/>
                <w:lang w:eastAsia="ru-RU"/>
              </w:rPr>
              <w:t>-</w:t>
            </w:r>
          </w:p>
        </w:tc>
        <w:tc>
          <w:tcPr>
            <w:tcW w:w="42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Катенино — Новопокровка</w:t>
            </w:r>
          </w:p>
        </w:tc>
        <w:tc>
          <w:tcPr>
            <w:tcW w:w="1137" w:type="dxa"/>
            <w:tcBorders>
              <w:top w:val="single" w:sz="4" w:space="0" w:color="000000"/>
              <w:left w:val="single" w:sz="4" w:space="0" w:color="000000"/>
              <w:bottom w:val="single" w:sz="4" w:space="0" w:color="000000"/>
              <w:right w:val="single" w:sz="4" w:space="0" w:color="000000"/>
            </w:tcBorders>
          </w:tcPr>
          <w:p>
            <w:pPr>
              <w:pStyle w:val="Normal"/>
              <w:tabs>
                <w:tab w:val="clear" w:pos="708"/>
                <w:tab w:val="left" w:pos="402" w:leader="none"/>
                <w:tab w:val="center" w:pos="530" w:leader="none"/>
              </w:tabs>
              <w:spacing w:lineRule="auto" w:line="240"/>
              <w:jc w:val="center"/>
              <w:rPr>
                <w:sz w:val="20"/>
                <w:szCs w:val="20"/>
              </w:rPr>
            </w:pPr>
            <w:r>
              <w:rPr>
                <w:sz w:val="20"/>
                <w:szCs w:val="20"/>
              </w:rPr>
              <w:t>IV</w:t>
            </w:r>
          </w:p>
        </w:tc>
        <w:tc>
          <w:tcPr>
            <w:tcW w:w="169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2,52</w:t>
            </w:r>
          </w:p>
        </w:tc>
      </w:tr>
      <w:tr>
        <w:trPr>
          <w:trHeight w:val="20" w:hRule="atLeast"/>
        </w:trPr>
        <w:tc>
          <w:tcPr>
            <w:tcW w:w="414" w:type="dxa"/>
            <w:tcBorders>
              <w:top w:val="single" w:sz="4" w:space="0" w:color="000000"/>
              <w:left w:val="single" w:sz="4" w:space="0" w:color="000000"/>
              <w:bottom w:val="single" w:sz="4" w:space="0" w:color="000000"/>
              <w:right w:val="single" w:sz="4" w:space="0" w:color="000000"/>
            </w:tcBorders>
          </w:tcPr>
          <w:p>
            <w:pPr>
              <w:pStyle w:val="ListParagraph"/>
              <w:numPr>
                <w:ilvl w:val="0"/>
                <w:numId w:val="12"/>
              </w:numPr>
              <w:spacing w:lineRule="auto" w:line="240" w:before="0" w:after="0"/>
              <w:rPr>
                <w:rFonts w:ascii="Times New Roman" w:hAnsi="Times New Roman"/>
                <w:sz w:val="20"/>
                <w:szCs w:val="20"/>
              </w:rPr>
            </w:pPr>
            <w:r>
              <w:rPr>
                <w:sz w:val="20"/>
                <w:szCs w:val="20"/>
              </w:rPr>
            </w:r>
          </w:p>
        </w:tc>
        <w:tc>
          <w:tcPr>
            <w:tcW w:w="241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lang w:eastAsia="ru-RU"/>
              </w:rPr>
            </w:pPr>
            <w:r>
              <w:rPr>
                <w:sz w:val="20"/>
                <w:szCs w:val="20"/>
                <w:lang w:eastAsia="ru-RU"/>
              </w:rPr>
              <w:t>-</w:t>
            </w:r>
          </w:p>
        </w:tc>
        <w:tc>
          <w:tcPr>
            <w:tcW w:w="42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Караоба— Новопокровка</w:t>
            </w:r>
          </w:p>
        </w:tc>
        <w:tc>
          <w:tcPr>
            <w:tcW w:w="1137" w:type="dxa"/>
            <w:tcBorders>
              <w:top w:val="single" w:sz="4" w:space="0" w:color="000000"/>
              <w:left w:val="single" w:sz="4" w:space="0" w:color="000000"/>
              <w:bottom w:val="single" w:sz="4" w:space="0" w:color="000000"/>
              <w:right w:val="single" w:sz="4" w:space="0" w:color="000000"/>
            </w:tcBorders>
          </w:tcPr>
          <w:p>
            <w:pPr>
              <w:pStyle w:val="Normal"/>
              <w:tabs>
                <w:tab w:val="clear" w:pos="708"/>
                <w:tab w:val="left" w:pos="402" w:leader="none"/>
                <w:tab w:val="center" w:pos="530" w:leader="none"/>
              </w:tabs>
              <w:spacing w:lineRule="auto" w:line="240"/>
              <w:jc w:val="center"/>
              <w:rPr>
                <w:sz w:val="20"/>
                <w:szCs w:val="20"/>
              </w:rPr>
            </w:pPr>
            <w:r>
              <w:rPr>
                <w:sz w:val="20"/>
                <w:szCs w:val="20"/>
              </w:rPr>
              <w:t>IV</w:t>
            </w:r>
          </w:p>
        </w:tc>
        <w:tc>
          <w:tcPr>
            <w:tcW w:w="169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2,80</w:t>
            </w:r>
          </w:p>
        </w:tc>
      </w:tr>
      <w:tr>
        <w:trPr>
          <w:trHeight w:val="20" w:hRule="atLeast"/>
        </w:trPr>
        <w:tc>
          <w:tcPr>
            <w:tcW w:w="414" w:type="dxa"/>
            <w:tcBorders>
              <w:top w:val="single" w:sz="4" w:space="0" w:color="000000"/>
              <w:left w:val="single" w:sz="4" w:space="0" w:color="000000"/>
              <w:bottom w:val="single" w:sz="4" w:space="0" w:color="000000"/>
              <w:right w:val="single" w:sz="4" w:space="0" w:color="000000"/>
            </w:tcBorders>
          </w:tcPr>
          <w:p>
            <w:pPr>
              <w:pStyle w:val="ListParagraph"/>
              <w:numPr>
                <w:ilvl w:val="0"/>
                <w:numId w:val="12"/>
              </w:numPr>
              <w:spacing w:lineRule="auto" w:line="240" w:before="0" w:after="0"/>
              <w:rPr>
                <w:rFonts w:ascii="Times New Roman" w:hAnsi="Times New Roman"/>
                <w:sz w:val="20"/>
                <w:szCs w:val="20"/>
              </w:rPr>
            </w:pPr>
            <w:r>
              <w:rPr>
                <w:sz w:val="20"/>
                <w:szCs w:val="20"/>
              </w:rPr>
            </w:r>
          </w:p>
        </w:tc>
        <w:tc>
          <w:tcPr>
            <w:tcW w:w="241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lang w:eastAsia="ru-RU"/>
              </w:rPr>
            </w:pPr>
            <w:r>
              <w:rPr>
                <w:sz w:val="20"/>
                <w:szCs w:val="20"/>
                <w:lang w:eastAsia="ru-RU"/>
              </w:rPr>
              <w:t>-</w:t>
            </w:r>
          </w:p>
        </w:tc>
        <w:tc>
          <w:tcPr>
            <w:tcW w:w="42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Караоба — Кулевчи</w:t>
            </w:r>
          </w:p>
        </w:tc>
        <w:tc>
          <w:tcPr>
            <w:tcW w:w="1137" w:type="dxa"/>
            <w:tcBorders>
              <w:top w:val="single" w:sz="4" w:space="0" w:color="000000"/>
              <w:left w:val="single" w:sz="4" w:space="0" w:color="000000"/>
              <w:bottom w:val="single" w:sz="4" w:space="0" w:color="000000"/>
              <w:right w:val="single" w:sz="4" w:space="0" w:color="000000"/>
            </w:tcBorders>
          </w:tcPr>
          <w:p>
            <w:pPr>
              <w:pStyle w:val="Normal"/>
              <w:tabs>
                <w:tab w:val="clear" w:pos="708"/>
                <w:tab w:val="left" w:pos="402" w:leader="none"/>
                <w:tab w:val="center" w:pos="530" w:leader="none"/>
              </w:tabs>
              <w:spacing w:lineRule="auto" w:line="240"/>
              <w:jc w:val="center"/>
              <w:rPr>
                <w:sz w:val="20"/>
                <w:szCs w:val="20"/>
              </w:rPr>
            </w:pPr>
            <w:r>
              <w:rPr>
                <w:sz w:val="20"/>
                <w:szCs w:val="20"/>
              </w:rPr>
              <w:t>IV</w:t>
            </w:r>
          </w:p>
        </w:tc>
        <w:tc>
          <w:tcPr>
            <w:tcW w:w="169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2,19</w:t>
            </w:r>
          </w:p>
        </w:tc>
      </w:tr>
      <w:tr>
        <w:trPr>
          <w:trHeight w:val="20" w:hRule="atLeast"/>
        </w:trPr>
        <w:tc>
          <w:tcPr>
            <w:tcW w:w="414" w:type="dxa"/>
            <w:tcBorders>
              <w:top w:val="single" w:sz="4" w:space="0" w:color="000000"/>
              <w:left w:val="single" w:sz="4" w:space="0" w:color="000000"/>
              <w:bottom w:val="single" w:sz="4" w:space="0" w:color="000000"/>
              <w:right w:val="single" w:sz="4" w:space="0" w:color="000000"/>
            </w:tcBorders>
          </w:tcPr>
          <w:p>
            <w:pPr>
              <w:pStyle w:val="ListParagraph"/>
              <w:numPr>
                <w:ilvl w:val="0"/>
                <w:numId w:val="12"/>
              </w:numPr>
              <w:spacing w:lineRule="auto" w:line="240" w:before="0" w:after="0"/>
              <w:rPr>
                <w:rFonts w:ascii="Times New Roman" w:hAnsi="Times New Roman"/>
                <w:sz w:val="20"/>
                <w:szCs w:val="20"/>
              </w:rPr>
            </w:pPr>
            <w:r>
              <w:rPr>
                <w:sz w:val="20"/>
                <w:szCs w:val="20"/>
              </w:rPr>
            </w:r>
          </w:p>
        </w:tc>
        <w:tc>
          <w:tcPr>
            <w:tcW w:w="241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lang w:eastAsia="ru-RU"/>
              </w:rPr>
            </w:pPr>
            <w:r>
              <w:rPr>
                <w:sz w:val="20"/>
                <w:szCs w:val="20"/>
                <w:lang w:eastAsia="ru-RU"/>
              </w:rPr>
              <w:t>-</w:t>
            </w:r>
          </w:p>
        </w:tc>
        <w:tc>
          <w:tcPr>
            <w:tcW w:w="42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подъезды к п. Караоба</w:t>
            </w:r>
          </w:p>
        </w:tc>
        <w:tc>
          <w:tcPr>
            <w:tcW w:w="1137" w:type="dxa"/>
            <w:tcBorders>
              <w:top w:val="single" w:sz="4" w:space="0" w:color="000000"/>
              <w:left w:val="single" w:sz="4" w:space="0" w:color="000000"/>
              <w:bottom w:val="single" w:sz="4" w:space="0" w:color="000000"/>
              <w:right w:val="single" w:sz="4" w:space="0" w:color="000000"/>
            </w:tcBorders>
          </w:tcPr>
          <w:p>
            <w:pPr>
              <w:pStyle w:val="Normal"/>
              <w:tabs>
                <w:tab w:val="clear" w:pos="708"/>
                <w:tab w:val="left" w:pos="402" w:leader="none"/>
                <w:tab w:val="center" w:pos="530" w:leader="none"/>
              </w:tabs>
              <w:spacing w:lineRule="auto" w:line="240"/>
              <w:jc w:val="center"/>
              <w:rPr>
                <w:sz w:val="20"/>
                <w:szCs w:val="20"/>
              </w:rPr>
            </w:pPr>
            <w:r>
              <w:rPr>
                <w:sz w:val="20"/>
                <w:szCs w:val="20"/>
              </w:rPr>
              <w:t>-</w:t>
            </w:r>
          </w:p>
        </w:tc>
        <w:tc>
          <w:tcPr>
            <w:tcW w:w="169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0,73</w:t>
            </w:r>
          </w:p>
        </w:tc>
      </w:tr>
    </w:tbl>
    <w:p>
      <w:pPr>
        <w:pStyle w:val="Normal"/>
        <w:spacing w:lineRule="auto" w:line="276" w:before="120" w:after="200"/>
        <w:ind w:firstLine="709"/>
        <w:rPr>
          <w:b/>
          <w:b/>
          <w:szCs w:val="24"/>
        </w:rPr>
      </w:pPr>
      <w:r>
        <w:rPr>
          <w:b/>
          <w:szCs w:val="24"/>
        </w:rPr>
        <w:t>Информация об основных проблемах и ограничениях</w:t>
      </w:r>
    </w:p>
    <w:p>
      <w:pPr>
        <w:pStyle w:val="Normal"/>
        <w:spacing w:lineRule="auto" w:line="276"/>
        <w:ind w:firstLine="709"/>
        <w:rPr>
          <w:szCs w:val="24"/>
        </w:rPr>
      </w:pPr>
      <w:r>
        <w:rPr>
          <w:szCs w:val="24"/>
        </w:rPr>
        <w:t>Исходя из фактического состояния сети автомобильных дорог общего пользования можно сделать следующие выводы:</w:t>
      </w:r>
    </w:p>
    <w:p>
      <w:pPr>
        <w:pStyle w:val="ListParagraph"/>
        <w:numPr>
          <w:ilvl w:val="0"/>
          <w:numId w:val="13"/>
        </w:numPr>
        <w:spacing w:before="0" w:after="0"/>
        <w:ind w:left="0" w:firstLine="425"/>
        <w:contextualSpacing/>
        <w:jc w:val="both"/>
        <w:rPr>
          <w:rFonts w:ascii="Times New Roman" w:hAnsi="Times New Roman"/>
          <w:sz w:val="24"/>
          <w:szCs w:val="24"/>
        </w:rPr>
      </w:pPr>
      <w:r>
        <w:rPr>
          <w:sz w:val="24"/>
          <w:szCs w:val="24"/>
        </w:rPr>
        <w:t xml:space="preserve">Доля протяженности автомобильных дорог общего пользования регионального значения, </w:t>
      </w:r>
      <w:r>
        <w:rPr>
          <w:sz w:val="24"/>
          <w:szCs w:val="24"/>
          <w:lang w:val="en-US"/>
        </w:rPr>
        <w:t>c</w:t>
      </w:r>
      <w:r>
        <w:rPr>
          <w:sz w:val="24"/>
          <w:szCs w:val="24"/>
        </w:rPr>
        <w:t xml:space="preserve"> твердым покрытием, в общей протяженности автомобильных дорог общего пользования регионального значения составляет 82,49 %. </w:t>
      </w:r>
    </w:p>
    <w:p>
      <w:pPr>
        <w:pStyle w:val="ListParagraph"/>
        <w:numPr>
          <w:ilvl w:val="0"/>
          <w:numId w:val="13"/>
        </w:numPr>
        <w:spacing w:before="0" w:after="0"/>
        <w:ind w:left="0" w:firstLine="425"/>
        <w:contextualSpacing/>
        <w:jc w:val="both"/>
        <w:rPr>
          <w:rFonts w:ascii="Times New Roman" w:hAnsi="Times New Roman"/>
          <w:sz w:val="24"/>
          <w:szCs w:val="24"/>
        </w:rPr>
      </w:pPr>
      <w:r>
        <w:rPr>
          <w:sz w:val="24"/>
          <w:szCs w:val="24"/>
        </w:rPr>
        <w:t xml:space="preserve">Доля протяженности автомобильных дорог общего пользования местного значения, c твердым покрытием, в общей протяженности автомобильных дорог общего пользования местного значения составляет 17,51 %. </w:t>
      </w:r>
    </w:p>
    <w:p>
      <w:pPr>
        <w:pStyle w:val="Normal"/>
        <w:spacing w:lineRule="auto" w:line="276"/>
        <w:ind w:firstLine="709"/>
        <w:rPr>
          <w:b/>
          <w:b/>
          <w:szCs w:val="24"/>
        </w:rPr>
      </w:pPr>
      <w:r>
        <w:rPr>
          <w:b/>
          <w:szCs w:val="24"/>
        </w:rPr>
        <w:t>Направления развития</w:t>
      </w:r>
    </w:p>
    <w:p>
      <w:pPr>
        <w:pStyle w:val="Normal"/>
        <w:spacing w:lineRule="auto" w:line="276"/>
        <w:ind w:firstLine="709"/>
        <w:rPr>
          <w:szCs w:val="24"/>
        </w:rPr>
      </w:pPr>
      <w:r>
        <w:rPr>
          <w:szCs w:val="24"/>
        </w:rPr>
        <w:t>В период реализации документов территориального планирования транспортная инфраструктура по видам транспорта существенно не изменится. Транспортная связь с муниципальным образованием, регионом и населенными пунктами будет осуществляться общественным транспортом, связь внутри населенных пунктов будет осуществляться личным транспортом и пешеходным движением.</w:t>
      </w:r>
    </w:p>
    <w:p>
      <w:pPr>
        <w:pStyle w:val="Normal"/>
        <w:spacing w:lineRule="auto" w:line="276"/>
        <w:ind w:firstLine="709"/>
        <w:rPr>
          <w:szCs w:val="24"/>
        </w:rPr>
      </w:pPr>
      <w:r>
        <w:rPr>
          <w:szCs w:val="24"/>
        </w:rPr>
        <w:t>Основным направлением развития дорожной сети Катенинского сельского поселения на период реализации документов территориального планирования является дальнейшее совершенствование транспортного каркаса территории, усиление связи между административным центром (транспортным ядром) и периферийными населенными пунктами.</w:t>
      </w:r>
    </w:p>
    <w:p>
      <w:pPr>
        <w:pStyle w:val="Normal"/>
        <w:spacing w:lineRule="auto" w:line="276"/>
        <w:ind w:firstLine="709"/>
        <w:rPr>
          <w:szCs w:val="24"/>
        </w:rPr>
      </w:pPr>
      <w:r>
        <w:rPr>
          <w:szCs w:val="24"/>
        </w:rPr>
        <w:t>При росте интенсивности движения транспортных средств основными факторами, влияющими на снижение аварийности, станут обеспечение контроля за выполнением мероприятий по обеспечению безопасности дорожного движения, развитие систем видеофиксации нарушений правил дорожного движения, развитие целевой системы воспитания и обучения детей безопасному поведению на улицах и дорогах, проведение разъяснительной и предупредительно-профилактической работы среди населения по вопросам обеспечения безопасности дорожного движения с использованием средств массовой информации.</w:t>
      </w:r>
    </w:p>
    <w:p>
      <w:pPr>
        <w:pStyle w:val="Normal"/>
        <w:spacing w:lineRule="auto" w:line="276"/>
        <w:ind w:firstLine="709"/>
        <w:rPr>
          <w:szCs w:val="24"/>
        </w:rPr>
      </w:pPr>
      <w:r>
        <w:rPr>
          <w:szCs w:val="24"/>
        </w:rPr>
        <w:t xml:space="preserve">В период реализации документов территориального планирования не предполагаются изменения центров транспортного тяготения, структуры, маршрутов и объемов грузовых и пассажирских перевозок. </w:t>
      </w:r>
    </w:p>
    <w:p>
      <w:pPr>
        <w:sectPr>
          <w:headerReference w:type="default" r:id="rId84"/>
          <w:footerReference w:type="default" r:id="rId85"/>
          <w:type w:val="nextPage"/>
          <w:pgSz w:w="11906" w:h="16838"/>
          <w:pgMar w:left="1418" w:right="567" w:header="567" w:top="1134" w:footer="567" w:bottom="1134" w:gutter="0"/>
          <w:pgNumType w:fmt="decimal"/>
          <w:formProt w:val="false"/>
          <w:textDirection w:val="lrTb"/>
          <w:docGrid w:type="default" w:linePitch="360" w:charSpace="0"/>
        </w:sectPr>
        <w:pStyle w:val="Normal"/>
        <w:spacing w:lineRule="auto" w:line="276"/>
        <w:ind w:firstLine="709"/>
        <w:rPr>
          <w:szCs w:val="24"/>
        </w:rPr>
      </w:pPr>
      <w:r>
        <w:rPr>
          <w:szCs w:val="24"/>
        </w:rPr>
        <w:t>Схемой территориального планирования Челябинской области (утверждена постановлением Правительства Челябинской области от 30 апреля 2021 г. №172-п) планируются объекты</w:t>
      </w:r>
      <w:r>
        <w:rPr>
          <w:rFonts w:eastAsia="Times New Roman"/>
          <w:szCs w:val="24"/>
          <w:lang w:eastAsia="ru-RU"/>
        </w:rPr>
        <w:t xml:space="preserve"> в области автомобильного транспорта на территории </w:t>
      </w:r>
      <w:r>
        <w:rPr>
          <w:szCs w:val="24"/>
        </w:rPr>
        <w:t>Катенинского</w:t>
      </w:r>
      <w:r>
        <w:rPr/>
        <w:t xml:space="preserve"> сельского поселения, перечень планируемых объектов </w:t>
      </w:r>
      <w:r>
        <w:rPr>
          <w:rFonts w:eastAsia="Times New Roman"/>
          <w:szCs w:val="24"/>
          <w:lang w:eastAsia="ru-RU"/>
        </w:rPr>
        <w:t>приведен в таблице 3.7.2.</w:t>
      </w:r>
    </w:p>
    <w:p>
      <w:pPr>
        <w:pStyle w:val="Normal"/>
        <w:spacing w:lineRule="auto" w:line="276"/>
        <w:ind w:firstLine="709"/>
        <w:jc w:val="right"/>
        <w:rPr>
          <w:rFonts w:eastAsia="Times New Roman"/>
          <w:szCs w:val="24"/>
          <w:lang w:eastAsia="ru-RU"/>
        </w:rPr>
      </w:pPr>
      <w:r>
        <w:rPr>
          <w:rFonts w:eastAsia="Times New Roman"/>
          <w:szCs w:val="24"/>
          <w:lang w:eastAsia="ru-RU"/>
        </w:rPr>
        <w:t>Таблица 3.7.2</w:t>
      </w:r>
    </w:p>
    <w:p>
      <w:pPr>
        <w:pStyle w:val="Normal"/>
        <w:spacing w:lineRule="auto" w:line="276"/>
        <w:ind w:firstLine="709"/>
        <w:jc w:val="center"/>
        <w:rPr>
          <w:rFonts w:eastAsia="Times New Roman"/>
          <w:szCs w:val="24"/>
          <w:lang w:val="cs-CZ" w:eastAsia="ru-RU"/>
        </w:rPr>
      </w:pPr>
      <w:r>
        <w:rPr>
          <w:rFonts w:eastAsia="Times New Roman"/>
          <w:szCs w:val="24"/>
          <w:lang w:eastAsia="ru-RU"/>
        </w:rPr>
        <w:t>Перечень планируемых объектов в области автомобильного транспорта</w:t>
      </w:r>
    </w:p>
    <w:p>
      <w:pPr>
        <w:pStyle w:val="Normal"/>
        <w:spacing w:lineRule="auto" w:line="12"/>
        <w:rPr>
          <w:sz w:val="20"/>
          <w:szCs w:val="20"/>
        </w:rPr>
      </w:pPr>
      <w:r>
        <w:rPr>
          <w:sz w:val="20"/>
          <w:szCs w:val="20"/>
        </w:rPr>
      </w:r>
    </w:p>
    <w:tbl>
      <w:tblPr>
        <w:tblW w:w="5000" w:type="pct"/>
        <w:jc w:val="left"/>
        <w:tblInd w:w="-142" w:type="dxa"/>
        <w:tblCellMar>
          <w:top w:w="0" w:type="dxa"/>
          <w:left w:w="28" w:type="dxa"/>
          <w:bottom w:w="0" w:type="dxa"/>
          <w:right w:w="28" w:type="dxa"/>
        </w:tblCellMar>
        <w:tblLook w:firstRow="1" w:noVBand="1" w:lastRow="0" w:firstColumn="1" w:lastColumn="0" w:noHBand="0" w:val="04a0"/>
      </w:tblPr>
      <w:tblGrid>
        <w:gridCol w:w="569"/>
        <w:gridCol w:w="2234"/>
        <w:gridCol w:w="2520"/>
        <w:gridCol w:w="2801"/>
        <w:gridCol w:w="2101"/>
        <w:gridCol w:w="2240"/>
        <w:gridCol w:w="2104"/>
      </w:tblGrid>
      <w:tr>
        <w:trPr>
          <w:tblHeader w:val="true"/>
          <w:trHeight w:val="16" w:hRule="atLeast"/>
        </w:trPr>
        <w:tc>
          <w:tcPr>
            <w:tcW w:w="569"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sz w:val="20"/>
                <w:szCs w:val="20"/>
              </w:rPr>
              <w:t>№</w:t>
            </w:r>
          </w:p>
        </w:tc>
        <w:tc>
          <w:tcPr>
            <w:tcW w:w="2234" w:type="dxa"/>
            <w:tcBorders>
              <w:top w:val="single" w:sz="4" w:space="0" w:color="000000"/>
              <w:left w:val="single" w:sz="4" w:space="0" w:color="000000"/>
              <w:right w:val="single" w:sz="4" w:space="0" w:color="000000"/>
            </w:tcBorders>
          </w:tcPr>
          <w:p>
            <w:pPr>
              <w:pStyle w:val="Normal"/>
              <w:spacing w:lineRule="auto" w:line="240"/>
              <w:jc w:val="center"/>
              <w:rPr>
                <w:b/>
                <w:b/>
                <w:sz w:val="20"/>
                <w:szCs w:val="20"/>
              </w:rPr>
            </w:pPr>
            <w:r>
              <w:rPr>
                <w:b/>
                <w:bCs/>
                <w:sz w:val="20"/>
                <w:szCs w:val="20"/>
              </w:rPr>
              <w:t>Идентификационный номер</w:t>
            </w:r>
          </w:p>
        </w:tc>
        <w:tc>
          <w:tcPr>
            <w:tcW w:w="2520"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Наименование</w:t>
            </w:r>
          </w:p>
        </w:tc>
        <w:tc>
          <w:tcPr>
            <w:tcW w:w="2801"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Местоположение</w:t>
            </w:r>
          </w:p>
        </w:tc>
        <w:tc>
          <w:tcPr>
            <w:tcW w:w="2101"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Описание планируемых мероприятий</w:t>
            </w:r>
          </w:p>
        </w:tc>
        <w:tc>
          <w:tcPr>
            <w:tcW w:w="2240"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Arial Unicode MS"/>
                <w:b/>
                <w:b/>
                <w:sz w:val="20"/>
                <w:szCs w:val="20"/>
              </w:rPr>
            </w:pPr>
            <w:r>
              <w:rPr>
                <w:rFonts w:eastAsia="Arial Unicode MS"/>
                <w:b/>
                <w:sz w:val="20"/>
                <w:szCs w:val="20"/>
              </w:rPr>
              <w:t>Основные характеристики объекта</w:t>
            </w:r>
          </w:p>
        </w:tc>
        <w:tc>
          <w:tcPr>
            <w:tcW w:w="2104"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Arial Unicode MS"/>
                <w:b/>
                <w:b/>
                <w:sz w:val="20"/>
                <w:szCs w:val="20"/>
              </w:rPr>
            </w:pPr>
            <w:r>
              <w:rPr>
                <w:rFonts w:eastAsia="Times New Roman"/>
                <w:b/>
                <w:bCs/>
                <w:sz w:val="20"/>
                <w:szCs w:val="20"/>
                <w:lang w:eastAsia="ru-RU"/>
              </w:rPr>
              <w:t>Назначение</w:t>
            </w:r>
          </w:p>
        </w:tc>
      </w:tr>
    </w:tbl>
    <w:p>
      <w:pPr>
        <w:pStyle w:val="Normal"/>
        <w:spacing w:lineRule="auto" w:line="240"/>
        <w:rPr>
          <w:sz w:val="2"/>
          <w:szCs w:val="2"/>
        </w:rPr>
      </w:pPr>
      <w:r>
        <w:rPr>
          <w:sz w:val="2"/>
          <w:szCs w:val="2"/>
        </w:rPr>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527"/>
        <w:gridCol w:w="2235"/>
        <w:gridCol w:w="2515"/>
        <w:gridCol w:w="2794"/>
        <w:gridCol w:w="2095"/>
        <w:gridCol w:w="2218"/>
        <w:gridCol w:w="2185"/>
      </w:tblGrid>
      <w:tr>
        <w:trPr>
          <w:tblHeader w:val="true"/>
          <w:trHeight w:val="24" w:hRule="atLeast"/>
        </w:trPr>
        <w:tc>
          <w:tcPr>
            <w:tcW w:w="52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1</w:t>
            </w:r>
          </w:p>
        </w:tc>
        <w:tc>
          <w:tcPr>
            <w:tcW w:w="223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r>
          </w:p>
        </w:tc>
        <w:tc>
          <w:tcPr>
            <w:tcW w:w="251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2</w:t>
            </w:r>
          </w:p>
        </w:tc>
        <w:tc>
          <w:tcPr>
            <w:tcW w:w="279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3</w:t>
            </w:r>
          </w:p>
        </w:tc>
        <w:tc>
          <w:tcPr>
            <w:tcW w:w="209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4</w:t>
            </w:r>
          </w:p>
        </w:tc>
        <w:tc>
          <w:tcPr>
            <w:tcW w:w="221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5</w:t>
            </w:r>
          </w:p>
        </w:tc>
        <w:tc>
          <w:tcPr>
            <w:tcW w:w="218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Arial Unicode MS"/>
                <w:b/>
                <w:b/>
                <w:sz w:val="20"/>
                <w:szCs w:val="20"/>
              </w:rPr>
            </w:pPr>
            <w:r>
              <w:rPr>
                <w:rFonts w:eastAsia="Arial Unicode MS"/>
                <w:b/>
                <w:sz w:val="20"/>
                <w:szCs w:val="20"/>
              </w:rPr>
              <w:t>6</w:t>
            </w:r>
          </w:p>
        </w:tc>
      </w:tr>
      <w:tr>
        <w:trPr>
          <w:trHeight w:val="24" w:hRule="atLeast"/>
        </w:trPr>
        <w:tc>
          <w:tcPr>
            <w:tcW w:w="52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1</w:t>
            </w:r>
          </w:p>
        </w:tc>
        <w:tc>
          <w:tcPr>
            <w:tcW w:w="223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А.2.1</w:t>
            </w:r>
          </w:p>
        </w:tc>
        <w:tc>
          <w:tcPr>
            <w:tcW w:w="251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rFonts w:eastAsia="Times New Roman"/>
                <w:sz w:val="20"/>
                <w:szCs w:val="20"/>
                <w:lang w:eastAsia="ru-RU"/>
              </w:rPr>
              <w:t xml:space="preserve">Автодорога «Новониколаевка – Катенино» </w:t>
            </w:r>
          </w:p>
        </w:tc>
        <w:tc>
          <w:tcPr>
            <w:tcW w:w="279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rFonts w:eastAsia="Times New Roman"/>
                <w:sz w:val="20"/>
                <w:szCs w:val="20"/>
                <w:lang w:eastAsia="ru-RU"/>
              </w:rPr>
              <w:t>Варненский муниципальный район, Катенинское сельское поселение</w:t>
            </w:r>
          </w:p>
        </w:tc>
        <w:tc>
          <w:tcPr>
            <w:tcW w:w="209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rFonts w:eastAsia="Times New Roman"/>
                <w:sz w:val="20"/>
                <w:szCs w:val="20"/>
                <w:lang w:eastAsia="ru-RU"/>
              </w:rPr>
              <w:t>1. Планируемый к размещению</w:t>
            </w:r>
          </w:p>
          <w:p>
            <w:pPr>
              <w:pStyle w:val="Normal"/>
              <w:spacing w:lineRule="auto" w:line="240"/>
              <w:jc w:val="left"/>
              <w:rPr>
                <w:rFonts w:eastAsia="Times New Roman"/>
                <w:sz w:val="20"/>
                <w:szCs w:val="20"/>
                <w:lang w:eastAsia="ru-RU"/>
              </w:rPr>
            </w:pPr>
            <w:r>
              <w:rPr>
                <w:rFonts w:eastAsia="Times New Roman"/>
                <w:sz w:val="20"/>
                <w:szCs w:val="20"/>
                <w:lang w:eastAsia="ru-RU"/>
              </w:rPr>
              <w:t>2. Срок реализации — 2043 г</w:t>
            </w:r>
          </w:p>
        </w:tc>
        <w:tc>
          <w:tcPr>
            <w:tcW w:w="221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rFonts w:eastAsia="Times New Roman"/>
                <w:sz w:val="20"/>
                <w:szCs w:val="20"/>
                <w:lang w:eastAsia="ru-RU"/>
              </w:rPr>
              <w:t>Протяженность — 12,38 км;</w:t>
            </w:r>
          </w:p>
          <w:p>
            <w:pPr>
              <w:pStyle w:val="Normal"/>
              <w:spacing w:lineRule="auto" w:line="240"/>
              <w:jc w:val="left"/>
              <w:rPr>
                <w:rFonts w:eastAsia="Times New Roman"/>
                <w:sz w:val="20"/>
                <w:szCs w:val="20"/>
                <w:lang w:eastAsia="ru-RU"/>
              </w:rPr>
            </w:pPr>
            <w:r>
              <w:rPr>
                <w:rFonts w:eastAsia="Times New Roman"/>
                <w:sz w:val="20"/>
                <w:szCs w:val="20"/>
                <w:lang w:eastAsia="ru-RU"/>
              </w:rPr>
              <w:t>категория автомобильной дороги — IV</w:t>
            </w:r>
          </w:p>
        </w:tc>
        <w:tc>
          <w:tcPr>
            <w:tcW w:w="218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Arial Unicode MS"/>
                <w:sz w:val="20"/>
                <w:szCs w:val="20"/>
              </w:rPr>
            </w:pPr>
            <w:r>
              <w:rPr>
                <w:rFonts w:eastAsia="Times New Roman"/>
                <w:sz w:val="20"/>
                <w:szCs w:val="20"/>
                <w:lang w:eastAsia="ru-RU"/>
              </w:rPr>
              <w:t>Организация транспортной инфраструктуры</w:t>
            </w:r>
          </w:p>
        </w:tc>
      </w:tr>
      <w:tr>
        <w:trPr>
          <w:trHeight w:val="24" w:hRule="atLeast"/>
        </w:trPr>
        <w:tc>
          <w:tcPr>
            <w:tcW w:w="52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2</w:t>
            </w:r>
          </w:p>
        </w:tc>
        <w:tc>
          <w:tcPr>
            <w:tcW w:w="223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А.2.2</w:t>
            </w:r>
          </w:p>
        </w:tc>
        <w:tc>
          <w:tcPr>
            <w:tcW w:w="251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Calibri" w:eastAsiaTheme="minorHAnsi"/>
                <w:sz w:val="20"/>
                <w:szCs w:val="20"/>
              </w:rPr>
            </w:pPr>
            <w:r>
              <w:rPr>
                <w:rFonts w:eastAsia="Times New Roman"/>
                <w:sz w:val="20"/>
                <w:szCs w:val="20"/>
                <w:lang w:eastAsia="ru-RU"/>
              </w:rPr>
              <w:t xml:space="preserve">Автодорога «Караоба – Кулевчи» </w:t>
            </w:r>
          </w:p>
        </w:tc>
        <w:tc>
          <w:tcPr>
            <w:tcW w:w="279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Calibri" w:eastAsiaTheme="minorHAnsi"/>
                <w:sz w:val="20"/>
                <w:szCs w:val="20"/>
              </w:rPr>
            </w:pPr>
            <w:r>
              <w:rPr>
                <w:rFonts w:eastAsia="Times New Roman"/>
                <w:sz w:val="20"/>
                <w:szCs w:val="20"/>
                <w:lang w:eastAsia="ru-RU"/>
              </w:rPr>
              <w:t>Варненский муниципальный район, Катенинское сельское поселение</w:t>
            </w:r>
          </w:p>
        </w:tc>
        <w:tc>
          <w:tcPr>
            <w:tcW w:w="209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rFonts w:eastAsia="Times New Roman"/>
                <w:sz w:val="20"/>
                <w:szCs w:val="20"/>
                <w:lang w:eastAsia="ru-RU"/>
              </w:rPr>
              <w:t>1. Планируемый к размещению</w:t>
            </w:r>
          </w:p>
          <w:p>
            <w:pPr>
              <w:pStyle w:val="Normal"/>
              <w:spacing w:lineRule="auto" w:line="240"/>
              <w:jc w:val="left"/>
              <w:rPr>
                <w:sz w:val="20"/>
                <w:szCs w:val="20"/>
              </w:rPr>
            </w:pPr>
            <w:r>
              <w:rPr>
                <w:rFonts w:eastAsia="Times New Roman"/>
                <w:sz w:val="20"/>
                <w:szCs w:val="20"/>
                <w:lang w:eastAsia="ru-RU"/>
              </w:rPr>
              <w:t>2. Срок реализации — 2043 г</w:t>
            </w:r>
          </w:p>
        </w:tc>
        <w:tc>
          <w:tcPr>
            <w:tcW w:w="221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sz w:val="20"/>
                <w:szCs w:val="20"/>
              </w:rPr>
            </w:pPr>
            <w:r>
              <w:rPr>
                <w:rFonts w:eastAsia="Arial Unicode MS"/>
                <w:sz w:val="20"/>
                <w:szCs w:val="20"/>
              </w:rPr>
              <w:t xml:space="preserve">Протяженность — </w:t>
            </w:r>
            <w:r>
              <w:rPr>
                <w:rFonts w:eastAsia="Times New Roman"/>
                <w:sz w:val="20"/>
                <w:szCs w:val="20"/>
                <w:lang w:eastAsia="ru-RU"/>
              </w:rPr>
              <w:t>2,95 км;</w:t>
            </w:r>
          </w:p>
          <w:p>
            <w:pPr>
              <w:pStyle w:val="Normal"/>
              <w:spacing w:lineRule="auto" w:line="240"/>
              <w:jc w:val="left"/>
              <w:rPr>
                <w:sz w:val="20"/>
                <w:szCs w:val="20"/>
              </w:rPr>
            </w:pPr>
            <w:r>
              <w:rPr>
                <w:rFonts w:eastAsia="Arial Unicode MS"/>
                <w:sz w:val="20"/>
                <w:szCs w:val="20"/>
              </w:rPr>
              <w:t xml:space="preserve">категория автомобильной дороги — </w:t>
            </w:r>
            <w:r>
              <w:rPr>
                <w:rFonts w:eastAsia="Times New Roman"/>
                <w:sz w:val="20"/>
                <w:szCs w:val="20"/>
                <w:lang w:val="en-US"/>
              </w:rPr>
              <w:t>IV</w:t>
            </w:r>
          </w:p>
        </w:tc>
        <w:tc>
          <w:tcPr>
            <w:tcW w:w="218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Arial Unicode MS"/>
                <w:sz w:val="20"/>
                <w:szCs w:val="20"/>
              </w:rPr>
            </w:pPr>
            <w:r>
              <w:rPr>
                <w:rFonts w:eastAsia="Times New Roman"/>
                <w:sz w:val="20"/>
                <w:szCs w:val="20"/>
                <w:lang w:eastAsia="ru-RU"/>
              </w:rPr>
              <w:t>Организация транспортной инфраструктуры</w:t>
            </w:r>
          </w:p>
        </w:tc>
      </w:tr>
      <w:tr>
        <w:trPr>
          <w:trHeight w:val="24" w:hRule="atLeast"/>
        </w:trPr>
        <w:tc>
          <w:tcPr>
            <w:tcW w:w="52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3</w:t>
            </w:r>
          </w:p>
        </w:tc>
        <w:tc>
          <w:tcPr>
            <w:tcW w:w="223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А.2.3</w:t>
            </w:r>
          </w:p>
        </w:tc>
        <w:tc>
          <w:tcPr>
            <w:tcW w:w="251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Calibri" w:eastAsiaTheme="minorHAnsi"/>
                <w:sz w:val="20"/>
                <w:szCs w:val="20"/>
              </w:rPr>
            </w:pPr>
            <w:r>
              <w:rPr>
                <w:rFonts w:eastAsia="Times New Roman"/>
                <w:sz w:val="20"/>
                <w:szCs w:val="20"/>
                <w:lang w:eastAsia="ru-RU"/>
              </w:rPr>
              <w:t xml:space="preserve">Автодорога «Комсомольский – Новопокровка» </w:t>
            </w:r>
          </w:p>
        </w:tc>
        <w:tc>
          <w:tcPr>
            <w:tcW w:w="279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Calibri" w:eastAsiaTheme="minorHAnsi"/>
                <w:sz w:val="20"/>
                <w:szCs w:val="20"/>
              </w:rPr>
            </w:pPr>
            <w:r>
              <w:rPr>
                <w:rFonts w:eastAsia="Times New Roman"/>
                <w:sz w:val="20"/>
                <w:szCs w:val="20"/>
                <w:lang w:eastAsia="ru-RU"/>
              </w:rPr>
              <w:t>Варненский муниципальный район, Катенинское сельское поселение</w:t>
            </w:r>
          </w:p>
        </w:tc>
        <w:tc>
          <w:tcPr>
            <w:tcW w:w="209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rFonts w:eastAsia="Times New Roman"/>
                <w:sz w:val="20"/>
                <w:szCs w:val="20"/>
                <w:lang w:eastAsia="ru-RU"/>
              </w:rPr>
              <w:t>1. Планируемый к размещению</w:t>
            </w:r>
          </w:p>
          <w:p>
            <w:pPr>
              <w:pStyle w:val="Normal"/>
              <w:spacing w:lineRule="auto" w:line="240"/>
              <w:jc w:val="left"/>
              <w:rPr>
                <w:sz w:val="20"/>
                <w:szCs w:val="20"/>
              </w:rPr>
            </w:pPr>
            <w:r>
              <w:rPr>
                <w:rFonts w:eastAsia="Times New Roman"/>
                <w:sz w:val="20"/>
                <w:szCs w:val="20"/>
                <w:lang w:eastAsia="ru-RU"/>
              </w:rPr>
              <w:t>2. Срок реализации — 2043 г</w:t>
            </w:r>
          </w:p>
        </w:tc>
        <w:tc>
          <w:tcPr>
            <w:tcW w:w="221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sz w:val="20"/>
                <w:szCs w:val="20"/>
              </w:rPr>
            </w:pPr>
            <w:r>
              <w:rPr>
                <w:rFonts w:eastAsia="Arial Unicode MS"/>
                <w:sz w:val="20"/>
                <w:szCs w:val="20"/>
              </w:rPr>
              <w:t xml:space="preserve">Протяженность — </w:t>
            </w:r>
            <w:r>
              <w:rPr>
                <w:rFonts w:eastAsia="Times New Roman"/>
                <w:sz w:val="20"/>
                <w:szCs w:val="20"/>
                <w:lang w:eastAsia="ru-RU"/>
              </w:rPr>
              <w:t>4,66 км;</w:t>
            </w:r>
          </w:p>
          <w:p>
            <w:pPr>
              <w:pStyle w:val="Normal"/>
              <w:spacing w:lineRule="auto" w:line="240"/>
              <w:jc w:val="left"/>
              <w:rPr>
                <w:sz w:val="20"/>
                <w:szCs w:val="20"/>
              </w:rPr>
            </w:pPr>
            <w:r>
              <w:rPr>
                <w:rFonts w:eastAsia="Arial Unicode MS"/>
                <w:sz w:val="20"/>
                <w:szCs w:val="20"/>
              </w:rPr>
              <w:t xml:space="preserve">категория автомобильной дороги — </w:t>
            </w:r>
            <w:r>
              <w:rPr>
                <w:rFonts w:eastAsia="Times New Roman"/>
                <w:sz w:val="20"/>
                <w:szCs w:val="20"/>
                <w:lang w:val="en-US"/>
              </w:rPr>
              <w:t>IV</w:t>
            </w:r>
          </w:p>
        </w:tc>
        <w:tc>
          <w:tcPr>
            <w:tcW w:w="218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Arial Unicode MS"/>
                <w:sz w:val="20"/>
                <w:szCs w:val="20"/>
              </w:rPr>
            </w:pPr>
            <w:r>
              <w:rPr>
                <w:rFonts w:eastAsia="Times New Roman"/>
                <w:sz w:val="20"/>
                <w:szCs w:val="20"/>
                <w:lang w:eastAsia="ru-RU"/>
              </w:rPr>
              <w:t>Организация транспортной инфраструктуры</w:t>
            </w:r>
          </w:p>
        </w:tc>
      </w:tr>
      <w:tr>
        <w:trPr>
          <w:trHeight w:val="24" w:hRule="atLeast"/>
        </w:trPr>
        <w:tc>
          <w:tcPr>
            <w:tcW w:w="52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4</w:t>
            </w:r>
          </w:p>
        </w:tc>
        <w:tc>
          <w:tcPr>
            <w:tcW w:w="223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А.2.4</w:t>
            </w:r>
          </w:p>
        </w:tc>
        <w:tc>
          <w:tcPr>
            <w:tcW w:w="251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rFonts w:eastAsia="Times New Roman"/>
                <w:sz w:val="20"/>
                <w:szCs w:val="20"/>
                <w:lang w:eastAsia="ru-RU"/>
              </w:rPr>
              <w:t xml:space="preserve">Автодорога «Кызыл – Маяк – Красноармейский» </w:t>
            </w:r>
          </w:p>
        </w:tc>
        <w:tc>
          <w:tcPr>
            <w:tcW w:w="279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rFonts w:eastAsia="Times New Roman"/>
                <w:sz w:val="20"/>
                <w:szCs w:val="20"/>
                <w:lang w:eastAsia="ru-RU"/>
              </w:rPr>
              <w:t>Варненский муниципальный район, Катенинское сельское поселение</w:t>
            </w:r>
          </w:p>
        </w:tc>
        <w:tc>
          <w:tcPr>
            <w:tcW w:w="209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rFonts w:eastAsia="Times New Roman"/>
                <w:sz w:val="20"/>
                <w:szCs w:val="20"/>
                <w:lang w:eastAsia="ru-RU"/>
              </w:rPr>
              <w:t>1. Планируемый к размещению</w:t>
            </w:r>
          </w:p>
          <w:p>
            <w:pPr>
              <w:pStyle w:val="Normal"/>
              <w:spacing w:lineRule="auto" w:line="240"/>
              <w:jc w:val="left"/>
              <w:rPr>
                <w:rFonts w:eastAsia="Times New Roman"/>
                <w:sz w:val="20"/>
                <w:szCs w:val="20"/>
                <w:lang w:eastAsia="ru-RU"/>
              </w:rPr>
            </w:pPr>
            <w:r>
              <w:rPr>
                <w:rFonts w:eastAsia="Times New Roman"/>
                <w:sz w:val="20"/>
                <w:szCs w:val="20"/>
                <w:lang w:eastAsia="ru-RU"/>
              </w:rPr>
              <w:t>2. Срок реализации — 2043 г</w:t>
            </w:r>
          </w:p>
        </w:tc>
        <w:tc>
          <w:tcPr>
            <w:tcW w:w="221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Arial Unicode MS"/>
                <w:sz w:val="20"/>
                <w:szCs w:val="20"/>
              </w:rPr>
            </w:pPr>
            <w:r>
              <w:rPr>
                <w:rFonts w:eastAsia="Arial Unicode MS"/>
                <w:sz w:val="20"/>
                <w:szCs w:val="20"/>
              </w:rPr>
              <w:t>Протяженность — 3,71 км;</w:t>
            </w:r>
          </w:p>
          <w:p>
            <w:pPr>
              <w:pStyle w:val="Normal"/>
              <w:spacing w:lineRule="auto" w:line="240"/>
              <w:jc w:val="left"/>
              <w:rPr>
                <w:rFonts w:eastAsia="Arial Unicode MS"/>
                <w:sz w:val="20"/>
                <w:szCs w:val="20"/>
              </w:rPr>
            </w:pPr>
            <w:r>
              <w:rPr>
                <w:rFonts w:eastAsia="Arial Unicode MS"/>
                <w:sz w:val="20"/>
                <w:szCs w:val="20"/>
              </w:rPr>
              <w:t>категория автомобильной дороги — IV</w:t>
            </w:r>
          </w:p>
        </w:tc>
        <w:tc>
          <w:tcPr>
            <w:tcW w:w="218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rFonts w:eastAsia="Times New Roman"/>
                <w:sz w:val="20"/>
                <w:szCs w:val="20"/>
                <w:lang w:eastAsia="ru-RU"/>
              </w:rPr>
              <w:t>Организация транспортной инфраструктуры</w:t>
            </w:r>
          </w:p>
        </w:tc>
      </w:tr>
    </w:tbl>
    <w:p>
      <w:pPr>
        <w:sectPr>
          <w:headerReference w:type="default" r:id="rId86"/>
          <w:footerReference w:type="default" r:id="rId87"/>
          <w:type w:val="nextPage"/>
          <w:pgSz w:orient="landscape" w:w="16838" w:h="11906"/>
          <w:pgMar w:left="1134" w:right="1134" w:header="567" w:top="1418" w:footer="567" w:bottom="624" w:gutter="0"/>
          <w:pgNumType w:fmt="decimal"/>
          <w:formProt w:val="false"/>
          <w:textDirection w:val="lrTb"/>
          <w:docGrid w:type="default" w:linePitch="360" w:charSpace="0"/>
        </w:sectPr>
      </w:pPr>
    </w:p>
    <w:p>
      <w:pPr>
        <w:pStyle w:val="0212165"/>
        <w:rPr>
          <w:rFonts w:eastAsia="Times New Roman"/>
          <w:szCs w:val="24"/>
          <w:lang w:eastAsia="ru-RU"/>
        </w:rPr>
      </w:pPr>
      <w:bookmarkStart w:id="166" w:name="_Toc182210479"/>
      <w:r>
        <w:rPr/>
        <w:t>7.1.2 Улично-дорожная сеть</w:t>
      </w:r>
      <w:bookmarkEnd w:id="166"/>
    </w:p>
    <w:p>
      <w:pPr>
        <w:pStyle w:val="Normal"/>
        <w:spacing w:lineRule="auto" w:line="276"/>
        <w:ind w:firstLine="709"/>
        <w:rPr>
          <w:rFonts w:eastAsia="Times New Roman"/>
          <w:szCs w:val="24"/>
          <w:lang w:eastAsia="ru-RU"/>
        </w:rPr>
      </w:pPr>
      <w:r>
        <w:rPr/>
        <w:t>На сегодняшний день улично-дорожная сеть населенных пунктов Катенинского сельского поселения представляет собой сложившуюся сеть улиц и проездов, обеспечивающих внешние и внутренние связи на территории населенных пунктов кварталов жилых домов с производственными объектами и с общественной зоной.</w:t>
      </w:r>
    </w:p>
    <w:p>
      <w:pPr>
        <w:pStyle w:val="Normal"/>
        <w:spacing w:lineRule="auto" w:line="276"/>
        <w:ind w:firstLine="709"/>
        <w:rPr>
          <w:rFonts w:eastAsia="Times New Roman"/>
          <w:szCs w:val="24"/>
          <w:lang w:eastAsia="ru-RU"/>
        </w:rPr>
      </w:pPr>
      <w:r>
        <w:rPr/>
        <w:t>Практически вся улично-дорожная сеть населенных пунктов находится в неудовлетворительном состоянии.</w:t>
      </w:r>
    </w:p>
    <w:p>
      <w:pPr>
        <w:pStyle w:val="Normal"/>
        <w:spacing w:lineRule="auto" w:line="276"/>
        <w:ind w:firstLine="709"/>
        <w:rPr>
          <w:rFonts w:eastAsia="Times New Roman"/>
          <w:szCs w:val="24"/>
          <w:lang w:eastAsia="ru-RU"/>
        </w:rPr>
      </w:pPr>
      <w:r>
        <w:rPr/>
        <w:t>Основные показатели существующей улично-дорожной сети на территории поселения представлен в таблице 3.7.3</w:t>
      </w:r>
    </w:p>
    <w:p>
      <w:pPr>
        <w:pStyle w:val="Normal"/>
        <w:spacing w:lineRule="auto" w:line="276"/>
        <w:ind w:firstLine="709"/>
        <w:jc w:val="right"/>
        <w:rPr>
          <w:rFonts w:eastAsia="Times New Roman"/>
          <w:szCs w:val="24"/>
          <w:lang w:eastAsia="ru-RU"/>
        </w:rPr>
      </w:pPr>
      <w:r>
        <w:rPr/>
        <w:t>Таблица 3.7.3</w:t>
      </w:r>
    </w:p>
    <w:p>
      <w:pPr>
        <w:pStyle w:val="Normal"/>
        <w:spacing w:lineRule="auto" w:line="276"/>
        <w:jc w:val="center"/>
        <w:rPr>
          <w:rFonts w:eastAsia="Times New Roman"/>
          <w:szCs w:val="24"/>
          <w:lang w:eastAsia="ru-RU"/>
        </w:rPr>
      </w:pPr>
      <w:r>
        <w:rPr/>
        <w:t xml:space="preserve">Основные показатели существующей улично-дорожной сети на территории </w:t>
        <w:br/>
        <w:t>Катенинского сельского поселения</w:t>
      </w:r>
    </w:p>
    <w:tbl>
      <w:tblPr>
        <w:tblStyle w:val="aff"/>
        <w:tblW w:w="9633" w:type="dxa"/>
        <w:jc w:val="center"/>
        <w:tblInd w:w="0" w:type="dxa"/>
        <w:tblCellMar>
          <w:top w:w="0" w:type="dxa"/>
          <w:left w:w="108" w:type="dxa"/>
          <w:bottom w:w="0" w:type="dxa"/>
          <w:right w:w="108" w:type="dxa"/>
        </w:tblCellMar>
        <w:tblLook w:firstRow="1" w:noVBand="1" w:lastRow="0" w:firstColumn="1" w:lastColumn="0" w:noHBand="0" w:val="04a0"/>
      </w:tblPr>
      <w:tblGrid>
        <w:gridCol w:w="455"/>
        <w:gridCol w:w="4217"/>
        <w:gridCol w:w="851"/>
        <w:gridCol w:w="1134"/>
        <w:gridCol w:w="708"/>
        <w:gridCol w:w="706"/>
        <w:gridCol w:w="853"/>
        <w:gridCol w:w="707"/>
      </w:tblGrid>
      <w:tr>
        <w:trPr/>
        <w:tc>
          <w:tcPr>
            <w:tcW w:w="455" w:type="dxa"/>
            <w:vMerge w:val="restart"/>
            <w:tcBorders/>
            <w:vAlign w:val="center"/>
          </w:tcPr>
          <w:p>
            <w:pPr>
              <w:pStyle w:val="Normal"/>
              <w:spacing w:lineRule="auto" w:line="240"/>
              <w:jc w:val="center"/>
              <w:rPr>
                <w:rFonts w:eastAsia="Times New Roman"/>
                <w:b/>
                <w:b/>
                <w:sz w:val="20"/>
                <w:szCs w:val="20"/>
              </w:rPr>
            </w:pPr>
            <w:r>
              <w:rPr>
                <w:rFonts w:eastAsia="Times New Roman"/>
                <w:b/>
                <w:sz w:val="20"/>
                <w:szCs w:val="20"/>
              </w:rPr>
              <w:t>№</w:t>
            </w:r>
          </w:p>
        </w:tc>
        <w:tc>
          <w:tcPr>
            <w:tcW w:w="4217" w:type="dxa"/>
            <w:vMerge w:val="restart"/>
            <w:tcBorders/>
            <w:vAlign w:val="center"/>
          </w:tcPr>
          <w:p>
            <w:pPr>
              <w:pStyle w:val="Normal"/>
              <w:spacing w:lineRule="auto" w:line="240"/>
              <w:jc w:val="center"/>
              <w:rPr>
                <w:rFonts w:eastAsia="Times New Roman"/>
                <w:b/>
                <w:b/>
                <w:sz w:val="20"/>
                <w:szCs w:val="20"/>
              </w:rPr>
            </w:pPr>
            <w:r>
              <w:rPr>
                <w:rFonts w:eastAsia="Times New Roman"/>
                <w:b/>
                <w:sz w:val="20"/>
                <w:szCs w:val="20"/>
              </w:rPr>
              <w:t>Наименование автомобильных дорог</w:t>
            </w:r>
          </w:p>
        </w:tc>
        <w:tc>
          <w:tcPr>
            <w:tcW w:w="1985" w:type="dxa"/>
            <w:gridSpan w:val="2"/>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Проезжая часть</w:t>
            </w:r>
          </w:p>
        </w:tc>
        <w:tc>
          <w:tcPr>
            <w:tcW w:w="2974" w:type="dxa"/>
            <w:gridSpan w:val="4"/>
            <w:tcBorders/>
          </w:tcPr>
          <w:p>
            <w:pPr>
              <w:pStyle w:val="Normal"/>
              <w:spacing w:lineRule="auto" w:line="240"/>
              <w:jc w:val="center"/>
              <w:rPr>
                <w:rFonts w:eastAsia="Times New Roman"/>
                <w:b/>
                <w:b/>
                <w:sz w:val="20"/>
                <w:szCs w:val="20"/>
              </w:rPr>
            </w:pPr>
            <w:r>
              <w:rPr>
                <w:rFonts w:eastAsia="Times New Roman"/>
                <w:b/>
                <w:sz w:val="20"/>
                <w:szCs w:val="20"/>
              </w:rPr>
              <w:t>Протяженность, м</w:t>
            </w:r>
          </w:p>
        </w:tc>
      </w:tr>
      <w:tr>
        <w:trPr/>
        <w:tc>
          <w:tcPr>
            <w:tcW w:w="455" w:type="dxa"/>
            <w:vMerge w:val="continue"/>
            <w:tcBorders/>
            <w:vAlign w:val="center"/>
          </w:tcPr>
          <w:p>
            <w:pPr>
              <w:pStyle w:val="Normal"/>
              <w:spacing w:lineRule="auto" w:line="240"/>
              <w:jc w:val="center"/>
              <w:rPr>
                <w:rFonts w:eastAsia="Times New Roman"/>
                <w:szCs w:val="24"/>
                <w:lang w:eastAsia="ru-RU"/>
              </w:rPr>
            </w:pPr>
            <w:r>
              <w:rPr/>
            </w:r>
          </w:p>
        </w:tc>
        <w:tc>
          <w:tcPr>
            <w:tcW w:w="4217" w:type="dxa"/>
            <w:vMerge w:val="continue"/>
            <w:tcBorders/>
            <w:vAlign w:val="center"/>
          </w:tcPr>
          <w:p>
            <w:pPr>
              <w:pStyle w:val="Normal"/>
              <w:spacing w:lineRule="auto" w:line="240"/>
              <w:jc w:val="center"/>
              <w:rPr>
                <w:rFonts w:eastAsia="Times New Roman"/>
                <w:szCs w:val="24"/>
                <w:lang w:eastAsia="ru-RU"/>
              </w:rPr>
            </w:pPr>
            <w:r>
              <w:rPr/>
            </w:r>
          </w:p>
        </w:tc>
        <w:tc>
          <w:tcPr>
            <w:tcW w:w="851" w:type="dxa"/>
            <w:vMerge w:val="restart"/>
            <w:tcBorders/>
            <w:vAlign w:val="center"/>
          </w:tcPr>
          <w:p>
            <w:pPr>
              <w:pStyle w:val="Normal"/>
              <w:spacing w:lineRule="auto" w:line="240"/>
              <w:jc w:val="center"/>
              <w:rPr>
                <w:rFonts w:eastAsia="Times New Roman"/>
                <w:szCs w:val="24"/>
                <w:lang w:eastAsia="ru-RU"/>
              </w:rPr>
            </w:pPr>
            <w:r>
              <w:rPr>
                <w:rFonts w:eastAsia="Times New Roman"/>
                <w:b/>
                <w:sz w:val="20"/>
                <w:szCs w:val="20"/>
                <w:lang w:eastAsia="ru-RU"/>
              </w:rPr>
              <w:t xml:space="preserve">длина, </w:t>
              <w:br/>
              <w:t>м</w:t>
            </w:r>
          </w:p>
        </w:tc>
        <w:tc>
          <w:tcPr>
            <w:tcW w:w="1134" w:type="dxa"/>
            <w:vMerge w:val="restart"/>
            <w:tcBorders/>
            <w:vAlign w:val="center"/>
          </w:tcPr>
          <w:p>
            <w:pPr>
              <w:pStyle w:val="Normal"/>
              <w:spacing w:lineRule="auto" w:line="240"/>
              <w:jc w:val="center"/>
              <w:rPr>
                <w:rFonts w:eastAsia="Times New Roman"/>
                <w:szCs w:val="24"/>
                <w:lang w:eastAsia="ru-RU"/>
              </w:rPr>
            </w:pPr>
            <w:r>
              <w:rPr>
                <w:rFonts w:eastAsia="Times New Roman"/>
                <w:b/>
                <w:sz w:val="20"/>
                <w:szCs w:val="20"/>
                <w:lang w:eastAsia="ru-RU"/>
              </w:rPr>
              <w:t>площадь, м</w:t>
            </w:r>
            <w:r>
              <w:rPr>
                <w:rFonts w:eastAsia="Times New Roman"/>
                <w:b/>
                <w:sz w:val="20"/>
                <w:szCs w:val="20"/>
                <w:vertAlign w:val="superscript"/>
                <w:lang w:eastAsia="ru-RU"/>
              </w:rPr>
              <w:t>2</w:t>
            </w:r>
          </w:p>
        </w:tc>
        <w:tc>
          <w:tcPr>
            <w:tcW w:w="1414" w:type="dxa"/>
            <w:gridSpan w:val="2"/>
            <w:tcBorders/>
            <w:vAlign w:val="center"/>
          </w:tcPr>
          <w:p>
            <w:pPr>
              <w:pStyle w:val="Normal"/>
              <w:spacing w:lineRule="auto" w:line="240"/>
              <w:jc w:val="center"/>
              <w:rPr>
                <w:rFonts w:eastAsia="Times New Roman"/>
                <w:b/>
                <w:b/>
                <w:sz w:val="20"/>
                <w:szCs w:val="20"/>
              </w:rPr>
            </w:pPr>
            <w:r>
              <w:rPr>
                <w:rFonts w:eastAsia="Times New Roman"/>
                <w:b/>
                <w:sz w:val="20"/>
                <w:szCs w:val="20"/>
              </w:rPr>
              <w:t xml:space="preserve">щебень </w:t>
            </w:r>
          </w:p>
        </w:tc>
        <w:tc>
          <w:tcPr>
            <w:tcW w:w="1560" w:type="dxa"/>
            <w:gridSpan w:val="2"/>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асфальтобетон</w:t>
            </w:r>
          </w:p>
        </w:tc>
      </w:tr>
      <w:tr>
        <w:trPr/>
        <w:tc>
          <w:tcPr>
            <w:tcW w:w="455" w:type="dxa"/>
            <w:vMerge w:val="continue"/>
            <w:tcBorders>
              <w:bottom w:val="nil"/>
            </w:tcBorders>
            <w:shd w:color="auto" w:fill="ED7D31" w:themeFill="accent2" w:val="clear"/>
            <w:vAlign w:val="center"/>
          </w:tcPr>
          <w:p>
            <w:pPr>
              <w:pStyle w:val="Normal"/>
              <w:spacing w:lineRule="auto" w:line="240"/>
              <w:jc w:val="center"/>
              <w:rPr>
                <w:rFonts w:eastAsia="Times New Roman"/>
                <w:szCs w:val="24"/>
                <w:lang w:eastAsia="ru-RU"/>
              </w:rPr>
            </w:pPr>
            <w:r>
              <w:rPr/>
            </w:r>
          </w:p>
        </w:tc>
        <w:tc>
          <w:tcPr>
            <w:tcW w:w="4217" w:type="dxa"/>
            <w:vMerge w:val="continue"/>
            <w:tcBorders>
              <w:bottom w:val="nil"/>
            </w:tcBorders>
            <w:shd w:color="auto" w:fill="ED7D31" w:themeFill="accent2" w:val="clear"/>
            <w:vAlign w:val="center"/>
          </w:tcPr>
          <w:p>
            <w:pPr>
              <w:pStyle w:val="Normal"/>
              <w:spacing w:lineRule="auto" w:line="240"/>
              <w:jc w:val="center"/>
              <w:rPr>
                <w:rFonts w:eastAsia="Times New Roman"/>
                <w:szCs w:val="24"/>
                <w:lang w:eastAsia="ru-RU"/>
              </w:rPr>
            </w:pPr>
            <w:r>
              <w:rPr/>
            </w:r>
          </w:p>
        </w:tc>
        <w:tc>
          <w:tcPr>
            <w:tcW w:w="851" w:type="dxa"/>
            <w:vMerge w:val="continue"/>
            <w:tcBorders>
              <w:bottom w:val="nil"/>
            </w:tcBorders>
            <w:shd w:color="auto" w:fill="ED7D31" w:themeFill="accent2"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r>
          </w:p>
        </w:tc>
        <w:tc>
          <w:tcPr>
            <w:tcW w:w="1134" w:type="dxa"/>
            <w:vMerge w:val="continue"/>
            <w:tcBorders>
              <w:bottom w:val="nil"/>
            </w:tcBorders>
            <w:shd w:color="auto" w:fill="ED7D31" w:themeFill="accent2"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r>
          </w:p>
        </w:tc>
        <w:tc>
          <w:tcPr>
            <w:tcW w:w="708" w:type="dxa"/>
            <w:tcBorders>
              <w:bottom w:val="nil"/>
            </w:tcBorders>
            <w:vAlign w:val="center"/>
          </w:tcPr>
          <w:p>
            <w:pPr>
              <w:pStyle w:val="Normal"/>
              <w:spacing w:lineRule="auto" w:line="240"/>
              <w:jc w:val="center"/>
              <w:rPr>
                <w:rFonts w:eastAsia="Times New Roman"/>
                <w:b/>
                <w:b/>
                <w:sz w:val="20"/>
                <w:szCs w:val="20"/>
              </w:rPr>
            </w:pPr>
            <w:r>
              <w:rPr>
                <w:rFonts w:eastAsia="Times New Roman"/>
                <w:b/>
                <w:sz w:val="20"/>
                <w:szCs w:val="20"/>
              </w:rPr>
              <w:t>мп</w:t>
            </w:r>
          </w:p>
        </w:tc>
        <w:tc>
          <w:tcPr>
            <w:tcW w:w="706" w:type="dxa"/>
            <w:tcBorders>
              <w:bottom w:val="nil"/>
            </w:tcBorders>
          </w:tcPr>
          <w:p>
            <w:pPr>
              <w:pStyle w:val="Normal"/>
              <w:spacing w:lineRule="auto" w:line="240"/>
              <w:jc w:val="center"/>
              <w:rPr>
                <w:rFonts w:eastAsia="Times New Roman"/>
                <w:b/>
                <w:b/>
                <w:sz w:val="20"/>
                <w:szCs w:val="20"/>
              </w:rPr>
            </w:pPr>
            <w:r>
              <w:rPr>
                <w:rFonts w:eastAsia="Times New Roman"/>
                <w:b/>
                <w:sz w:val="20"/>
                <w:szCs w:val="20"/>
                <w:lang w:eastAsia="ru-RU"/>
              </w:rPr>
              <w:t>м</w:t>
            </w:r>
            <w:r>
              <w:rPr>
                <w:rFonts w:eastAsia="Times New Roman"/>
                <w:b/>
                <w:sz w:val="20"/>
                <w:szCs w:val="20"/>
                <w:vertAlign w:val="superscript"/>
                <w:lang w:eastAsia="ru-RU"/>
              </w:rPr>
              <w:t>2</w:t>
            </w:r>
          </w:p>
        </w:tc>
        <w:tc>
          <w:tcPr>
            <w:tcW w:w="853" w:type="dxa"/>
            <w:tcBorders>
              <w:bottom w:val="nil"/>
            </w:tcBorders>
            <w:vAlign w:val="center"/>
          </w:tcPr>
          <w:p>
            <w:pPr>
              <w:pStyle w:val="Normal"/>
              <w:spacing w:lineRule="auto" w:line="240"/>
              <w:jc w:val="center"/>
              <w:rPr>
                <w:rFonts w:eastAsia="Times New Roman"/>
                <w:b/>
                <w:b/>
                <w:sz w:val="20"/>
                <w:szCs w:val="20"/>
              </w:rPr>
            </w:pPr>
            <w:r>
              <w:rPr>
                <w:rFonts w:eastAsia="Times New Roman"/>
                <w:b/>
                <w:sz w:val="20"/>
                <w:szCs w:val="20"/>
              </w:rPr>
              <w:t>мп</w:t>
            </w:r>
          </w:p>
        </w:tc>
        <w:tc>
          <w:tcPr>
            <w:tcW w:w="707" w:type="dxa"/>
            <w:tcBorders>
              <w:bottom w:val="nil"/>
            </w:tcBorders>
          </w:tcPr>
          <w:p>
            <w:pPr>
              <w:pStyle w:val="Normal"/>
              <w:spacing w:lineRule="auto" w:line="240"/>
              <w:jc w:val="center"/>
              <w:rPr>
                <w:rFonts w:eastAsia="Times New Roman"/>
                <w:b/>
                <w:b/>
                <w:sz w:val="20"/>
                <w:szCs w:val="20"/>
              </w:rPr>
            </w:pPr>
            <w:r>
              <w:rPr>
                <w:rFonts w:eastAsia="Times New Roman"/>
                <w:b/>
                <w:sz w:val="20"/>
                <w:szCs w:val="20"/>
                <w:lang w:eastAsia="ru-RU"/>
              </w:rPr>
              <w:t>м</w:t>
            </w:r>
            <w:r>
              <w:rPr>
                <w:rFonts w:eastAsia="Times New Roman"/>
                <w:b/>
                <w:sz w:val="20"/>
                <w:szCs w:val="20"/>
                <w:vertAlign w:val="superscript"/>
                <w:lang w:eastAsia="ru-RU"/>
              </w:rPr>
              <w:t>2</w:t>
            </w:r>
          </w:p>
        </w:tc>
      </w:tr>
    </w:tbl>
    <w:p>
      <w:pPr>
        <w:pStyle w:val="Normal"/>
        <w:spacing w:lineRule="auto" w:line="12"/>
        <w:rPr>
          <w:rFonts w:eastAsia="Times New Roman"/>
          <w:szCs w:val="24"/>
          <w:lang w:eastAsia="ru-RU"/>
        </w:rPr>
      </w:pPr>
      <w:r>
        <w:rPr/>
        <w:t xml:space="preserve"> </w:t>
      </w:r>
    </w:p>
    <w:tbl>
      <w:tblPr>
        <w:tblStyle w:val="aff"/>
        <w:tblW w:w="9641" w:type="dxa"/>
        <w:jc w:val="center"/>
        <w:tblInd w:w="0" w:type="dxa"/>
        <w:tblCellMar>
          <w:top w:w="0" w:type="dxa"/>
          <w:left w:w="108" w:type="dxa"/>
          <w:bottom w:w="0" w:type="dxa"/>
          <w:right w:w="108" w:type="dxa"/>
        </w:tblCellMar>
        <w:tblLook w:firstRow="1" w:noVBand="1" w:lastRow="0" w:firstColumn="1" w:lastColumn="0" w:noHBand="0" w:val="04a0"/>
      </w:tblPr>
      <w:tblGrid>
        <w:gridCol w:w="456"/>
        <w:gridCol w:w="4216"/>
        <w:gridCol w:w="851"/>
        <w:gridCol w:w="1134"/>
        <w:gridCol w:w="701"/>
        <w:gridCol w:w="716"/>
        <w:gridCol w:w="850"/>
        <w:gridCol w:w="715"/>
      </w:tblGrid>
      <w:tr>
        <w:trPr>
          <w:tblHeader w:val="true"/>
        </w:trPr>
        <w:tc>
          <w:tcPr>
            <w:tcW w:w="456" w:type="dxa"/>
            <w:tcBorders/>
            <w:shd w:color="auto" w:fill="auto" w:val="clear"/>
            <w:vAlign w:val="center"/>
          </w:tcPr>
          <w:p>
            <w:pPr>
              <w:pStyle w:val="Normal"/>
              <w:spacing w:lineRule="auto" w:line="240"/>
              <w:jc w:val="center"/>
              <w:rPr>
                <w:b/>
                <w:b/>
                <w:sz w:val="20"/>
                <w:szCs w:val="20"/>
              </w:rPr>
            </w:pPr>
            <w:r>
              <w:rPr>
                <w:b/>
                <w:sz w:val="20"/>
                <w:szCs w:val="20"/>
              </w:rPr>
              <w:t>1</w:t>
            </w:r>
          </w:p>
        </w:tc>
        <w:tc>
          <w:tcPr>
            <w:tcW w:w="4216" w:type="dxa"/>
            <w:tcBorders/>
            <w:shd w:color="auto" w:fill="auto" w:val="clear"/>
            <w:vAlign w:val="center"/>
          </w:tcPr>
          <w:p>
            <w:pPr>
              <w:pStyle w:val="Normal"/>
              <w:spacing w:lineRule="auto" w:line="240"/>
              <w:jc w:val="center"/>
              <w:rPr>
                <w:b/>
                <w:b/>
                <w:sz w:val="20"/>
                <w:szCs w:val="20"/>
              </w:rPr>
            </w:pPr>
            <w:r>
              <w:rPr>
                <w:b/>
                <w:sz w:val="20"/>
                <w:szCs w:val="20"/>
              </w:rPr>
              <w:t>2</w:t>
            </w:r>
          </w:p>
        </w:tc>
        <w:tc>
          <w:tcPr>
            <w:tcW w:w="851" w:type="dxa"/>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3</w:t>
            </w:r>
          </w:p>
        </w:tc>
        <w:tc>
          <w:tcPr>
            <w:tcW w:w="1134" w:type="dxa"/>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4</w:t>
            </w:r>
          </w:p>
        </w:tc>
        <w:tc>
          <w:tcPr>
            <w:tcW w:w="701" w:type="dxa"/>
            <w:tcBorders/>
            <w:vAlign w:val="center"/>
          </w:tcPr>
          <w:p>
            <w:pPr>
              <w:pStyle w:val="Normal"/>
              <w:spacing w:lineRule="auto" w:line="240"/>
              <w:jc w:val="center"/>
              <w:rPr>
                <w:rFonts w:eastAsia="Times New Roman"/>
                <w:b/>
                <w:b/>
                <w:sz w:val="20"/>
                <w:szCs w:val="20"/>
              </w:rPr>
            </w:pPr>
            <w:r>
              <w:rPr>
                <w:rFonts w:eastAsia="Times New Roman"/>
                <w:b/>
                <w:sz w:val="20"/>
                <w:szCs w:val="20"/>
              </w:rPr>
              <w:t>5</w:t>
            </w:r>
          </w:p>
        </w:tc>
        <w:tc>
          <w:tcPr>
            <w:tcW w:w="716"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6</w:t>
            </w:r>
          </w:p>
        </w:tc>
        <w:tc>
          <w:tcPr>
            <w:tcW w:w="850" w:type="dxa"/>
            <w:tcBorders/>
            <w:vAlign w:val="center"/>
          </w:tcPr>
          <w:p>
            <w:pPr>
              <w:pStyle w:val="Normal"/>
              <w:spacing w:lineRule="auto" w:line="240"/>
              <w:jc w:val="center"/>
              <w:rPr>
                <w:rFonts w:eastAsia="Times New Roman"/>
                <w:b/>
                <w:b/>
                <w:sz w:val="20"/>
                <w:szCs w:val="20"/>
              </w:rPr>
            </w:pPr>
            <w:r>
              <w:rPr>
                <w:rFonts w:eastAsia="Times New Roman"/>
                <w:b/>
                <w:sz w:val="20"/>
                <w:szCs w:val="20"/>
              </w:rPr>
              <w:t>7</w:t>
            </w:r>
          </w:p>
        </w:tc>
        <w:tc>
          <w:tcPr>
            <w:tcW w:w="715"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8</w:t>
            </w:r>
          </w:p>
        </w:tc>
      </w:tr>
      <w:tr>
        <w:trPr/>
        <w:tc>
          <w:tcPr>
            <w:tcW w:w="9639" w:type="dxa"/>
            <w:gridSpan w:val="8"/>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с. Катенино</w:t>
            </w:r>
          </w:p>
        </w:tc>
      </w:tr>
      <w:tr>
        <w:trPr/>
        <w:tc>
          <w:tcPr>
            <w:tcW w:w="456" w:type="dxa"/>
            <w:tcBorders>
              <w:right w:val="nil"/>
            </w:tcBorders>
          </w:tcPr>
          <w:p>
            <w:pPr>
              <w:pStyle w:val="Normal"/>
              <w:spacing w:lineRule="auto" w:line="240"/>
              <w:jc w:val="center"/>
              <w:rPr>
                <w:sz w:val="20"/>
                <w:szCs w:val="20"/>
              </w:rPr>
            </w:pPr>
            <w:r>
              <w:rPr>
                <w:sz w:val="20"/>
                <w:szCs w:val="20"/>
              </w:rPr>
              <w:t>1</w:t>
            </w:r>
          </w:p>
        </w:tc>
        <w:tc>
          <w:tcPr>
            <w:tcW w:w="4216" w:type="dxa"/>
            <w:tcBorders>
              <w:left w:val="nil"/>
              <w:right w:val="nil"/>
            </w:tcBorders>
          </w:tcPr>
          <w:p>
            <w:pPr>
              <w:pStyle w:val="Normal"/>
              <w:spacing w:lineRule="auto" w:line="240"/>
              <w:jc w:val="left"/>
              <w:rPr>
                <w:sz w:val="20"/>
                <w:szCs w:val="20"/>
              </w:rPr>
            </w:pPr>
            <w:r>
              <w:rPr>
                <w:sz w:val="20"/>
                <w:szCs w:val="20"/>
              </w:rPr>
              <w:t>Ул. Набережная от д. 2 до дороги Катенино – Кр. Октябрь</w:t>
            </w:r>
          </w:p>
        </w:tc>
        <w:tc>
          <w:tcPr>
            <w:tcW w:w="851" w:type="dxa"/>
            <w:tcBorders>
              <w:left w:val="nil"/>
              <w:right w:val="nil"/>
            </w:tcBorders>
          </w:tcPr>
          <w:p>
            <w:pPr>
              <w:pStyle w:val="Normal"/>
              <w:spacing w:lineRule="auto" w:line="240"/>
              <w:jc w:val="center"/>
              <w:rPr>
                <w:sz w:val="20"/>
                <w:szCs w:val="20"/>
              </w:rPr>
            </w:pPr>
            <w:r>
              <w:rPr>
                <w:sz w:val="20"/>
                <w:szCs w:val="20"/>
              </w:rPr>
            </w:r>
          </w:p>
          <w:p>
            <w:pPr>
              <w:pStyle w:val="Normal"/>
              <w:spacing w:lineRule="auto" w:line="240"/>
              <w:jc w:val="center"/>
              <w:rPr>
                <w:sz w:val="20"/>
                <w:szCs w:val="20"/>
              </w:rPr>
            </w:pPr>
            <w:r>
              <w:rPr>
                <w:sz w:val="20"/>
                <w:szCs w:val="20"/>
              </w:rPr>
              <w:t>2100</w:t>
            </w:r>
          </w:p>
        </w:tc>
        <w:tc>
          <w:tcPr>
            <w:tcW w:w="1134" w:type="dxa"/>
            <w:tcBorders/>
            <w:shd w:color="auto" w:fill="auto" w:val="clear"/>
          </w:tcPr>
          <w:p>
            <w:pPr>
              <w:pStyle w:val="Normal"/>
              <w:spacing w:lineRule="auto" w:line="240"/>
              <w:jc w:val="center"/>
              <w:rPr>
                <w:sz w:val="20"/>
                <w:szCs w:val="20"/>
              </w:rPr>
            </w:pPr>
            <w:r>
              <w:rPr>
                <w:sz w:val="20"/>
                <w:szCs w:val="20"/>
              </w:rPr>
              <w:t>12600</w:t>
            </w:r>
          </w:p>
        </w:tc>
        <w:tc>
          <w:tcPr>
            <w:tcW w:w="701" w:type="dxa"/>
            <w:tcBorders/>
            <w:shd w:color="auto" w:fill="auto" w:val="clear"/>
          </w:tcPr>
          <w:p>
            <w:pPr>
              <w:pStyle w:val="Normal"/>
              <w:spacing w:lineRule="auto" w:line="240"/>
              <w:jc w:val="center"/>
              <w:rPr>
                <w:sz w:val="20"/>
                <w:szCs w:val="20"/>
              </w:rPr>
            </w:pPr>
            <w:r>
              <w:rPr>
                <w:sz w:val="20"/>
                <w:szCs w:val="20"/>
              </w:rPr>
              <w:t>-</w:t>
            </w:r>
          </w:p>
        </w:tc>
        <w:tc>
          <w:tcPr>
            <w:tcW w:w="716" w:type="dxa"/>
            <w:tcBorders/>
            <w:shd w:color="auto" w:fill="auto" w:val="clear"/>
          </w:tcPr>
          <w:p>
            <w:pPr>
              <w:pStyle w:val="Normal"/>
              <w:spacing w:lineRule="auto" w:line="240"/>
              <w:jc w:val="center"/>
              <w:rPr>
                <w:sz w:val="20"/>
                <w:szCs w:val="20"/>
              </w:rPr>
            </w:pPr>
            <w:r>
              <w:rPr>
                <w:sz w:val="20"/>
                <w:szCs w:val="20"/>
              </w:rPr>
              <w:t>-</w:t>
            </w:r>
          </w:p>
        </w:tc>
        <w:tc>
          <w:tcPr>
            <w:tcW w:w="850" w:type="dxa"/>
            <w:tcBorders>
              <w:left w:val="nil"/>
              <w:right w:val="nil"/>
            </w:tcBorders>
          </w:tcPr>
          <w:p>
            <w:pPr>
              <w:pStyle w:val="Normal"/>
              <w:spacing w:lineRule="auto" w:line="240"/>
              <w:jc w:val="center"/>
              <w:rPr>
                <w:sz w:val="20"/>
                <w:szCs w:val="20"/>
              </w:rPr>
            </w:pPr>
            <w:r>
              <w:rPr>
                <w:sz w:val="20"/>
                <w:szCs w:val="20"/>
              </w:rPr>
              <w:t>2100</w:t>
            </w:r>
          </w:p>
        </w:tc>
        <w:tc>
          <w:tcPr>
            <w:tcW w:w="715" w:type="dxa"/>
            <w:tcBorders>
              <w:left w:val="nil"/>
            </w:tcBorders>
          </w:tcPr>
          <w:p>
            <w:pPr>
              <w:pStyle w:val="Normal"/>
              <w:spacing w:lineRule="auto" w:line="240"/>
              <w:jc w:val="center"/>
              <w:rPr>
                <w:sz w:val="20"/>
                <w:szCs w:val="20"/>
              </w:rPr>
            </w:pPr>
            <w:r>
              <w:rPr>
                <w:sz w:val="20"/>
                <w:szCs w:val="20"/>
              </w:rPr>
              <w:t>12600</w:t>
            </w:r>
          </w:p>
        </w:tc>
      </w:tr>
      <w:tr>
        <w:trPr/>
        <w:tc>
          <w:tcPr>
            <w:tcW w:w="456" w:type="dxa"/>
            <w:tcBorders>
              <w:right w:val="nil"/>
            </w:tcBorders>
          </w:tcPr>
          <w:p>
            <w:pPr>
              <w:pStyle w:val="Normal"/>
              <w:spacing w:lineRule="auto" w:line="240"/>
              <w:jc w:val="center"/>
              <w:rPr>
                <w:sz w:val="20"/>
                <w:szCs w:val="20"/>
              </w:rPr>
            </w:pPr>
            <w:r>
              <w:rPr>
                <w:sz w:val="20"/>
                <w:szCs w:val="20"/>
              </w:rPr>
              <w:t>2</w:t>
            </w:r>
          </w:p>
        </w:tc>
        <w:tc>
          <w:tcPr>
            <w:tcW w:w="4216" w:type="dxa"/>
            <w:tcBorders>
              <w:left w:val="nil"/>
              <w:right w:val="nil"/>
            </w:tcBorders>
          </w:tcPr>
          <w:p>
            <w:pPr>
              <w:pStyle w:val="Normal"/>
              <w:spacing w:lineRule="auto" w:line="240"/>
              <w:jc w:val="left"/>
              <w:rPr>
                <w:sz w:val="20"/>
                <w:szCs w:val="20"/>
              </w:rPr>
            </w:pPr>
            <w:r>
              <w:rPr>
                <w:sz w:val="20"/>
                <w:szCs w:val="20"/>
              </w:rPr>
              <w:t>Ул. Советская от д. 1 до автодороги Варна – Кр. Октябрь</w:t>
            </w:r>
          </w:p>
        </w:tc>
        <w:tc>
          <w:tcPr>
            <w:tcW w:w="851" w:type="dxa"/>
            <w:tcBorders>
              <w:left w:val="nil"/>
              <w:right w:val="nil"/>
            </w:tcBorders>
          </w:tcPr>
          <w:p>
            <w:pPr>
              <w:pStyle w:val="Normal"/>
              <w:spacing w:lineRule="auto" w:line="240"/>
              <w:jc w:val="center"/>
              <w:rPr>
                <w:sz w:val="20"/>
                <w:szCs w:val="20"/>
              </w:rPr>
            </w:pPr>
            <w:r>
              <w:rPr>
                <w:sz w:val="20"/>
                <w:szCs w:val="20"/>
              </w:rPr>
              <w:t>2200</w:t>
            </w:r>
          </w:p>
        </w:tc>
        <w:tc>
          <w:tcPr>
            <w:tcW w:w="1134" w:type="dxa"/>
            <w:tcBorders/>
            <w:shd w:color="auto" w:fill="auto" w:val="clear"/>
          </w:tcPr>
          <w:p>
            <w:pPr>
              <w:pStyle w:val="Normal"/>
              <w:spacing w:lineRule="auto" w:line="240"/>
              <w:jc w:val="center"/>
              <w:rPr>
                <w:sz w:val="20"/>
                <w:szCs w:val="20"/>
              </w:rPr>
            </w:pPr>
            <w:r>
              <w:rPr>
                <w:sz w:val="20"/>
                <w:szCs w:val="20"/>
              </w:rPr>
              <w:t>13200</w:t>
            </w:r>
          </w:p>
        </w:tc>
        <w:tc>
          <w:tcPr>
            <w:tcW w:w="701" w:type="dxa"/>
            <w:tcBorders/>
            <w:shd w:color="auto" w:fill="auto" w:val="clear"/>
          </w:tcPr>
          <w:p>
            <w:pPr>
              <w:pStyle w:val="Normal"/>
              <w:spacing w:lineRule="auto" w:line="240"/>
              <w:jc w:val="center"/>
              <w:rPr>
                <w:sz w:val="20"/>
                <w:szCs w:val="20"/>
              </w:rPr>
            </w:pPr>
            <w:r>
              <w:rPr>
                <w:sz w:val="20"/>
                <w:szCs w:val="20"/>
              </w:rPr>
              <w:t>-</w:t>
            </w:r>
          </w:p>
        </w:tc>
        <w:tc>
          <w:tcPr>
            <w:tcW w:w="716" w:type="dxa"/>
            <w:tcBorders/>
            <w:shd w:color="auto" w:fill="auto" w:val="clear"/>
          </w:tcPr>
          <w:p>
            <w:pPr>
              <w:pStyle w:val="Normal"/>
              <w:spacing w:lineRule="auto" w:line="240"/>
              <w:jc w:val="center"/>
              <w:rPr>
                <w:sz w:val="20"/>
                <w:szCs w:val="20"/>
              </w:rPr>
            </w:pPr>
            <w:r>
              <w:rPr>
                <w:sz w:val="20"/>
                <w:szCs w:val="20"/>
              </w:rPr>
              <w:t>-</w:t>
            </w:r>
          </w:p>
        </w:tc>
        <w:tc>
          <w:tcPr>
            <w:tcW w:w="850" w:type="dxa"/>
            <w:tcBorders>
              <w:left w:val="nil"/>
              <w:right w:val="nil"/>
            </w:tcBorders>
            <w:vAlign w:val="bottom"/>
          </w:tcPr>
          <w:p>
            <w:pPr>
              <w:pStyle w:val="Normal"/>
              <w:spacing w:lineRule="auto" w:line="240"/>
              <w:jc w:val="center"/>
              <w:rPr>
                <w:sz w:val="20"/>
                <w:szCs w:val="20"/>
              </w:rPr>
            </w:pPr>
            <w:r>
              <w:rPr>
                <w:sz w:val="20"/>
                <w:szCs w:val="20"/>
              </w:rPr>
              <w:t>2200</w:t>
            </w:r>
          </w:p>
        </w:tc>
        <w:tc>
          <w:tcPr>
            <w:tcW w:w="715" w:type="dxa"/>
            <w:tcBorders>
              <w:left w:val="nil"/>
            </w:tcBorders>
            <w:vAlign w:val="bottom"/>
          </w:tcPr>
          <w:p>
            <w:pPr>
              <w:pStyle w:val="Normal"/>
              <w:spacing w:lineRule="auto" w:line="240"/>
              <w:jc w:val="center"/>
              <w:rPr>
                <w:sz w:val="20"/>
                <w:szCs w:val="20"/>
              </w:rPr>
            </w:pPr>
            <w:r>
              <w:rPr>
                <w:sz w:val="20"/>
                <w:szCs w:val="20"/>
              </w:rPr>
              <w:t>13200</w:t>
            </w:r>
          </w:p>
        </w:tc>
      </w:tr>
      <w:tr>
        <w:trPr/>
        <w:tc>
          <w:tcPr>
            <w:tcW w:w="456" w:type="dxa"/>
            <w:tcBorders>
              <w:right w:val="nil"/>
            </w:tcBorders>
          </w:tcPr>
          <w:p>
            <w:pPr>
              <w:pStyle w:val="Normal"/>
              <w:spacing w:lineRule="auto" w:line="240"/>
              <w:jc w:val="center"/>
              <w:rPr>
                <w:sz w:val="20"/>
                <w:szCs w:val="20"/>
              </w:rPr>
            </w:pPr>
            <w:r>
              <w:rPr>
                <w:sz w:val="20"/>
                <w:szCs w:val="20"/>
              </w:rPr>
              <w:t>3</w:t>
            </w:r>
          </w:p>
        </w:tc>
        <w:tc>
          <w:tcPr>
            <w:tcW w:w="4216" w:type="dxa"/>
            <w:tcBorders>
              <w:left w:val="nil"/>
              <w:right w:val="nil"/>
            </w:tcBorders>
          </w:tcPr>
          <w:p>
            <w:pPr>
              <w:pStyle w:val="Normal"/>
              <w:spacing w:lineRule="auto" w:line="240"/>
              <w:jc w:val="left"/>
              <w:rPr>
                <w:sz w:val="20"/>
                <w:szCs w:val="20"/>
              </w:rPr>
            </w:pPr>
            <w:r>
              <w:rPr>
                <w:sz w:val="20"/>
                <w:szCs w:val="20"/>
              </w:rPr>
              <w:t>Ул. Мира от д. 1до переулка № 1</w:t>
            </w:r>
          </w:p>
        </w:tc>
        <w:tc>
          <w:tcPr>
            <w:tcW w:w="851" w:type="dxa"/>
            <w:tcBorders>
              <w:left w:val="nil"/>
              <w:right w:val="nil"/>
            </w:tcBorders>
          </w:tcPr>
          <w:p>
            <w:pPr>
              <w:pStyle w:val="Normal"/>
              <w:spacing w:lineRule="auto" w:line="240"/>
              <w:jc w:val="center"/>
              <w:rPr>
                <w:sz w:val="20"/>
                <w:szCs w:val="20"/>
              </w:rPr>
            </w:pPr>
            <w:r>
              <w:rPr>
                <w:sz w:val="20"/>
                <w:szCs w:val="20"/>
              </w:rPr>
              <w:t>2000</w:t>
            </w:r>
          </w:p>
        </w:tc>
        <w:tc>
          <w:tcPr>
            <w:tcW w:w="1134" w:type="dxa"/>
            <w:tcBorders/>
            <w:shd w:color="auto" w:fill="auto" w:val="clear"/>
          </w:tcPr>
          <w:p>
            <w:pPr>
              <w:pStyle w:val="Normal"/>
              <w:spacing w:lineRule="auto" w:line="240"/>
              <w:jc w:val="center"/>
              <w:rPr>
                <w:sz w:val="20"/>
                <w:szCs w:val="20"/>
              </w:rPr>
            </w:pPr>
            <w:r>
              <w:rPr>
                <w:sz w:val="20"/>
                <w:szCs w:val="20"/>
              </w:rPr>
              <w:t>1200</w:t>
            </w:r>
          </w:p>
        </w:tc>
        <w:tc>
          <w:tcPr>
            <w:tcW w:w="701" w:type="dxa"/>
            <w:tcBorders/>
            <w:shd w:color="auto" w:fill="auto" w:val="clear"/>
          </w:tcPr>
          <w:p>
            <w:pPr>
              <w:pStyle w:val="Normal"/>
              <w:spacing w:lineRule="auto" w:line="240"/>
              <w:jc w:val="center"/>
              <w:rPr>
                <w:sz w:val="20"/>
                <w:szCs w:val="20"/>
              </w:rPr>
            </w:pPr>
            <w:r>
              <w:rPr>
                <w:sz w:val="20"/>
                <w:szCs w:val="20"/>
              </w:rPr>
              <w:t>-</w:t>
            </w:r>
          </w:p>
        </w:tc>
        <w:tc>
          <w:tcPr>
            <w:tcW w:w="716" w:type="dxa"/>
            <w:tcBorders/>
            <w:shd w:color="auto" w:fill="auto" w:val="clear"/>
          </w:tcPr>
          <w:p>
            <w:pPr>
              <w:pStyle w:val="Normal"/>
              <w:spacing w:lineRule="auto" w:line="240"/>
              <w:jc w:val="center"/>
              <w:rPr>
                <w:sz w:val="20"/>
                <w:szCs w:val="20"/>
              </w:rPr>
            </w:pPr>
            <w:r>
              <w:rPr>
                <w:sz w:val="20"/>
                <w:szCs w:val="20"/>
              </w:rPr>
              <w:t>-</w:t>
            </w:r>
          </w:p>
        </w:tc>
        <w:tc>
          <w:tcPr>
            <w:tcW w:w="850" w:type="dxa"/>
            <w:tcBorders>
              <w:left w:val="nil"/>
              <w:right w:val="nil"/>
            </w:tcBorders>
            <w:vAlign w:val="bottom"/>
          </w:tcPr>
          <w:p>
            <w:pPr>
              <w:pStyle w:val="Normal"/>
              <w:spacing w:lineRule="auto" w:line="240"/>
              <w:jc w:val="center"/>
              <w:rPr>
                <w:sz w:val="20"/>
                <w:szCs w:val="20"/>
              </w:rPr>
            </w:pPr>
            <w:r>
              <w:rPr>
                <w:sz w:val="20"/>
                <w:szCs w:val="20"/>
              </w:rPr>
              <w:t>2000</w:t>
            </w:r>
          </w:p>
        </w:tc>
        <w:tc>
          <w:tcPr>
            <w:tcW w:w="715" w:type="dxa"/>
            <w:tcBorders>
              <w:left w:val="nil"/>
            </w:tcBorders>
            <w:vAlign w:val="bottom"/>
          </w:tcPr>
          <w:p>
            <w:pPr>
              <w:pStyle w:val="Normal"/>
              <w:spacing w:lineRule="auto" w:line="240"/>
              <w:jc w:val="center"/>
              <w:rPr>
                <w:sz w:val="20"/>
                <w:szCs w:val="20"/>
              </w:rPr>
            </w:pPr>
            <w:r>
              <w:rPr>
                <w:sz w:val="20"/>
                <w:szCs w:val="20"/>
              </w:rPr>
              <w:t>1200</w:t>
            </w:r>
          </w:p>
        </w:tc>
      </w:tr>
      <w:tr>
        <w:trPr/>
        <w:tc>
          <w:tcPr>
            <w:tcW w:w="456" w:type="dxa"/>
            <w:tcBorders>
              <w:right w:val="nil"/>
            </w:tcBorders>
          </w:tcPr>
          <w:p>
            <w:pPr>
              <w:pStyle w:val="Normal"/>
              <w:spacing w:lineRule="auto" w:line="240"/>
              <w:jc w:val="center"/>
              <w:rPr>
                <w:sz w:val="20"/>
                <w:szCs w:val="20"/>
              </w:rPr>
            </w:pPr>
            <w:r>
              <w:rPr>
                <w:sz w:val="20"/>
                <w:szCs w:val="20"/>
              </w:rPr>
              <w:t>4</w:t>
            </w:r>
          </w:p>
        </w:tc>
        <w:tc>
          <w:tcPr>
            <w:tcW w:w="4216" w:type="dxa"/>
            <w:tcBorders>
              <w:left w:val="nil"/>
              <w:right w:val="nil"/>
            </w:tcBorders>
          </w:tcPr>
          <w:p>
            <w:pPr>
              <w:pStyle w:val="Normal"/>
              <w:spacing w:lineRule="auto" w:line="240"/>
              <w:jc w:val="left"/>
              <w:rPr>
                <w:sz w:val="20"/>
                <w:szCs w:val="20"/>
              </w:rPr>
            </w:pPr>
            <w:r>
              <w:rPr>
                <w:sz w:val="20"/>
                <w:szCs w:val="20"/>
              </w:rPr>
              <w:t>Ул. Школьная от д.1 до д.73</w:t>
            </w:r>
          </w:p>
        </w:tc>
        <w:tc>
          <w:tcPr>
            <w:tcW w:w="851" w:type="dxa"/>
            <w:tcBorders>
              <w:left w:val="nil"/>
              <w:right w:val="nil"/>
            </w:tcBorders>
            <w:vAlign w:val="bottom"/>
          </w:tcPr>
          <w:p>
            <w:pPr>
              <w:pStyle w:val="Normal"/>
              <w:spacing w:lineRule="auto" w:line="240"/>
              <w:jc w:val="center"/>
              <w:rPr>
                <w:sz w:val="20"/>
                <w:szCs w:val="20"/>
              </w:rPr>
            </w:pPr>
            <w:r>
              <w:rPr>
                <w:sz w:val="20"/>
                <w:szCs w:val="20"/>
              </w:rPr>
              <w:t>2000</w:t>
            </w:r>
          </w:p>
        </w:tc>
        <w:tc>
          <w:tcPr>
            <w:tcW w:w="1134" w:type="dxa"/>
            <w:tcBorders/>
            <w:shd w:color="auto" w:fill="auto" w:val="clear"/>
            <w:vAlign w:val="bottom"/>
          </w:tcPr>
          <w:p>
            <w:pPr>
              <w:pStyle w:val="Normal"/>
              <w:spacing w:lineRule="auto" w:line="240"/>
              <w:jc w:val="center"/>
              <w:rPr>
                <w:sz w:val="20"/>
                <w:szCs w:val="20"/>
              </w:rPr>
            </w:pPr>
            <w:r>
              <w:rPr>
                <w:sz w:val="20"/>
                <w:szCs w:val="20"/>
              </w:rPr>
              <w:t>1200</w:t>
            </w:r>
          </w:p>
        </w:tc>
        <w:tc>
          <w:tcPr>
            <w:tcW w:w="701" w:type="dxa"/>
            <w:tcBorders/>
            <w:shd w:color="auto" w:fill="auto" w:val="clear"/>
          </w:tcPr>
          <w:p>
            <w:pPr>
              <w:pStyle w:val="Normal"/>
              <w:spacing w:lineRule="auto" w:line="240"/>
              <w:jc w:val="center"/>
              <w:rPr>
                <w:sz w:val="20"/>
                <w:szCs w:val="20"/>
              </w:rPr>
            </w:pPr>
            <w:r>
              <w:rPr>
                <w:sz w:val="20"/>
                <w:szCs w:val="20"/>
              </w:rPr>
              <w:t>-</w:t>
            </w:r>
          </w:p>
        </w:tc>
        <w:tc>
          <w:tcPr>
            <w:tcW w:w="716" w:type="dxa"/>
            <w:tcBorders/>
            <w:shd w:color="auto" w:fill="auto" w:val="clear"/>
          </w:tcPr>
          <w:p>
            <w:pPr>
              <w:pStyle w:val="Normal"/>
              <w:spacing w:lineRule="auto" w:line="240"/>
              <w:jc w:val="center"/>
              <w:rPr>
                <w:sz w:val="20"/>
                <w:szCs w:val="20"/>
              </w:rPr>
            </w:pPr>
            <w:r>
              <w:rPr>
                <w:sz w:val="20"/>
                <w:szCs w:val="20"/>
              </w:rPr>
              <w:t>-</w:t>
            </w:r>
          </w:p>
        </w:tc>
        <w:tc>
          <w:tcPr>
            <w:tcW w:w="850" w:type="dxa"/>
            <w:tcBorders>
              <w:left w:val="nil"/>
              <w:right w:val="nil"/>
            </w:tcBorders>
          </w:tcPr>
          <w:p>
            <w:pPr>
              <w:pStyle w:val="Normal"/>
              <w:spacing w:lineRule="auto" w:line="240"/>
              <w:rPr>
                <w:sz w:val="20"/>
                <w:szCs w:val="20"/>
              </w:rPr>
            </w:pPr>
            <w:r>
              <w:rPr>
                <w:sz w:val="20"/>
                <w:szCs w:val="20"/>
              </w:rPr>
            </w:r>
          </w:p>
          <w:p>
            <w:pPr>
              <w:pStyle w:val="Normal"/>
              <w:spacing w:lineRule="auto" w:line="240"/>
              <w:rPr>
                <w:sz w:val="20"/>
                <w:szCs w:val="20"/>
              </w:rPr>
            </w:pPr>
            <w:r>
              <w:rPr>
                <w:sz w:val="20"/>
                <w:szCs w:val="20"/>
              </w:rPr>
            </w:r>
          </w:p>
          <w:p>
            <w:pPr>
              <w:pStyle w:val="Normal"/>
              <w:spacing w:lineRule="auto" w:line="240"/>
              <w:jc w:val="center"/>
              <w:rPr>
                <w:sz w:val="20"/>
                <w:szCs w:val="20"/>
              </w:rPr>
            </w:pPr>
            <w:r>
              <w:rPr>
                <w:sz w:val="20"/>
                <w:szCs w:val="20"/>
              </w:rPr>
              <w:t>2000</w:t>
            </w:r>
          </w:p>
        </w:tc>
        <w:tc>
          <w:tcPr>
            <w:tcW w:w="715" w:type="dxa"/>
            <w:tcBorders>
              <w:left w:val="nil"/>
            </w:tcBorders>
          </w:tcPr>
          <w:p>
            <w:pPr>
              <w:pStyle w:val="Normal"/>
              <w:spacing w:lineRule="auto" w:line="240"/>
              <w:rPr>
                <w:sz w:val="20"/>
                <w:szCs w:val="20"/>
              </w:rPr>
            </w:pPr>
            <w:r>
              <w:rPr>
                <w:sz w:val="20"/>
                <w:szCs w:val="20"/>
              </w:rPr>
            </w:r>
          </w:p>
          <w:p>
            <w:pPr>
              <w:pStyle w:val="Normal"/>
              <w:spacing w:lineRule="auto" w:line="240"/>
              <w:rPr>
                <w:sz w:val="20"/>
                <w:szCs w:val="20"/>
              </w:rPr>
            </w:pPr>
            <w:r>
              <w:rPr>
                <w:sz w:val="20"/>
                <w:szCs w:val="20"/>
              </w:rPr>
            </w:r>
          </w:p>
          <w:p>
            <w:pPr>
              <w:pStyle w:val="Normal"/>
              <w:spacing w:lineRule="auto" w:line="240"/>
              <w:jc w:val="center"/>
              <w:rPr>
                <w:sz w:val="20"/>
                <w:szCs w:val="20"/>
              </w:rPr>
            </w:pPr>
            <w:r>
              <w:rPr>
                <w:sz w:val="20"/>
                <w:szCs w:val="20"/>
              </w:rPr>
              <w:t>1200</w:t>
            </w:r>
          </w:p>
        </w:tc>
      </w:tr>
      <w:tr>
        <w:trPr/>
        <w:tc>
          <w:tcPr>
            <w:tcW w:w="456" w:type="dxa"/>
            <w:tcBorders>
              <w:right w:val="nil"/>
            </w:tcBorders>
          </w:tcPr>
          <w:p>
            <w:pPr>
              <w:pStyle w:val="Normal"/>
              <w:spacing w:lineRule="auto" w:line="240"/>
              <w:jc w:val="center"/>
              <w:rPr>
                <w:sz w:val="20"/>
                <w:szCs w:val="20"/>
              </w:rPr>
            </w:pPr>
            <w:r>
              <w:rPr>
                <w:sz w:val="20"/>
                <w:szCs w:val="20"/>
              </w:rPr>
              <w:t>5</w:t>
            </w:r>
          </w:p>
        </w:tc>
        <w:tc>
          <w:tcPr>
            <w:tcW w:w="4216" w:type="dxa"/>
            <w:tcBorders>
              <w:left w:val="nil"/>
              <w:right w:val="nil"/>
            </w:tcBorders>
          </w:tcPr>
          <w:p>
            <w:pPr>
              <w:pStyle w:val="Normal"/>
              <w:spacing w:lineRule="auto" w:line="240"/>
              <w:jc w:val="left"/>
              <w:rPr>
                <w:sz w:val="20"/>
                <w:szCs w:val="20"/>
              </w:rPr>
            </w:pPr>
            <w:r>
              <w:rPr>
                <w:sz w:val="20"/>
                <w:szCs w:val="20"/>
              </w:rPr>
              <w:t>Ул. Степная от д. 1 до переулка № 3</w:t>
            </w:r>
          </w:p>
        </w:tc>
        <w:tc>
          <w:tcPr>
            <w:tcW w:w="851" w:type="dxa"/>
            <w:tcBorders>
              <w:left w:val="nil"/>
              <w:right w:val="nil"/>
            </w:tcBorders>
            <w:vAlign w:val="bottom"/>
          </w:tcPr>
          <w:p>
            <w:pPr>
              <w:pStyle w:val="Normal"/>
              <w:spacing w:lineRule="auto" w:line="240"/>
              <w:jc w:val="center"/>
              <w:rPr>
                <w:sz w:val="20"/>
                <w:szCs w:val="20"/>
              </w:rPr>
            </w:pPr>
            <w:r>
              <w:rPr>
                <w:sz w:val="20"/>
                <w:szCs w:val="20"/>
              </w:rPr>
              <w:t>1000</w:t>
            </w:r>
          </w:p>
        </w:tc>
        <w:tc>
          <w:tcPr>
            <w:tcW w:w="1134" w:type="dxa"/>
            <w:tcBorders/>
            <w:shd w:color="auto" w:fill="auto" w:val="clear"/>
            <w:vAlign w:val="bottom"/>
          </w:tcPr>
          <w:p>
            <w:pPr>
              <w:pStyle w:val="Normal"/>
              <w:spacing w:lineRule="auto" w:line="240"/>
              <w:jc w:val="center"/>
              <w:rPr>
                <w:sz w:val="20"/>
                <w:szCs w:val="20"/>
              </w:rPr>
            </w:pPr>
            <w:r>
              <w:rPr>
                <w:sz w:val="20"/>
                <w:szCs w:val="20"/>
              </w:rPr>
              <w:t>6000</w:t>
            </w:r>
          </w:p>
        </w:tc>
        <w:tc>
          <w:tcPr>
            <w:tcW w:w="701" w:type="dxa"/>
            <w:tcBorders/>
            <w:shd w:color="auto" w:fill="auto" w:val="clear"/>
          </w:tcPr>
          <w:p>
            <w:pPr>
              <w:pStyle w:val="Normal"/>
              <w:spacing w:lineRule="auto" w:line="240"/>
              <w:jc w:val="center"/>
              <w:rPr>
                <w:sz w:val="20"/>
                <w:szCs w:val="20"/>
              </w:rPr>
            </w:pPr>
            <w:r>
              <w:rPr>
                <w:sz w:val="20"/>
                <w:szCs w:val="20"/>
              </w:rPr>
              <w:t>-</w:t>
            </w:r>
          </w:p>
        </w:tc>
        <w:tc>
          <w:tcPr>
            <w:tcW w:w="716" w:type="dxa"/>
            <w:tcBorders/>
            <w:shd w:color="auto" w:fill="auto" w:val="clear"/>
          </w:tcPr>
          <w:p>
            <w:pPr>
              <w:pStyle w:val="Normal"/>
              <w:spacing w:lineRule="auto" w:line="240"/>
              <w:jc w:val="center"/>
              <w:rPr>
                <w:sz w:val="20"/>
                <w:szCs w:val="20"/>
              </w:rPr>
            </w:pPr>
            <w:r>
              <w:rPr>
                <w:sz w:val="20"/>
                <w:szCs w:val="20"/>
              </w:rPr>
              <w:t>-</w:t>
            </w:r>
          </w:p>
        </w:tc>
        <w:tc>
          <w:tcPr>
            <w:tcW w:w="850" w:type="dxa"/>
            <w:tcBorders>
              <w:left w:val="nil"/>
              <w:right w:val="nil"/>
            </w:tcBorders>
            <w:vAlign w:val="bottom"/>
          </w:tcPr>
          <w:p>
            <w:pPr>
              <w:pStyle w:val="Normal"/>
              <w:spacing w:lineRule="auto" w:line="240"/>
              <w:jc w:val="center"/>
              <w:rPr>
                <w:sz w:val="20"/>
                <w:szCs w:val="20"/>
              </w:rPr>
            </w:pPr>
            <w:r>
              <w:rPr>
                <w:sz w:val="20"/>
                <w:szCs w:val="20"/>
              </w:rPr>
              <w:t>1000</w:t>
            </w:r>
          </w:p>
        </w:tc>
        <w:tc>
          <w:tcPr>
            <w:tcW w:w="715" w:type="dxa"/>
            <w:tcBorders>
              <w:left w:val="nil"/>
            </w:tcBorders>
            <w:vAlign w:val="bottom"/>
          </w:tcPr>
          <w:p>
            <w:pPr>
              <w:pStyle w:val="Normal"/>
              <w:spacing w:lineRule="auto" w:line="240"/>
              <w:jc w:val="center"/>
              <w:rPr>
                <w:sz w:val="20"/>
                <w:szCs w:val="20"/>
              </w:rPr>
            </w:pPr>
            <w:r>
              <w:rPr>
                <w:sz w:val="20"/>
                <w:szCs w:val="20"/>
              </w:rPr>
              <w:t>6000</w:t>
            </w:r>
          </w:p>
        </w:tc>
      </w:tr>
      <w:tr>
        <w:trPr/>
        <w:tc>
          <w:tcPr>
            <w:tcW w:w="456" w:type="dxa"/>
            <w:tcBorders>
              <w:right w:val="nil"/>
            </w:tcBorders>
          </w:tcPr>
          <w:p>
            <w:pPr>
              <w:pStyle w:val="Normal"/>
              <w:spacing w:lineRule="auto" w:line="240"/>
              <w:jc w:val="center"/>
              <w:rPr>
                <w:sz w:val="20"/>
                <w:szCs w:val="20"/>
              </w:rPr>
            </w:pPr>
            <w:r>
              <w:rPr>
                <w:sz w:val="20"/>
                <w:szCs w:val="20"/>
              </w:rPr>
              <w:t>6</w:t>
            </w:r>
          </w:p>
        </w:tc>
        <w:tc>
          <w:tcPr>
            <w:tcW w:w="4216" w:type="dxa"/>
            <w:tcBorders>
              <w:left w:val="nil"/>
              <w:right w:val="nil"/>
            </w:tcBorders>
          </w:tcPr>
          <w:p>
            <w:pPr>
              <w:pStyle w:val="Normal"/>
              <w:spacing w:lineRule="auto" w:line="240"/>
              <w:jc w:val="left"/>
              <w:rPr>
                <w:sz w:val="20"/>
                <w:szCs w:val="20"/>
              </w:rPr>
            </w:pPr>
            <w:r>
              <w:rPr>
                <w:sz w:val="20"/>
                <w:szCs w:val="20"/>
              </w:rPr>
              <w:t>Объездная от переулка № 1 до автодороги Катенино, Караоба</w:t>
            </w:r>
          </w:p>
        </w:tc>
        <w:tc>
          <w:tcPr>
            <w:tcW w:w="851" w:type="dxa"/>
            <w:tcBorders>
              <w:left w:val="nil"/>
              <w:right w:val="nil"/>
            </w:tcBorders>
          </w:tcPr>
          <w:p>
            <w:pPr>
              <w:pStyle w:val="Normal"/>
              <w:spacing w:lineRule="auto" w:line="240"/>
              <w:jc w:val="center"/>
              <w:rPr>
                <w:sz w:val="20"/>
                <w:szCs w:val="20"/>
              </w:rPr>
            </w:pPr>
            <w:r>
              <w:rPr>
                <w:sz w:val="20"/>
                <w:szCs w:val="20"/>
              </w:rPr>
              <w:t>3800</w:t>
            </w:r>
          </w:p>
        </w:tc>
        <w:tc>
          <w:tcPr>
            <w:tcW w:w="1134" w:type="dxa"/>
            <w:tcBorders/>
            <w:shd w:color="auto" w:fill="auto" w:val="clear"/>
          </w:tcPr>
          <w:p>
            <w:pPr>
              <w:pStyle w:val="Normal"/>
              <w:spacing w:lineRule="auto" w:line="240"/>
              <w:jc w:val="center"/>
              <w:rPr>
                <w:sz w:val="20"/>
                <w:szCs w:val="20"/>
              </w:rPr>
            </w:pPr>
            <w:r>
              <w:rPr>
                <w:sz w:val="20"/>
                <w:szCs w:val="20"/>
              </w:rPr>
              <w:t>22800</w:t>
            </w:r>
          </w:p>
        </w:tc>
        <w:tc>
          <w:tcPr>
            <w:tcW w:w="701" w:type="dxa"/>
            <w:tcBorders/>
            <w:shd w:color="auto" w:fill="auto" w:val="clear"/>
          </w:tcPr>
          <w:p>
            <w:pPr>
              <w:pStyle w:val="Normal"/>
              <w:spacing w:lineRule="auto" w:line="240"/>
              <w:jc w:val="center"/>
              <w:rPr>
                <w:sz w:val="20"/>
                <w:szCs w:val="20"/>
              </w:rPr>
            </w:pPr>
            <w:r>
              <w:rPr>
                <w:sz w:val="20"/>
                <w:szCs w:val="20"/>
              </w:rPr>
              <w:t>-</w:t>
            </w:r>
          </w:p>
        </w:tc>
        <w:tc>
          <w:tcPr>
            <w:tcW w:w="716" w:type="dxa"/>
            <w:tcBorders/>
            <w:shd w:color="auto" w:fill="auto" w:val="clear"/>
          </w:tcPr>
          <w:p>
            <w:pPr>
              <w:pStyle w:val="Normal"/>
              <w:spacing w:lineRule="auto" w:line="240"/>
              <w:jc w:val="center"/>
              <w:rPr>
                <w:sz w:val="20"/>
                <w:szCs w:val="20"/>
              </w:rPr>
            </w:pPr>
            <w:r>
              <w:rPr>
                <w:sz w:val="20"/>
                <w:szCs w:val="20"/>
              </w:rPr>
              <w:t>-</w:t>
            </w:r>
          </w:p>
        </w:tc>
        <w:tc>
          <w:tcPr>
            <w:tcW w:w="850" w:type="dxa"/>
            <w:tcBorders>
              <w:left w:val="nil"/>
              <w:right w:val="nil"/>
            </w:tcBorders>
          </w:tcPr>
          <w:p>
            <w:pPr>
              <w:pStyle w:val="Normal"/>
              <w:spacing w:lineRule="auto" w:line="240"/>
              <w:jc w:val="center"/>
              <w:rPr>
                <w:sz w:val="20"/>
                <w:szCs w:val="20"/>
              </w:rPr>
            </w:pPr>
            <w:r>
              <w:rPr>
                <w:sz w:val="20"/>
                <w:szCs w:val="20"/>
              </w:rPr>
              <w:t>-</w:t>
            </w:r>
          </w:p>
        </w:tc>
        <w:tc>
          <w:tcPr>
            <w:tcW w:w="715" w:type="dxa"/>
            <w:tcBorders>
              <w:left w:val="nil"/>
            </w:tcBorders>
          </w:tcPr>
          <w:p>
            <w:pPr>
              <w:pStyle w:val="Normal"/>
              <w:spacing w:lineRule="auto" w:line="240"/>
              <w:jc w:val="center"/>
              <w:rPr>
                <w:sz w:val="20"/>
                <w:szCs w:val="20"/>
              </w:rPr>
            </w:pPr>
            <w:r>
              <w:rPr>
                <w:sz w:val="20"/>
                <w:szCs w:val="20"/>
              </w:rPr>
              <w:t>-</w:t>
            </w:r>
          </w:p>
        </w:tc>
      </w:tr>
      <w:tr>
        <w:trPr/>
        <w:tc>
          <w:tcPr>
            <w:tcW w:w="456" w:type="dxa"/>
            <w:tcBorders>
              <w:right w:val="nil"/>
            </w:tcBorders>
          </w:tcPr>
          <w:p>
            <w:pPr>
              <w:pStyle w:val="Normal"/>
              <w:spacing w:lineRule="auto" w:line="240"/>
              <w:jc w:val="center"/>
              <w:rPr>
                <w:sz w:val="20"/>
                <w:szCs w:val="20"/>
              </w:rPr>
            </w:pPr>
            <w:r>
              <w:rPr>
                <w:sz w:val="20"/>
                <w:szCs w:val="20"/>
              </w:rPr>
              <w:t>7</w:t>
            </w:r>
          </w:p>
        </w:tc>
        <w:tc>
          <w:tcPr>
            <w:tcW w:w="4216" w:type="dxa"/>
            <w:tcBorders>
              <w:left w:val="nil"/>
              <w:right w:val="nil"/>
            </w:tcBorders>
          </w:tcPr>
          <w:p>
            <w:pPr>
              <w:pStyle w:val="Normal"/>
              <w:spacing w:lineRule="auto" w:line="240"/>
              <w:jc w:val="left"/>
              <w:rPr>
                <w:rFonts w:eastAsia="Times New Roman"/>
                <w:sz w:val="20"/>
                <w:szCs w:val="20"/>
                <w:lang w:eastAsia="ru-RU"/>
              </w:rPr>
            </w:pPr>
            <w:r>
              <w:rPr>
                <w:sz w:val="20"/>
                <w:szCs w:val="20"/>
              </w:rPr>
              <w:t>Переулок № 1 От ул. Советская до ул. Степной</w:t>
            </w:r>
          </w:p>
        </w:tc>
        <w:tc>
          <w:tcPr>
            <w:tcW w:w="851" w:type="dxa"/>
            <w:tcBorders>
              <w:top w:val="nil"/>
              <w:left w:val="nil"/>
            </w:tcBorders>
            <w:shd w:color="auto" w:fill="auto" w:val="clear"/>
          </w:tcPr>
          <w:p>
            <w:pPr>
              <w:pStyle w:val="Normal"/>
              <w:spacing w:lineRule="auto" w:line="240"/>
              <w:jc w:val="center"/>
              <w:rPr>
                <w:sz w:val="20"/>
                <w:szCs w:val="20"/>
              </w:rPr>
            </w:pPr>
            <w:r>
              <w:rPr>
                <w:sz w:val="20"/>
                <w:szCs w:val="20"/>
              </w:rPr>
              <w:t>550</w:t>
            </w:r>
          </w:p>
        </w:tc>
        <w:tc>
          <w:tcPr>
            <w:tcW w:w="1134" w:type="dxa"/>
            <w:tcBorders/>
            <w:shd w:color="auto" w:fill="auto" w:val="clear"/>
          </w:tcPr>
          <w:p>
            <w:pPr>
              <w:pStyle w:val="Normal"/>
              <w:spacing w:lineRule="auto" w:line="240"/>
              <w:jc w:val="center"/>
              <w:rPr>
                <w:sz w:val="20"/>
                <w:szCs w:val="20"/>
              </w:rPr>
            </w:pPr>
            <w:r>
              <w:rPr>
                <w:sz w:val="20"/>
                <w:szCs w:val="20"/>
              </w:rPr>
              <w:t>3300</w:t>
            </w:r>
          </w:p>
        </w:tc>
        <w:tc>
          <w:tcPr>
            <w:tcW w:w="701" w:type="dxa"/>
            <w:tcBorders/>
            <w:shd w:color="auto" w:fill="auto" w:val="clear"/>
          </w:tcPr>
          <w:p>
            <w:pPr>
              <w:pStyle w:val="Normal"/>
              <w:spacing w:lineRule="auto" w:line="240"/>
              <w:jc w:val="center"/>
              <w:rPr>
                <w:sz w:val="20"/>
                <w:szCs w:val="20"/>
              </w:rPr>
            </w:pPr>
            <w:r>
              <w:rPr>
                <w:sz w:val="20"/>
                <w:szCs w:val="20"/>
              </w:rPr>
              <w:t>-</w:t>
            </w:r>
          </w:p>
        </w:tc>
        <w:tc>
          <w:tcPr>
            <w:tcW w:w="716" w:type="dxa"/>
            <w:tcBorders/>
            <w:shd w:color="auto" w:fill="auto" w:val="clear"/>
          </w:tcPr>
          <w:p>
            <w:pPr>
              <w:pStyle w:val="Normal"/>
              <w:spacing w:lineRule="auto" w:line="240"/>
              <w:jc w:val="center"/>
              <w:rPr>
                <w:sz w:val="20"/>
                <w:szCs w:val="20"/>
              </w:rPr>
            </w:pPr>
            <w:r>
              <w:rPr>
                <w:sz w:val="20"/>
                <w:szCs w:val="20"/>
              </w:rPr>
              <w:t>-</w:t>
            </w:r>
          </w:p>
        </w:tc>
        <w:tc>
          <w:tcPr>
            <w:tcW w:w="850" w:type="dxa"/>
            <w:tcBorders>
              <w:left w:val="nil"/>
              <w:right w:val="nil"/>
            </w:tcBorders>
          </w:tcPr>
          <w:p>
            <w:pPr>
              <w:pStyle w:val="Normal"/>
              <w:spacing w:lineRule="auto" w:line="240"/>
              <w:jc w:val="center"/>
              <w:rPr>
                <w:sz w:val="20"/>
                <w:szCs w:val="20"/>
              </w:rPr>
            </w:pPr>
            <w:r>
              <w:rPr>
                <w:sz w:val="20"/>
                <w:szCs w:val="20"/>
              </w:rPr>
              <w:t>550</w:t>
            </w:r>
          </w:p>
        </w:tc>
        <w:tc>
          <w:tcPr>
            <w:tcW w:w="715" w:type="dxa"/>
            <w:tcBorders>
              <w:left w:val="nil"/>
            </w:tcBorders>
          </w:tcPr>
          <w:p>
            <w:pPr>
              <w:pStyle w:val="Normal"/>
              <w:spacing w:lineRule="auto" w:line="240"/>
              <w:jc w:val="center"/>
              <w:rPr>
                <w:sz w:val="20"/>
                <w:szCs w:val="20"/>
              </w:rPr>
            </w:pPr>
            <w:r>
              <w:rPr>
                <w:sz w:val="20"/>
                <w:szCs w:val="20"/>
              </w:rPr>
              <w:t>3300</w:t>
            </w:r>
          </w:p>
        </w:tc>
      </w:tr>
      <w:tr>
        <w:trPr/>
        <w:tc>
          <w:tcPr>
            <w:tcW w:w="456" w:type="dxa"/>
            <w:tcBorders>
              <w:right w:val="nil"/>
            </w:tcBorders>
          </w:tcPr>
          <w:p>
            <w:pPr>
              <w:pStyle w:val="Normal"/>
              <w:spacing w:lineRule="auto" w:line="240"/>
              <w:jc w:val="center"/>
              <w:rPr>
                <w:sz w:val="20"/>
                <w:szCs w:val="20"/>
              </w:rPr>
            </w:pPr>
            <w:r>
              <w:rPr>
                <w:sz w:val="20"/>
                <w:szCs w:val="20"/>
              </w:rPr>
              <w:t>8</w:t>
            </w:r>
          </w:p>
        </w:tc>
        <w:tc>
          <w:tcPr>
            <w:tcW w:w="4216" w:type="dxa"/>
            <w:tcBorders/>
            <w:shd w:color="auto" w:fill="auto" w:val="clear"/>
          </w:tcPr>
          <w:p>
            <w:pPr>
              <w:pStyle w:val="Normal"/>
              <w:spacing w:lineRule="auto" w:line="240"/>
              <w:jc w:val="left"/>
              <w:rPr>
                <w:rFonts w:eastAsia="Times New Roman"/>
                <w:sz w:val="20"/>
                <w:szCs w:val="20"/>
                <w:lang w:eastAsia="ru-RU"/>
              </w:rPr>
            </w:pPr>
            <w:r>
              <w:rPr>
                <w:sz w:val="20"/>
                <w:szCs w:val="20"/>
              </w:rPr>
              <w:t xml:space="preserve">Переулок № 2 от ул. мира до ул. Школьная </w:t>
            </w:r>
          </w:p>
        </w:tc>
        <w:tc>
          <w:tcPr>
            <w:tcW w:w="851" w:type="dxa"/>
            <w:tcBorders>
              <w:top w:val="nil"/>
              <w:left w:val="nil"/>
            </w:tcBorders>
            <w:shd w:color="auto" w:fill="auto" w:val="clear"/>
          </w:tcPr>
          <w:p>
            <w:pPr>
              <w:pStyle w:val="Normal"/>
              <w:spacing w:lineRule="auto" w:line="240"/>
              <w:jc w:val="center"/>
              <w:rPr>
                <w:sz w:val="20"/>
                <w:szCs w:val="20"/>
              </w:rPr>
            </w:pPr>
            <w:r>
              <w:rPr>
                <w:sz w:val="20"/>
                <w:szCs w:val="20"/>
              </w:rPr>
              <w:t>150</w:t>
            </w:r>
          </w:p>
        </w:tc>
        <w:tc>
          <w:tcPr>
            <w:tcW w:w="1134" w:type="dxa"/>
            <w:tcBorders/>
            <w:shd w:color="auto" w:fill="auto" w:val="clear"/>
          </w:tcPr>
          <w:p>
            <w:pPr>
              <w:pStyle w:val="Normal"/>
              <w:spacing w:lineRule="auto" w:line="240"/>
              <w:jc w:val="center"/>
              <w:rPr>
                <w:sz w:val="20"/>
                <w:szCs w:val="20"/>
              </w:rPr>
            </w:pPr>
            <w:r>
              <w:rPr>
                <w:sz w:val="20"/>
                <w:szCs w:val="20"/>
              </w:rPr>
              <w:t>900</w:t>
            </w:r>
          </w:p>
        </w:tc>
        <w:tc>
          <w:tcPr>
            <w:tcW w:w="701" w:type="dxa"/>
            <w:tcBorders/>
            <w:shd w:color="auto" w:fill="auto" w:val="clear"/>
          </w:tcPr>
          <w:p>
            <w:pPr>
              <w:pStyle w:val="Normal"/>
              <w:spacing w:lineRule="auto" w:line="240"/>
              <w:jc w:val="center"/>
              <w:rPr>
                <w:sz w:val="20"/>
                <w:szCs w:val="20"/>
              </w:rPr>
            </w:pPr>
            <w:r>
              <w:rPr>
                <w:sz w:val="20"/>
                <w:szCs w:val="20"/>
              </w:rPr>
              <w:t>-</w:t>
            </w:r>
          </w:p>
        </w:tc>
        <w:tc>
          <w:tcPr>
            <w:tcW w:w="716" w:type="dxa"/>
            <w:tcBorders/>
            <w:shd w:color="auto" w:fill="auto" w:val="clear"/>
          </w:tcPr>
          <w:p>
            <w:pPr>
              <w:pStyle w:val="Normal"/>
              <w:spacing w:lineRule="auto" w:line="240"/>
              <w:jc w:val="center"/>
              <w:rPr>
                <w:sz w:val="20"/>
                <w:szCs w:val="20"/>
              </w:rPr>
            </w:pPr>
            <w:r>
              <w:rPr>
                <w:sz w:val="20"/>
                <w:szCs w:val="20"/>
              </w:rPr>
              <w:t>-</w:t>
            </w:r>
          </w:p>
        </w:tc>
        <w:tc>
          <w:tcPr>
            <w:tcW w:w="850" w:type="dxa"/>
            <w:tcBorders>
              <w:left w:val="nil"/>
              <w:right w:val="nil"/>
            </w:tcBorders>
          </w:tcPr>
          <w:p>
            <w:pPr>
              <w:pStyle w:val="Normal"/>
              <w:spacing w:lineRule="auto" w:line="240"/>
              <w:jc w:val="center"/>
              <w:rPr>
                <w:sz w:val="20"/>
                <w:szCs w:val="20"/>
              </w:rPr>
            </w:pPr>
            <w:r>
              <w:rPr>
                <w:sz w:val="20"/>
                <w:szCs w:val="20"/>
              </w:rPr>
              <w:t>-</w:t>
            </w:r>
          </w:p>
        </w:tc>
        <w:tc>
          <w:tcPr>
            <w:tcW w:w="715" w:type="dxa"/>
            <w:tcBorders>
              <w:left w:val="nil"/>
            </w:tcBorders>
          </w:tcPr>
          <w:p>
            <w:pPr>
              <w:pStyle w:val="Normal"/>
              <w:spacing w:lineRule="auto" w:line="240"/>
              <w:jc w:val="center"/>
              <w:rPr>
                <w:sz w:val="20"/>
                <w:szCs w:val="20"/>
              </w:rPr>
            </w:pPr>
            <w:r>
              <w:rPr>
                <w:sz w:val="20"/>
                <w:szCs w:val="20"/>
              </w:rPr>
              <w:t>-</w:t>
            </w:r>
          </w:p>
        </w:tc>
      </w:tr>
      <w:tr>
        <w:trPr/>
        <w:tc>
          <w:tcPr>
            <w:tcW w:w="456" w:type="dxa"/>
            <w:tcBorders>
              <w:right w:val="nil"/>
            </w:tcBorders>
          </w:tcPr>
          <w:p>
            <w:pPr>
              <w:pStyle w:val="Normal"/>
              <w:spacing w:lineRule="auto" w:line="240"/>
              <w:jc w:val="center"/>
              <w:rPr>
                <w:sz w:val="20"/>
                <w:szCs w:val="20"/>
              </w:rPr>
            </w:pPr>
            <w:r>
              <w:rPr>
                <w:sz w:val="20"/>
                <w:szCs w:val="20"/>
              </w:rPr>
              <w:t>9</w:t>
            </w:r>
          </w:p>
        </w:tc>
        <w:tc>
          <w:tcPr>
            <w:tcW w:w="4216" w:type="dxa"/>
            <w:tcBorders/>
            <w:shd w:color="auto" w:fill="auto" w:val="clear"/>
          </w:tcPr>
          <w:p>
            <w:pPr>
              <w:pStyle w:val="Normal"/>
              <w:spacing w:lineRule="auto" w:line="240"/>
              <w:jc w:val="left"/>
              <w:rPr>
                <w:rFonts w:eastAsia="Times New Roman"/>
                <w:sz w:val="20"/>
                <w:szCs w:val="20"/>
                <w:lang w:eastAsia="ru-RU"/>
              </w:rPr>
            </w:pPr>
            <w:r>
              <w:rPr>
                <w:sz w:val="20"/>
                <w:szCs w:val="20"/>
              </w:rPr>
              <w:t>Переулок № 3 от ул. Набережная до пожарного депо</w:t>
            </w:r>
          </w:p>
        </w:tc>
        <w:tc>
          <w:tcPr>
            <w:tcW w:w="851" w:type="dxa"/>
            <w:tcBorders>
              <w:top w:val="nil"/>
              <w:left w:val="nil"/>
            </w:tcBorders>
            <w:shd w:color="auto" w:fill="auto" w:val="clear"/>
          </w:tcPr>
          <w:p>
            <w:pPr>
              <w:pStyle w:val="Normal"/>
              <w:spacing w:lineRule="auto" w:line="240"/>
              <w:jc w:val="center"/>
              <w:rPr>
                <w:sz w:val="20"/>
                <w:szCs w:val="20"/>
              </w:rPr>
            </w:pPr>
            <w:r>
              <w:rPr>
                <w:sz w:val="20"/>
                <w:szCs w:val="20"/>
              </w:rPr>
              <w:t>1300</w:t>
            </w:r>
          </w:p>
        </w:tc>
        <w:tc>
          <w:tcPr>
            <w:tcW w:w="1134" w:type="dxa"/>
            <w:tcBorders/>
            <w:shd w:color="auto" w:fill="auto" w:val="clear"/>
          </w:tcPr>
          <w:p>
            <w:pPr>
              <w:pStyle w:val="Normal"/>
              <w:spacing w:lineRule="auto" w:line="240"/>
              <w:jc w:val="center"/>
              <w:rPr>
                <w:sz w:val="20"/>
                <w:szCs w:val="20"/>
              </w:rPr>
            </w:pPr>
            <w:r>
              <w:rPr>
                <w:sz w:val="20"/>
                <w:szCs w:val="20"/>
              </w:rPr>
              <w:t>7800</w:t>
            </w:r>
          </w:p>
        </w:tc>
        <w:tc>
          <w:tcPr>
            <w:tcW w:w="701" w:type="dxa"/>
            <w:tcBorders/>
            <w:shd w:color="auto" w:fill="auto" w:val="clear"/>
          </w:tcPr>
          <w:p>
            <w:pPr>
              <w:pStyle w:val="Normal"/>
              <w:spacing w:lineRule="auto" w:line="240"/>
              <w:jc w:val="center"/>
              <w:rPr>
                <w:sz w:val="20"/>
                <w:szCs w:val="20"/>
              </w:rPr>
            </w:pPr>
            <w:r>
              <w:rPr>
                <w:sz w:val="20"/>
                <w:szCs w:val="20"/>
              </w:rPr>
              <w:t>-</w:t>
            </w:r>
          </w:p>
        </w:tc>
        <w:tc>
          <w:tcPr>
            <w:tcW w:w="716" w:type="dxa"/>
            <w:tcBorders/>
            <w:shd w:color="auto" w:fill="auto" w:val="clear"/>
          </w:tcPr>
          <w:p>
            <w:pPr>
              <w:pStyle w:val="Normal"/>
              <w:spacing w:lineRule="auto" w:line="240"/>
              <w:jc w:val="center"/>
              <w:rPr>
                <w:sz w:val="20"/>
                <w:szCs w:val="20"/>
              </w:rPr>
            </w:pPr>
            <w:r>
              <w:rPr>
                <w:sz w:val="20"/>
                <w:szCs w:val="20"/>
              </w:rPr>
              <w:t>-</w:t>
            </w:r>
          </w:p>
        </w:tc>
        <w:tc>
          <w:tcPr>
            <w:tcW w:w="850" w:type="dxa"/>
            <w:tcBorders>
              <w:left w:val="nil"/>
              <w:right w:val="nil"/>
            </w:tcBorders>
            <w:vAlign w:val="bottom"/>
          </w:tcPr>
          <w:p>
            <w:pPr>
              <w:pStyle w:val="Normal"/>
              <w:spacing w:lineRule="auto" w:line="240"/>
              <w:jc w:val="center"/>
              <w:rPr>
                <w:sz w:val="20"/>
                <w:szCs w:val="20"/>
              </w:rPr>
            </w:pPr>
            <w:r>
              <w:rPr>
                <w:sz w:val="20"/>
                <w:szCs w:val="20"/>
              </w:rPr>
              <w:t>1300</w:t>
            </w:r>
          </w:p>
        </w:tc>
        <w:tc>
          <w:tcPr>
            <w:tcW w:w="715" w:type="dxa"/>
            <w:tcBorders>
              <w:left w:val="nil"/>
            </w:tcBorders>
            <w:vAlign w:val="bottom"/>
          </w:tcPr>
          <w:p>
            <w:pPr>
              <w:pStyle w:val="Normal"/>
              <w:spacing w:lineRule="auto" w:line="240"/>
              <w:jc w:val="center"/>
              <w:rPr>
                <w:sz w:val="20"/>
                <w:szCs w:val="20"/>
              </w:rPr>
            </w:pPr>
            <w:r>
              <w:rPr>
                <w:sz w:val="20"/>
                <w:szCs w:val="20"/>
              </w:rPr>
              <w:t>7800</w:t>
            </w:r>
          </w:p>
        </w:tc>
      </w:tr>
      <w:tr>
        <w:trPr/>
        <w:tc>
          <w:tcPr>
            <w:tcW w:w="456" w:type="dxa"/>
            <w:tcBorders>
              <w:right w:val="nil"/>
            </w:tcBorders>
          </w:tcPr>
          <w:p>
            <w:pPr>
              <w:pStyle w:val="Normal"/>
              <w:spacing w:lineRule="auto" w:line="240"/>
              <w:jc w:val="center"/>
              <w:rPr>
                <w:sz w:val="20"/>
                <w:szCs w:val="20"/>
              </w:rPr>
            </w:pPr>
            <w:r>
              <w:rPr>
                <w:sz w:val="20"/>
                <w:szCs w:val="20"/>
              </w:rPr>
              <w:t>10</w:t>
            </w:r>
          </w:p>
        </w:tc>
        <w:tc>
          <w:tcPr>
            <w:tcW w:w="4216" w:type="dxa"/>
            <w:tcBorders/>
            <w:shd w:color="auto" w:fill="auto" w:val="clear"/>
          </w:tcPr>
          <w:p>
            <w:pPr>
              <w:pStyle w:val="Normal"/>
              <w:spacing w:lineRule="auto" w:line="240"/>
              <w:jc w:val="left"/>
              <w:rPr>
                <w:rFonts w:eastAsia="Times New Roman"/>
                <w:sz w:val="20"/>
                <w:szCs w:val="20"/>
                <w:lang w:eastAsia="ru-RU"/>
              </w:rPr>
            </w:pPr>
            <w:r>
              <w:rPr>
                <w:sz w:val="20"/>
                <w:szCs w:val="20"/>
              </w:rPr>
              <w:t>Переулок № 4 от ул. Набережной до ул. Степной</w:t>
            </w:r>
          </w:p>
        </w:tc>
        <w:tc>
          <w:tcPr>
            <w:tcW w:w="851" w:type="dxa"/>
            <w:tcBorders>
              <w:top w:val="nil"/>
              <w:left w:val="nil"/>
            </w:tcBorders>
            <w:shd w:color="auto" w:fill="auto" w:val="clear"/>
            <w:vAlign w:val="bottom"/>
          </w:tcPr>
          <w:p>
            <w:pPr>
              <w:pStyle w:val="Normal"/>
              <w:spacing w:lineRule="auto" w:line="240"/>
              <w:jc w:val="center"/>
              <w:rPr>
                <w:sz w:val="20"/>
                <w:szCs w:val="20"/>
              </w:rPr>
            </w:pPr>
            <w:r>
              <w:rPr>
                <w:sz w:val="20"/>
                <w:szCs w:val="20"/>
              </w:rPr>
              <w:t>600</w:t>
            </w:r>
          </w:p>
        </w:tc>
        <w:tc>
          <w:tcPr>
            <w:tcW w:w="1134" w:type="dxa"/>
            <w:tcBorders/>
            <w:shd w:color="auto" w:fill="auto" w:val="clear"/>
            <w:vAlign w:val="bottom"/>
          </w:tcPr>
          <w:p>
            <w:pPr>
              <w:pStyle w:val="Normal"/>
              <w:spacing w:lineRule="auto" w:line="240"/>
              <w:jc w:val="center"/>
              <w:rPr>
                <w:sz w:val="20"/>
                <w:szCs w:val="20"/>
              </w:rPr>
            </w:pPr>
            <w:r>
              <w:rPr>
                <w:sz w:val="20"/>
                <w:szCs w:val="20"/>
              </w:rPr>
              <w:t>3600</w:t>
            </w:r>
          </w:p>
        </w:tc>
        <w:tc>
          <w:tcPr>
            <w:tcW w:w="701" w:type="dxa"/>
            <w:tcBorders/>
            <w:shd w:color="auto" w:fill="auto" w:val="clear"/>
          </w:tcPr>
          <w:p>
            <w:pPr>
              <w:pStyle w:val="Normal"/>
              <w:spacing w:lineRule="auto" w:line="240"/>
              <w:jc w:val="center"/>
              <w:rPr>
                <w:sz w:val="20"/>
                <w:szCs w:val="20"/>
              </w:rPr>
            </w:pPr>
            <w:r>
              <w:rPr>
                <w:sz w:val="20"/>
                <w:szCs w:val="20"/>
              </w:rPr>
              <w:t>-</w:t>
            </w:r>
          </w:p>
        </w:tc>
        <w:tc>
          <w:tcPr>
            <w:tcW w:w="716" w:type="dxa"/>
            <w:tcBorders/>
            <w:shd w:color="auto" w:fill="auto" w:val="clear"/>
          </w:tcPr>
          <w:p>
            <w:pPr>
              <w:pStyle w:val="Normal"/>
              <w:spacing w:lineRule="auto" w:line="240"/>
              <w:jc w:val="center"/>
              <w:rPr>
                <w:sz w:val="20"/>
                <w:szCs w:val="20"/>
              </w:rPr>
            </w:pPr>
            <w:r>
              <w:rPr>
                <w:sz w:val="20"/>
                <w:szCs w:val="20"/>
              </w:rPr>
              <w:t>-</w:t>
            </w:r>
          </w:p>
        </w:tc>
        <w:tc>
          <w:tcPr>
            <w:tcW w:w="850" w:type="dxa"/>
            <w:tcBorders>
              <w:left w:val="nil"/>
              <w:right w:val="nil"/>
            </w:tcBorders>
          </w:tcPr>
          <w:p>
            <w:pPr>
              <w:pStyle w:val="Normal"/>
              <w:spacing w:lineRule="auto" w:line="240"/>
              <w:jc w:val="center"/>
              <w:rPr>
                <w:sz w:val="20"/>
                <w:szCs w:val="20"/>
              </w:rPr>
            </w:pPr>
            <w:r>
              <w:rPr>
                <w:sz w:val="20"/>
                <w:szCs w:val="20"/>
              </w:rPr>
              <w:t>600</w:t>
            </w:r>
          </w:p>
        </w:tc>
        <w:tc>
          <w:tcPr>
            <w:tcW w:w="715" w:type="dxa"/>
            <w:tcBorders>
              <w:left w:val="nil"/>
            </w:tcBorders>
          </w:tcPr>
          <w:p>
            <w:pPr>
              <w:pStyle w:val="Normal"/>
              <w:spacing w:lineRule="auto" w:line="240"/>
              <w:jc w:val="center"/>
              <w:rPr>
                <w:sz w:val="20"/>
                <w:szCs w:val="20"/>
              </w:rPr>
            </w:pPr>
            <w:r>
              <w:rPr>
                <w:sz w:val="20"/>
                <w:szCs w:val="20"/>
              </w:rPr>
              <w:t>3600</w:t>
            </w:r>
          </w:p>
        </w:tc>
      </w:tr>
      <w:tr>
        <w:trPr/>
        <w:tc>
          <w:tcPr>
            <w:tcW w:w="456" w:type="dxa"/>
            <w:tcBorders>
              <w:right w:val="nil"/>
            </w:tcBorders>
          </w:tcPr>
          <w:p>
            <w:pPr>
              <w:pStyle w:val="Normal"/>
              <w:spacing w:lineRule="auto" w:line="240"/>
              <w:jc w:val="center"/>
              <w:rPr>
                <w:sz w:val="20"/>
                <w:szCs w:val="20"/>
              </w:rPr>
            </w:pPr>
            <w:r>
              <w:rPr>
                <w:sz w:val="20"/>
                <w:szCs w:val="20"/>
              </w:rPr>
              <w:t>11</w:t>
            </w:r>
          </w:p>
        </w:tc>
        <w:tc>
          <w:tcPr>
            <w:tcW w:w="4216" w:type="dxa"/>
            <w:tcBorders/>
            <w:shd w:color="auto" w:fill="auto" w:val="clear"/>
          </w:tcPr>
          <w:p>
            <w:pPr>
              <w:pStyle w:val="Normal"/>
              <w:spacing w:lineRule="auto" w:line="240"/>
              <w:jc w:val="left"/>
              <w:rPr>
                <w:rFonts w:eastAsia="Times New Roman"/>
                <w:sz w:val="20"/>
                <w:szCs w:val="20"/>
                <w:lang w:eastAsia="ru-RU"/>
              </w:rPr>
            </w:pPr>
            <w:r>
              <w:rPr>
                <w:sz w:val="20"/>
                <w:szCs w:val="20"/>
              </w:rPr>
              <w:t>Переулок № 5 от ул. Набережная до кладбища</w:t>
            </w:r>
          </w:p>
        </w:tc>
        <w:tc>
          <w:tcPr>
            <w:tcW w:w="851" w:type="dxa"/>
            <w:tcBorders>
              <w:top w:val="nil"/>
              <w:left w:val="nil"/>
            </w:tcBorders>
            <w:shd w:color="auto" w:fill="auto" w:val="clear"/>
            <w:vAlign w:val="bottom"/>
          </w:tcPr>
          <w:p>
            <w:pPr>
              <w:pStyle w:val="Normal"/>
              <w:spacing w:lineRule="auto" w:line="240"/>
              <w:jc w:val="center"/>
              <w:rPr>
                <w:sz w:val="20"/>
                <w:szCs w:val="20"/>
              </w:rPr>
            </w:pPr>
            <w:r>
              <w:rPr>
                <w:sz w:val="20"/>
                <w:szCs w:val="20"/>
              </w:rPr>
              <w:t>1300</w:t>
            </w:r>
          </w:p>
        </w:tc>
        <w:tc>
          <w:tcPr>
            <w:tcW w:w="1134" w:type="dxa"/>
            <w:tcBorders/>
            <w:shd w:color="auto" w:fill="auto" w:val="clear"/>
            <w:vAlign w:val="bottom"/>
          </w:tcPr>
          <w:p>
            <w:pPr>
              <w:pStyle w:val="Normal"/>
              <w:spacing w:lineRule="auto" w:line="240"/>
              <w:jc w:val="center"/>
              <w:rPr>
                <w:sz w:val="20"/>
                <w:szCs w:val="20"/>
              </w:rPr>
            </w:pPr>
            <w:r>
              <w:rPr>
                <w:sz w:val="20"/>
                <w:szCs w:val="20"/>
              </w:rPr>
              <w:t>7800</w:t>
            </w:r>
          </w:p>
        </w:tc>
        <w:tc>
          <w:tcPr>
            <w:tcW w:w="701" w:type="dxa"/>
            <w:tcBorders/>
            <w:shd w:color="auto" w:fill="auto" w:val="clear"/>
          </w:tcPr>
          <w:p>
            <w:pPr>
              <w:pStyle w:val="Normal"/>
              <w:spacing w:lineRule="auto" w:line="240"/>
              <w:jc w:val="center"/>
              <w:rPr>
                <w:sz w:val="20"/>
                <w:szCs w:val="20"/>
              </w:rPr>
            </w:pPr>
            <w:r>
              <w:rPr>
                <w:sz w:val="20"/>
                <w:szCs w:val="20"/>
              </w:rPr>
              <w:t>-</w:t>
            </w:r>
          </w:p>
        </w:tc>
        <w:tc>
          <w:tcPr>
            <w:tcW w:w="716" w:type="dxa"/>
            <w:tcBorders/>
            <w:shd w:color="auto" w:fill="auto" w:val="clear"/>
          </w:tcPr>
          <w:p>
            <w:pPr>
              <w:pStyle w:val="Normal"/>
              <w:spacing w:lineRule="auto" w:line="240"/>
              <w:jc w:val="center"/>
              <w:rPr>
                <w:sz w:val="20"/>
                <w:szCs w:val="20"/>
              </w:rPr>
            </w:pPr>
            <w:r>
              <w:rPr>
                <w:sz w:val="20"/>
                <w:szCs w:val="20"/>
              </w:rPr>
              <w:t>-</w:t>
            </w:r>
          </w:p>
        </w:tc>
        <w:tc>
          <w:tcPr>
            <w:tcW w:w="850" w:type="dxa"/>
            <w:tcBorders>
              <w:left w:val="nil"/>
              <w:right w:val="nil"/>
            </w:tcBorders>
            <w:vAlign w:val="bottom"/>
          </w:tcPr>
          <w:p>
            <w:pPr>
              <w:pStyle w:val="Normal"/>
              <w:spacing w:lineRule="auto" w:line="240"/>
              <w:jc w:val="center"/>
              <w:rPr>
                <w:sz w:val="20"/>
                <w:szCs w:val="20"/>
              </w:rPr>
            </w:pPr>
            <w:r>
              <w:rPr>
                <w:sz w:val="20"/>
                <w:szCs w:val="20"/>
              </w:rPr>
              <w:t>1300</w:t>
            </w:r>
          </w:p>
        </w:tc>
        <w:tc>
          <w:tcPr>
            <w:tcW w:w="715" w:type="dxa"/>
            <w:tcBorders>
              <w:left w:val="nil"/>
            </w:tcBorders>
            <w:vAlign w:val="bottom"/>
          </w:tcPr>
          <w:p>
            <w:pPr>
              <w:pStyle w:val="Normal"/>
              <w:spacing w:lineRule="auto" w:line="240"/>
              <w:jc w:val="center"/>
              <w:rPr>
                <w:sz w:val="20"/>
                <w:szCs w:val="20"/>
              </w:rPr>
            </w:pPr>
            <w:r>
              <w:rPr>
                <w:sz w:val="20"/>
                <w:szCs w:val="20"/>
              </w:rPr>
              <w:t>7800</w:t>
            </w:r>
          </w:p>
        </w:tc>
      </w:tr>
      <w:tr>
        <w:trPr/>
        <w:tc>
          <w:tcPr>
            <w:tcW w:w="456" w:type="dxa"/>
            <w:tcBorders>
              <w:right w:val="nil"/>
            </w:tcBorders>
          </w:tcPr>
          <w:p>
            <w:pPr>
              <w:pStyle w:val="Normal"/>
              <w:spacing w:lineRule="auto" w:line="240"/>
              <w:jc w:val="center"/>
              <w:rPr>
                <w:sz w:val="20"/>
                <w:szCs w:val="20"/>
              </w:rPr>
            </w:pPr>
            <w:r>
              <w:rPr>
                <w:sz w:val="20"/>
                <w:szCs w:val="20"/>
              </w:rPr>
              <w:t>12</w:t>
            </w:r>
          </w:p>
        </w:tc>
        <w:tc>
          <w:tcPr>
            <w:tcW w:w="4216" w:type="dxa"/>
            <w:tcBorders/>
            <w:shd w:color="auto" w:fill="auto" w:val="clear"/>
          </w:tcPr>
          <w:p>
            <w:pPr>
              <w:pStyle w:val="Normal"/>
              <w:spacing w:lineRule="auto" w:line="240"/>
              <w:jc w:val="left"/>
              <w:rPr>
                <w:rFonts w:eastAsia="Times New Roman"/>
                <w:sz w:val="20"/>
                <w:szCs w:val="20"/>
                <w:lang w:eastAsia="ru-RU"/>
              </w:rPr>
            </w:pPr>
            <w:r>
              <w:rPr>
                <w:sz w:val="20"/>
                <w:szCs w:val="20"/>
              </w:rPr>
              <w:t>Переулок № 6 от ул. Набережная до ул. Школьная</w:t>
            </w:r>
          </w:p>
        </w:tc>
        <w:tc>
          <w:tcPr>
            <w:tcW w:w="851" w:type="dxa"/>
            <w:tcBorders>
              <w:top w:val="nil"/>
              <w:left w:val="nil"/>
            </w:tcBorders>
            <w:shd w:color="auto" w:fill="auto" w:val="clear"/>
          </w:tcPr>
          <w:p>
            <w:pPr>
              <w:pStyle w:val="Normal"/>
              <w:spacing w:lineRule="auto" w:line="240"/>
              <w:jc w:val="center"/>
              <w:rPr>
                <w:sz w:val="20"/>
                <w:szCs w:val="20"/>
              </w:rPr>
            </w:pPr>
            <w:r>
              <w:rPr>
                <w:sz w:val="20"/>
                <w:szCs w:val="20"/>
              </w:rPr>
              <w:t>400</w:t>
            </w:r>
          </w:p>
        </w:tc>
        <w:tc>
          <w:tcPr>
            <w:tcW w:w="1134" w:type="dxa"/>
            <w:tcBorders/>
            <w:shd w:color="auto" w:fill="auto" w:val="clear"/>
          </w:tcPr>
          <w:p>
            <w:pPr>
              <w:pStyle w:val="Normal"/>
              <w:spacing w:lineRule="auto" w:line="240"/>
              <w:jc w:val="center"/>
              <w:rPr>
                <w:sz w:val="20"/>
                <w:szCs w:val="20"/>
              </w:rPr>
            </w:pPr>
            <w:r>
              <w:rPr>
                <w:sz w:val="20"/>
                <w:szCs w:val="20"/>
              </w:rPr>
              <w:t>2400</w:t>
            </w:r>
          </w:p>
        </w:tc>
        <w:tc>
          <w:tcPr>
            <w:tcW w:w="701" w:type="dxa"/>
            <w:tcBorders/>
            <w:shd w:color="auto" w:fill="auto" w:val="clear"/>
          </w:tcPr>
          <w:p>
            <w:pPr>
              <w:pStyle w:val="Normal"/>
              <w:spacing w:lineRule="auto" w:line="240"/>
              <w:jc w:val="center"/>
              <w:rPr>
                <w:sz w:val="20"/>
                <w:szCs w:val="20"/>
              </w:rPr>
            </w:pPr>
            <w:r>
              <w:rPr>
                <w:sz w:val="20"/>
                <w:szCs w:val="20"/>
              </w:rPr>
              <w:t>-</w:t>
            </w:r>
          </w:p>
        </w:tc>
        <w:tc>
          <w:tcPr>
            <w:tcW w:w="716" w:type="dxa"/>
            <w:tcBorders/>
            <w:shd w:color="auto" w:fill="auto" w:val="clear"/>
          </w:tcPr>
          <w:p>
            <w:pPr>
              <w:pStyle w:val="Normal"/>
              <w:spacing w:lineRule="auto" w:line="240"/>
              <w:jc w:val="center"/>
              <w:rPr>
                <w:sz w:val="20"/>
                <w:szCs w:val="20"/>
              </w:rPr>
            </w:pPr>
            <w:r>
              <w:rPr>
                <w:sz w:val="20"/>
                <w:szCs w:val="20"/>
              </w:rPr>
              <w:t>-</w:t>
            </w:r>
          </w:p>
        </w:tc>
        <w:tc>
          <w:tcPr>
            <w:tcW w:w="850" w:type="dxa"/>
            <w:tcBorders>
              <w:left w:val="nil"/>
              <w:right w:val="nil"/>
            </w:tcBorders>
          </w:tcPr>
          <w:p>
            <w:pPr>
              <w:pStyle w:val="Normal"/>
              <w:spacing w:lineRule="auto" w:line="240"/>
              <w:jc w:val="center"/>
              <w:rPr>
                <w:sz w:val="20"/>
                <w:szCs w:val="20"/>
              </w:rPr>
            </w:pPr>
            <w:r>
              <w:rPr>
                <w:sz w:val="20"/>
                <w:szCs w:val="20"/>
              </w:rPr>
              <w:t>400</w:t>
            </w:r>
          </w:p>
        </w:tc>
        <w:tc>
          <w:tcPr>
            <w:tcW w:w="715" w:type="dxa"/>
            <w:tcBorders>
              <w:left w:val="nil"/>
            </w:tcBorders>
          </w:tcPr>
          <w:p>
            <w:pPr>
              <w:pStyle w:val="Normal"/>
              <w:spacing w:lineRule="auto" w:line="240"/>
              <w:jc w:val="center"/>
              <w:rPr>
                <w:sz w:val="20"/>
                <w:szCs w:val="20"/>
              </w:rPr>
            </w:pPr>
            <w:r>
              <w:rPr>
                <w:sz w:val="20"/>
                <w:szCs w:val="20"/>
              </w:rPr>
              <w:t>2400</w:t>
            </w:r>
          </w:p>
        </w:tc>
      </w:tr>
      <w:tr>
        <w:trPr/>
        <w:tc>
          <w:tcPr>
            <w:tcW w:w="456" w:type="dxa"/>
            <w:tcBorders>
              <w:right w:val="nil"/>
            </w:tcBorders>
          </w:tcPr>
          <w:p>
            <w:pPr>
              <w:pStyle w:val="Normal"/>
              <w:spacing w:lineRule="auto" w:line="240"/>
              <w:jc w:val="center"/>
              <w:rPr>
                <w:sz w:val="20"/>
                <w:szCs w:val="20"/>
              </w:rPr>
            </w:pPr>
            <w:r>
              <w:rPr>
                <w:sz w:val="20"/>
                <w:szCs w:val="20"/>
              </w:rPr>
              <w:t>13</w:t>
            </w:r>
          </w:p>
        </w:tc>
        <w:tc>
          <w:tcPr>
            <w:tcW w:w="4216" w:type="dxa"/>
            <w:tcBorders/>
            <w:shd w:color="auto" w:fill="auto" w:val="clear"/>
          </w:tcPr>
          <w:p>
            <w:pPr>
              <w:pStyle w:val="Normal"/>
              <w:spacing w:lineRule="auto" w:line="240"/>
              <w:jc w:val="left"/>
              <w:rPr>
                <w:rFonts w:eastAsia="Times New Roman"/>
                <w:sz w:val="20"/>
                <w:szCs w:val="20"/>
                <w:lang w:eastAsia="ru-RU"/>
              </w:rPr>
            </w:pPr>
            <w:r>
              <w:rPr>
                <w:sz w:val="20"/>
                <w:szCs w:val="20"/>
              </w:rPr>
              <w:t>Переулок № 7 от ул. Набережная до ул. Школьная</w:t>
            </w:r>
          </w:p>
        </w:tc>
        <w:tc>
          <w:tcPr>
            <w:tcW w:w="851" w:type="dxa"/>
            <w:tcBorders>
              <w:top w:val="nil"/>
              <w:left w:val="nil"/>
            </w:tcBorders>
            <w:shd w:color="auto" w:fill="auto" w:val="clear"/>
          </w:tcPr>
          <w:p>
            <w:pPr>
              <w:pStyle w:val="Normal"/>
              <w:spacing w:lineRule="auto" w:line="240"/>
              <w:jc w:val="center"/>
              <w:rPr>
                <w:sz w:val="20"/>
                <w:szCs w:val="20"/>
              </w:rPr>
            </w:pPr>
            <w:r>
              <w:rPr>
                <w:sz w:val="20"/>
                <w:szCs w:val="20"/>
              </w:rPr>
              <w:t>550</w:t>
            </w:r>
          </w:p>
        </w:tc>
        <w:tc>
          <w:tcPr>
            <w:tcW w:w="1134" w:type="dxa"/>
            <w:tcBorders/>
            <w:shd w:color="auto" w:fill="auto" w:val="clear"/>
          </w:tcPr>
          <w:p>
            <w:pPr>
              <w:pStyle w:val="Normal"/>
              <w:spacing w:lineRule="auto" w:line="240"/>
              <w:jc w:val="center"/>
              <w:rPr>
                <w:sz w:val="20"/>
                <w:szCs w:val="20"/>
              </w:rPr>
            </w:pPr>
            <w:r>
              <w:rPr>
                <w:sz w:val="20"/>
                <w:szCs w:val="20"/>
              </w:rPr>
              <w:t>3300</w:t>
            </w:r>
          </w:p>
        </w:tc>
        <w:tc>
          <w:tcPr>
            <w:tcW w:w="701" w:type="dxa"/>
            <w:tcBorders/>
            <w:shd w:color="auto" w:fill="auto" w:val="clear"/>
          </w:tcPr>
          <w:p>
            <w:pPr>
              <w:pStyle w:val="Normal"/>
              <w:spacing w:lineRule="auto" w:line="240"/>
              <w:jc w:val="center"/>
              <w:rPr>
                <w:sz w:val="20"/>
                <w:szCs w:val="20"/>
              </w:rPr>
            </w:pPr>
            <w:r>
              <w:rPr>
                <w:sz w:val="20"/>
                <w:szCs w:val="20"/>
              </w:rPr>
              <w:t>-</w:t>
            </w:r>
          </w:p>
        </w:tc>
        <w:tc>
          <w:tcPr>
            <w:tcW w:w="716" w:type="dxa"/>
            <w:tcBorders/>
            <w:shd w:color="auto" w:fill="auto" w:val="clear"/>
          </w:tcPr>
          <w:p>
            <w:pPr>
              <w:pStyle w:val="Normal"/>
              <w:spacing w:lineRule="auto" w:line="240"/>
              <w:jc w:val="center"/>
              <w:rPr>
                <w:sz w:val="20"/>
                <w:szCs w:val="20"/>
              </w:rPr>
            </w:pPr>
            <w:r>
              <w:rPr>
                <w:sz w:val="20"/>
                <w:szCs w:val="20"/>
              </w:rPr>
              <w:t>-</w:t>
            </w:r>
          </w:p>
        </w:tc>
        <w:tc>
          <w:tcPr>
            <w:tcW w:w="850" w:type="dxa"/>
            <w:tcBorders>
              <w:left w:val="nil"/>
              <w:right w:val="nil"/>
            </w:tcBorders>
            <w:vAlign w:val="bottom"/>
          </w:tcPr>
          <w:p>
            <w:pPr>
              <w:pStyle w:val="Normal"/>
              <w:spacing w:lineRule="auto" w:line="240"/>
              <w:jc w:val="center"/>
              <w:rPr>
                <w:sz w:val="20"/>
                <w:szCs w:val="20"/>
              </w:rPr>
            </w:pPr>
            <w:r>
              <w:rPr>
                <w:sz w:val="20"/>
                <w:szCs w:val="20"/>
              </w:rPr>
              <w:t>550</w:t>
            </w:r>
          </w:p>
        </w:tc>
        <w:tc>
          <w:tcPr>
            <w:tcW w:w="715" w:type="dxa"/>
            <w:tcBorders>
              <w:left w:val="nil"/>
            </w:tcBorders>
            <w:vAlign w:val="bottom"/>
          </w:tcPr>
          <w:p>
            <w:pPr>
              <w:pStyle w:val="Normal"/>
              <w:spacing w:lineRule="auto" w:line="240"/>
              <w:jc w:val="center"/>
              <w:rPr>
                <w:sz w:val="20"/>
                <w:szCs w:val="20"/>
              </w:rPr>
            </w:pPr>
            <w:r>
              <w:rPr>
                <w:sz w:val="20"/>
                <w:szCs w:val="20"/>
              </w:rPr>
              <w:t>3300</w:t>
            </w:r>
          </w:p>
        </w:tc>
      </w:tr>
      <w:tr>
        <w:trPr/>
        <w:tc>
          <w:tcPr>
            <w:tcW w:w="456" w:type="dxa"/>
            <w:tcBorders>
              <w:right w:val="nil"/>
            </w:tcBorders>
          </w:tcPr>
          <w:p>
            <w:pPr>
              <w:pStyle w:val="Normal"/>
              <w:spacing w:lineRule="auto" w:line="240"/>
              <w:jc w:val="center"/>
              <w:rPr>
                <w:sz w:val="20"/>
                <w:szCs w:val="20"/>
              </w:rPr>
            </w:pPr>
            <w:r>
              <w:rPr>
                <w:sz w:val="20"/>
                <w:szCs w:val="20"/>
              </w:rPr>
              <w:t>14</w:t>
            </w:r>
          </w:p>
        </w:tc>
        <w:tc>
          <w:tcPr>
            <w:tcW w:w="4216" w:type="dxa"/>
            <w:tcBorders/>
            <w:shd w:color="auto" w:fill="auto" w:val="clear"/>
          </w:tcPr>
          <w:p>
            <w:pPr>
              <w:pStyle w:val="Normal"/>
              <w:spacing w:lineRule="auto" w:line="240"/>
              <w:jc w:val="left"/>
              <w:rPr>
                <w:rFonts w:eastAsia="Times New Roman"/>
                <w:sz w:val="20"/>
                <w:szCs w:val="20"/>
                <w:lang w:eastAsia="ru-RU"/>
              </w:rPr>
            </w:pPr>
            <w:r>
              <w:rPr>
                <w:sz w:val="20"/>
                <w:szCs w:val="20"/>
              </w:rPr>
              <w:t>Переулок № 8 от ул. Набережная до ул. Школьная</w:t>
            </w:r>
          </w:p>
        </w:tc>
        <w:tc>
          <w:tcPr>
            <w:tcW w:w="851" w:type="dxa"/>
            <w:tcBorders>
              <w:top w:val="nil"/>
              <w:left w:val="nil"/>
            </w:tcBorders>
            <w:shd w:color="auto" w:fill="auto" w:val="clear"/>
            <w:vAlign w:val="center"/>
          </w:tcPr>
          <w:p>
            <w:pPr>
              <w:pStyle w:val="Normal"/>
              <w:spacing w:lineRule="auto" w:line="240"/>
              <w:jc w:val="center"/>
              <w:rPr>
                <w:sz w:val="20"/>
                <w:szCs w:val="20"/>
              </w:rPr>
            </w:pPr>
            <w:r>
              <w:rPr>
                <w:sz w:val="20"/>
                <w:szCs w:val="20"/>
              </w:rPr>
              <w:t>400</w:t>
            </w:r>
          </w:p>
        </w:tc>
        <w:tc>
          <w:tcPr>
            <w:tcW w:w="1134" w:type="dxa"/>
            <w:tcBorders/>
            <w:shd w:color="auto" w:fill="auto" w:val="clear"/>
            <w:vAlign w:val="center"/>
          </w:tcPr>
          <w:p>
            <w:pPr>
              <w:pStyle w:val="Normal"/>
              <w:spacing w:lineRule="auto" w:line="240"/>
              <w:jc w:val="center"/>
              <w:rPr>
                <w:sz w:val="20"/>
                <w:szCs w:val="20"/>
              </w:rPr>
            </w:pPr>
            <w:r>
              <w:rPr>
                <w:sz w:val="20"/>
                <w:szCs w:val="20"/>
              </w:rPr>
              <w:t>2400</w:t>
            </w:r>
          </w:p>
        </w:tc>
        <w:tc>
          <w:tcPr>
            <w:tcW w:w="701" w:type="dxa"/>
            <w:tcBorders/>
            <w:shd w:color="auto" w:fill="auto" w:val="clear"/>
          </w:tcPr>
          <w:p>
            <w:pPr>
              <w:pStyle w:val="Normal"/>
              <w:spacing w:lineRule="auto" w:line="240"/>
              <w:jc w:val="center"/>
              <w:rPr>
                <w:sz w:val="20"/>
                <w:szCs w:val="20"/>
              </w:rPr>
            </w:pPr>
            <w:r>
              <w:rPr>
                <w:sz w:val="20"/>
                <w:szCs w:val="20"/>
              </w:rPr>
              <w:t>-</w:t>
            </w:r>
          </w:p>
        </w:tc>
        <w:tc>
          <w:tcPr>
            <w:tcW w:w="716" w:type="dxa"/>
            <w:tcBorders/>
            <w:shd w:color="auto" w:fill="auto" w:val="clear"/>
          </w:tcPr>
          <w:p>
            <w:pPr>
              <w:pStyle w:val="Normal"/>
              <w:spacing w:lineRule="auto" w:line="240"/>
              <w:jc w:val="center"/>
              <w:rPr>
                <w:sz w:val="20"/>
                <w:szCs w:val="20"/>
              </w:rPr>
            </w:pPr>
            <w:r>
              <w:rPr>
                <w:sz w:val="20"/>
                <w:szCs w:val="20"/>
              </w:rPr>
              <w:t>-</w:t>
            </w:r>
          </w:p>
        </w:tc>
        <w:tc>
          <w:tcPr>
            <w:tcW w:w="850" w:type="dxa"/>
            <w:tcBorders>
              <w:left w:val="nil"/>
              <w:right w:val="nil"/>
            </w:tcBorders>
            <w:vAlign w:val="center"/>
          </w:tcPr>
          <w:p>
            <w:pPr>
              <w:pStyle w:val="Normal"/>
              <w:spacing w:lineRule="auto" w:line="240"/>
              <w:jc w:val="center"/>
              <w:rPr>
                <w:sz w:val="20"/>
                <w:szCs w:val="20"/>
              </w:rPr>
            </w:pPr>
            <w:r>
              <w:rPr>
                <w:sz w:val="20"/>
                <w:szCs w:val="20"/>
              </w:rPr>
              <w:t>400</w:t>
            </w:r>
          </w:p>
        </w:tc>
        <w:tc>
          <w:tcPr>
            <w:tcW w:w="715" w:type="dxa"/>
            <w:tcBorders>
              <w:left w:val="nil"/>
            </w:tcBorders>
            <w:vAlign w:val="center"/>
          </w:tcPr>
          <w:p>
            <w:pPr>
              <w:pStyle w:val="Normal"/>
              <w:spacing w:lineRule="auto" w:line="240"/>
              <w:jc w:val="center"/>
              <w:rPr>
                <w:sz w:val="20"/>
                <w:szCs w:val="20"/>
              </w:rPr>
            </w:pPr>
            <w:r>
              <w:rPr>
                <w:sz w:val="20"/>
                <w:szCs w:val="20"/>
              </w:rPr>
              <w:t>2400</w:t>
            </w:r>
          </w:p>
        </w:tc>
      </w:tr>
      <w:tr>
        <w:trPr/>
        <w:tc>
          <w:tcPr>
            <w:tcW w:w="456" w:type="dxa"/>
            <w:tcBorders>
              <w:right w:val="nil"/>
            </w:tcBorders>
          </w:tcPr>
          <w:p>
            <w:pPr>
              <w:pStyle w:val="Normal"/>
              <w:spacing w:lineRule="auto" w:line="240"/>
              <w:jc w:val="center"/>
              <w:rPr>
                <w:sz w:val="20"/>
                <w:szCs w:val="20"/>
              </w:rPr>
            </w:pPr>
            <w:r>
              <w:rPr>
                <w:sz w:val="20"/>
                <w:szCs w:val="20"/>
              </w:rPr>
              <w:t>15</w:t>
            </w:r>
          </w:p>
        </w:tc>
        <w:tc>
          <w:tcPr>
            <w:tcW w:w="4216" w:type="dxa"/>
            <w:tcBorders/>
            <w:shd w:color="auto" w:fill="auto" w:val="clear"/>
          </w:tcPr>
          <w:p>
            <w:pPr>
              <w:pStyle w:val="Normal"/>
              <w:spacing w:lineRule="auto" w:line="240"/>
              <w:jc w:val="left"/>
              <w:rPr>
                <w:sz w:val="20"/>
                <w:szCs w:val="20"/>
              </w:rPr>
            </w:pPr>
            <w:r>
              <w:rPr>
                <w:b/>
                <w:sz w:val="20"/>
                <w:szCs w:val="20"/>
              </w:rPr>
              <w:t>Итого по населенному пункту</w:t>
            </w:r>
          </w:p>
        </w:tc>
        <w:tc>
          <w:tcPr>
            <w:tcW w:w="851" w:type="dxa"/>
            <w:tcBorders>
              <w:top w:val="nil"/>
              <w:left w:val="nil"/>
            </w:tcBorders>
            <w:shd w:color="auto" w:fill="auto" w:val="clear"/>
          </w:tcPr>
          <w:p>
            <w:pPr>
              <w:pStyle w:val="Normal"/>
              <w:spacing w:lineRule="auto" w:line="240"/>
              <w:jc w:val="center"/>
              <w:rPr>
                <w:sz w:val="20"/>
                <w:szCs w:val="20"/>
              </w:rPr>
            </w:pPr>
            <w:r>
              <w:rPr>
                <w:b/>
                <w:sz w:val="20"/>
                <w:szCs w:val="20"/>
              </w:rPr>
              <w:t>18350</w:t>
            </w:r>
          </w:p>
        </w:tc>
        <w:tc>
          <w:tcPr>
            <w:tcW w:w="1134" w:type="dxa"/>
            <w:tcBorders/>
            <w:shd w:color="auto" w:fill="auto" w:val="clear"/>
          </w:tcPr>
          <w:p>
            <w:pPr>
              <w:pStyle w:val="Normal"/>
              <w:spacing w:lineRule="auto" w:line="240"/>
              <w:jc w:val="center"/>
              <w:rPr>
                <w:sz w:val="20"/>
                <w:szCs w:val="20"/>
              </w:rPr>
            </w:pPr>
            <w:r>
              <w:rPr>
                <w:b/>
                <w:sz w:val="20"/>
                <w:szCs w:val="20"/>
              </w:rPr>
              <w:t>87300</w:t>
            </w:r>
          </w:p>
        </w:tc>
        <w:tc>
          <w:tcPr>
            <w:tcW w:w="701" w:type="dxa"/>
            <w:tcBorders/>
            <w:shd w:color="auto" w:fill="auto" w:val="clear"/>
          </w:tcPr>
          <w:p>
            <w:pPr>
              <w:pStyle w:val="Normal"/>
              <w:spacing w:lineRule="auto" w:line="240"/>
              <w:jc w:val="center"/>
              <w:rPr>
                <w:sz w:val="20"/>
                <w:szCs w:val="20"/>
              </w:rPr>
            </w:pPr>
            <w:r>
              <w:rPr>
                <w:sz w:val="20"/>
                <w:szCs w:val="20"/>
              </w:rPr>
            </w:r>
          </w:p>
        </w:tc>
        <w:tc>
          <w:tcPr>
            <w:tcW w:w="716" w:type="dxa"/>
            <w:tcBorders/>
            <w:shd w:color="auto" w:fill="auto" w:val="clear"/>
          </w:tcPr>
          <w:p>
            <w:pPr>
              <w:pStyle w:val="Normal"/>
              <w:spacing w:lineRule="auto" w:line="240"/>
              <w:jc w:val="center"/>
              <w:rPr>
                <w:sz w:val="20"/>
                <w:szCs w:val="20"/>
              </w:rPr>
            </w:pPr>
            <w:r>
              <w:rPr>
                <w:sz w:val="20"/>
                <w:szCs w:val="20"/>
              </w:rPr>
            </w:r>
          </w:p>
        </w:tc>
        <w:tc>
          <w:tcPr>
            <w:tcW w:w="850" w:type="dxa"/>
            <w:tcBorders>
              <w:left w:val="nil"/>
              <w:right w:val="nil"/>
            </w:tcBorders>
          </w:tcPr>
          <w:p>
            <w:pPr>
              <w:pStyle w:val="Normal"/>
              <w:spacing w:lineRule="auto" w:line="240"/>
              <w:jc w:val="center"/>
              <w:rPr>
                <w:sz w:val="20"/>
                <w:szCs w:val="20"/>
              </w:rPr>
            </w:pPr>
            <w:r>
              <w:rPr>
                <w:b/>
                <w:sz w:val="20"/>
                <w:szCs w:val="20"/>
              </w:rPr>
              <w:t>14400</w:t>
            </w:r>
          </w:p>
        </w:tc>
        <w:tc>
          <w:tcPr>
            <w:tcW w:w="715" w:type="dxa"/>
            <w:tcBorders>
              <w:left w:val="nil"/>
            </w:tcBorders>
          </w:tcPr>
          <w:p>
            <w:pPr>
              <w:pStyle w:val="Normal"/>
              <w:spacing w:lineRule="auto" w:line="240"/>
              <w:jc w:val="center"/>
              <w:rPr>
                <w:sz w:val="20"/>
                <w:szCs w:val="20"/>
              </w:rPr>
            </w:pPr>
            <w:r>
              <w:rPr>
                <w:b/>
                <w:sz w:val="20"/>
                <w:szCs w:val="20"/>
              </w:rPr>
              <w:t>63600</w:t>
            </w:r>
          </w:p>
        </w:tc>
      </w:tr>
      <w:tr>
        <w:trPr/>
        <w:tc>
          <w:tcPr>
            <w:tcW w:w="9639" w:type="dxa"/>
            <w:gridSpan w:val="8"/>
            <w:tcBorders/>
          </w:tcPr>
          <w:p>
            <w:pPr>
              <w:pStyle w:val="Normal"/>
              <w:spacing w:lineRule="auto" w:line="240"/>
              <w:jc w:val="center"/>
              <w:rPr>
                <w:rFonts w:eastAsia="Times New Roman"/>
                <w:b/>
                <w:b/>
                <w:sz w:val="20"/>
                <w:szCs w:val="20"/>
              </w:rPr>
            </w:pPr>
            <w:r>
              <w:rPr>
                <w:rFonts w:eastAsia="Times New Roman"/>
                <w:b/>
                <w:sz w:val="20"/>
                <w:szCs w:val="20"/>
                <w:lang w:eastAsia="ru-RU"/>
              </w:rPr>
              <w:t>п. Караоба</w:t>
            </w:r>
          </w:p>
        </w:tc>
      </w:tr>
      <w:tr>
        <w:trPr/>
        <w:tc>
          <w:tcPr>
            <w:tcW w:w="456" w:type="dxa"/>
            <w:tcBorders>
              <w:right w:val="nil"/>
            </w:tcBorders>
          </w:tcPr>
          <w:p>
            <w:pPr>
              <w:pStyle w:val="Normal"/>
              <w:spacing w:lineRule="auto" w:line="240"/>
              <w:jc w:val="center"/>
              <w:rPr>
                <w:sz w:val="20"/>
                <w:szCs w:val="20"/>
              </w:rPr>
            </w:pPr>
            <w:r>
              <w:rPr>
                <w:sz w:val="20"/>
                <w:szCs w:val="20"/>
              </w:rPr>
              <w:t>1</w:t>
            </w:r>
          </w:p>
        </w:tc>
        <w:tc>
          <w:tcPr>
            <w:tcW w:w="4216" w:type="dxa"/>
            <w:tcBorders/>
            <w:shd w:color="auto" w:fill="auto" w:val="clear"/>
          </w:tcPr>
          <w:p>
            <w:pPr>
              <w:pStyle w:val="Normal"/>
              <w:spacing w:lineRule="auto" w:line="240"/>
              <w:jc w:val="left"/>
              <w:rPr>
                <w:rFonts w:eastAsia="Times New Roman"/>
                <w:sz w:val="20"/>
                <w:szCs w:val="20"/>
                <w:lang w:eastAsia="ru-RU"/>
              </w:rPr>
            </w:pPr>
            <w:r>
              <w:rPr>
                <w:sz w:val="20"/>
                <w:szCs w:val="20"/>
              </w:rPr>
              <w:t>Ул. Береговая</w:t>
            </w:r>
          </w:p>
        </w:tc>
        <w:tc>
          <w:tcPr>
            <w:tcW w:w="851" w:type="dxa"/>
            <w:tcBorders>
              <w:left w:val="nil"/>
            </w:tcBorders>
            <w:shd w:color="auto" w:fill="auto" w:val="clear"/>
            <w:vAlign w:val="center"/>
          </w:tcPr>
          <w:p>
            <w:pPr>
              <w:pStyle w:val="Normal"/>
              <w:spacing w:lineRule="auto" w:line="240"/>
              <w:jc w:val="center"/>
              <w:rPr>
                <w:rFonts w:eastAsia="Times New Roman"/>
                <w:sz w:val="20"/>
                <w:szCs w:val="20"/>
                <w:lang w:eastAsia="ru-RU"/>
              </w:rPr>
            </w:pPr>
            <w:r>
              <w:rPr>
                <w:sz w:val="20"/>
                <w:szCs w:val="20"/>
              </w:rPr>
              <w:t>700</w:t>
            </w:r>
          </w:p>
        </w:tc>
        <w:tc>
          <w:tcPr>
            <w:tcW w:w="1134" w:type="dxa"/>
            <w:tcBorders/>
            <w:shd w:color="auto" w:fill="auto" w:val="clear"/>
            <w:vAlign w:val="center"/>
          </w:tcPr>
          <w:p>
            <w:pPr>
              <w:pStyle w:val="Normal"/>
              <w:spacing w:lineRule="auto" w:line="240"/>
              <w:jc w:val="center"/>
              <w:rPr>
                <w:rFonts w:eastAsia="Times New Roman"/>
                <w:sz w:val="20"/>
                <w:szCs w:val="20"/>
                <w:lang w:eastAsia="ru-RU"/>
              </w:rPr>
            </w:pPr>
            <w:r>
              <w:rPr>
                <w:sz w:val="20"/>
                <w:szCs w:val="20"/>
              </w:rPr>
              <w:t>4200</w:t>
            </w:r>
          </w:p>
        </w:tc>
        <w:tc>
          <w:tcPr>
            <w:tcW w:w="701"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716"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850" w:type="dxa"/>
            <w:tcBorders>
              <w:left w:val="nil"/>
              <w:right w:val="nil"/>
            </w:tcBorders>
          </w:tcPr>
          <w:p>
            <w:pPr>
              <w:pStyle w:val="Normal"/>
              <w:spacing w:lineRule="auto" w:line="240"/>
              <w:jc w:val="center"/>
              <w:rPr>
                <w:rFonts w:eastAsia="Times New Roman"/>
                <w:b/>
                <w:b/>
                <w:sz w:val="20"/>
                <w:szCs w:val="20"/>
              </w:rPr>
            </w:pPr>
            <w:r>
              <w:rPr>
                <w:rFonts w:eastAsia="Times New Roman"/>
                <w:b/>
                <w:sz w:val="20"/>
                <w:szCs w:val="20"/>
              </w:rPr>
              <w:t>-</w:t>
            </w:r>
          </w:p>
        </w:tc>
        <w:tc>
          <w:tcPr>
            <w:tcW w:w="715" w:type="dxa"/>
            <w:tcBorders>
              <w:left w:val="nil"/>
            </w:tcBorders>
          </w:tcPr>
          <w:p>
            <w:pPr>
              <w:pStyle w:val="Normal"/>
              <w:spacing w:lineRule="auto" w:line="240"/>
              <w:jc w:val="center"/>
              <w:rPr>
                <w:rFonts w:eastAsia="Times New Roman"/>
                <w:b/>
                <w:b/>
                <w:sz w:val="20"/>
                <w:szCs w:val="20"/>
              </w:rPr>
            </w:pPr>
            <w:r>
              <w:rPr>
                <w:rFonts w:eastAsia="Times New Roman"/>
                <w:b/>
                <w:sz w:val="20"/>
                <w:szCs w:val="20"/>
              </w:rPr>
              <w:t>-</w:t>
            </w:r>
          </w:p>
        </w:tc>
      </w:tr>
      <w:tr>
        <w:trPr/>
        <w:tc>
          <w:tcPr>
            <w:tcW w:w="456" w:type="dxa"/>
            <w:tcBorders>
              <w:right w:val="nil"/>
            </w:tcBorders>
          </w:tcPr>
          <w:p>
            <w:pPr>
              <w:pStyle w:val="Normal"/>
              <w:spacing w:lineRule="auto" w:line="240"/>
              <w:jc w:val="center"/>
              <w:rPr>
                <w:sz w:val="20"/>
                <w:szCs w:val="20"/>
              </w:rPr>
            </w:pPr>
            <w:r>
              <w:rPr>
                <w:sz w:val="20"/>
                <w:szCs w:val="20"/>
              </w:rPr>
              <w:t>2</w:t>
            </w:r>
          </w:p>
        </w:tc>
        <w:tc>
          <w:tcPr>
            <w:tcW w:w="4216" w:type="dxa"/>
            <w:tcBorders/>
            <w:shd w:color="auto" w:fill="auto" w:val="clear"/>
          </w:tcPr>
          <w:p>
            <w:pPr>
              <w:pStyle w:val="Normal"/>
              <w:spacing w:lineRule="auto" w:line="240"/>
              <w:jc w:val="left"/>
              <w:rPr>
                <w:rFonts w:eastAsia="Times New Roman"/>
                <w:sz w:val="20"/>
                <w:szCs w:val="20"/>
                <w:lang w:eastAsia="ru-RU"/>
              </w:rPr>
            </w:pPr>
            <w:r>
              <w:rPr>
                <w:sz w:val="20"/>
                <w:szCs w:val="20"/>
              </w:rPr>
              <w:t>Ул. Школьная</w:t>
            </w:r>
          </w:p>
        </w:tc>
        <w:tc>
          <w:tcPr>
            <w:tcW w:w="851" w:type="dxa"/>
            <w:tcBorders>
              <w:top w:val="nil"/>
              <w:left w:val="nil"/>
            </w:tcBorders>
            <w:shd w:color="auto" w:fill="auto" w:val="clear"/>
            <w:vAlign w:val="center"/>
          </w:tcPr>
          <w:p>
            <w:pPr>
              <w:pStyle w:val="Normal"/>
              <w:spacing w:lineRule="auto" w:line="240"/>
              <w:jc w:val="center"/>
              <w:rPr>
                <w:rFonts w:eastAsia="Times New Roman"/>
                <w:sz w:val="20"/>
                <w:szCs w:val="20"/>
                <w:lang w:eastAsia="ru-RU"/>
              </w:rPr>
            </w:pPr>
            <w:r>
              <w:rPr>
                <w:sz w:val="20"/>
                <w:szCs w:val="20"/>
              </w:rPr>
              <w:t>700</w:t>
            </w:r>
          </w:p>
        </w:tc>
        <w:tc>
          <w:tcPr>
            <w:tcW w:w="1134" w:type="dxa"/>
            <w:tcBorders/>
            <w:shd w:color="auto" w:fill="auto" w:val="clear"/>
            <w:vAlign w:val="center"/>
          </w:tcPr>
          <w:p>
            <w:pPr>
              <w:pStyle w:val="Normal"/>
              <w:spacing w:lineRule="auto" w:line="240"/>
              <w:jc w:val="center"/>
              <w:rPr>
                <w:rFonts w:eastAsia="Times New Roman"/>
                <w:sz w:val="20"/>
                <w:szCs w:val="20"/>
                <w:lang w:eastAsia="ru-RU"/>
              </w:rPr>
            </w:pPr>
            <w:r>
              <w:rPr>
                <w:sz w:val="20"/>
                <w:szCs w:val="20"/>
              </w:rPr>
              <w:t>4200</w:t>
            </w:r>
          </w:p>
        </w:tc>
        <w:tc>
          <w:tcPr>
            <w:tcW w:w="701"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716"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850" w:type="dxa"/>
            <w:tcBorders>
              <w:left w:val="nil"/>
              <w:right w:val="nil"/>
            </w:tcBorders>
          </w:tcPr>
          <w:p>
            <w:pPr>
              <w:pStyle w:val="Normal"/>
              <w:spacing w:lineRule="auto" w:line="240"/>
              <w:jc w:val="center"/>
              <w:rPr>
                <w:rFonts w:eastAsia="Times New Roman"/>
                <w:b/>
                <w:b/>
                <w:sz w:val="20"/>
                <w:szCs w:val="20"/>
              </w:rPr>
            </w:pPr>
            <w:r>
              <w:rPr>
                <w:rFonts w:eastAsia="Times New Roman"/>
                <w:b/>
                <w:sz w:val="20"/>
                <w:szCs w:val="20"/>
              </w:rPr>
              <w:t>-</w:t>
            </w:r>
          </w:p>
        </w:tc>
        <w:tc>
          <w:tcPr>
            <w:tcW w:w="715" w:type="dxa"/>
            <w:tcBorders>
              <w:left w:val="nil"/>
            </w:tcBorders>
          </w:tcPr>
          <w:p>
            <w:pPr>
              <w:pStyle w:val="Normal"/>
              <w:spacing w:lineRule="auto" w:line="240"/>
              <w:jc w:val="center"/>
              <w:rPr>
                <w:rFonts w:eastAsia="Times New Roman"/>
                <w:b/>
                <w:b/>
                <w:sz w:val="20"/>
                <w:szCs w:val="20"/>
              </w:rPr>
            </w:pPr>
            <w:r>
              <w:rPr>
                <w:rFonts w:eastAsia="Times New Roman"/>
                <w:b/>
                <w:sz w:val="20"/>
                <w:szCs w:val="20"/>
              </w:rPr>
              <w:t>-</w:t>
            </w:r>
          </w:p>
        </w:tc>
      </w:tr>
      <w:tr>
        <w:trPr/>
        <w:tc>
          <w:tcPr>
            <w:tcW w:w="456" w:type="dxa"/>
            <w:tcBorders>
              <w:right w:val="nil"/>
            </w:tcBorders>
          </w:tcPr>
          <w:p>
            <w:pPr>
              <w:pStyle w:val="Normal"/>
              <w:spacing w:lineRule="auto" w:line="240"/>
              <w:jc w:val="center"/>
              <w:rPr>
                <w:sz w:val="20"/>
                <w:szCs w:val="20"/>
              </w:rPr>
            </w:pPr>
            <w:r>
              <w:rPr>
                <w:sz w:val="20"/>
                <w:szCs w:val="20"/>
              </w:rPr>
              <w:t>3</w:t>
            </w:r>
          </w:p>
        </w:tc>
        <w:tc>
          <w:tcPr>
            <w:tcW w:w="4216" w:type="dxa"/>
            <w:tcBorders/>
            <w:shd w:color="auto" w:fill="auto" w:val="clear"/>
          </w:tcPr>
          <w:p>
            <w:pPr>
              <w:pStyle w:val="Normal"/>
              <w:spacing w:lineRule="auto" w:line="240"/>
              <w:jc w:val="left"/>
              <w:rPr>
                <w:rFonts w:eastAsia="Times New Roman"/>
                <w:sz w:val="20"/>
                <w:szCs w:val="20"/>
                <w:lang w:eastAsia="ru-RU"/>
              </w:rPr>
            </w:pPr>
            <w:r>
              <w:rPr>
                <w:sz w:val="20"/>
                <w:szCs w:val="20"/>
              </w:rPr>
              <w:t>Ул. Новая</w:t>
            </w:r>
          </w:p>
        </w:tc>
        <w:tc>
          <w:tcPr>
            <w:tcW w:w="851" w:type="dxa"/>
            <w:tcBorders>
              <w:top w:val="nil"/>
              <w:left w:val="nil"/>
            </w:tcBorders>
            <w:shd w:color="auto" w:fill="auto" w:val="clear"/>
            <w:vAlign w:val="center"/>
          </w:tcPr>
          <w:p>
            <w:pPr>
              <w:pStyle w:val="Normal"/>
              <w:spacing w:lineRule="auto" w:line="240"/>
              <w:jc w:val="center"/>
              <w:rPr>
                <w:rFonts w:eastAsia="Times New Roman"/>
                <w:sz w:val="20"/>
                <w:szCs w:val="20"/>
                <w:lang w:eastAsia="ru-RU"/>
              </w:rPr>
            </w:pPr>
            <w:r>
              <w:rPr>
                <w:sz w:val="20"/>
                <w:szCs w:val="20"/>
              </w:rPr>
              <w:t>600</w:t>
            </w:r>
          </w:p>
        </w:tc>
        <w:tc>
          <w:tcPr>
            <w:tcW w:w="1134" w:type="dxa"/>
            <w:tcBorders/>
            <w:shd w:color="auto" w:fill="auto" w:val="clear"/>
            <w:vAlign w:val="center"/>
          </w:tcPr>
          <w:p>
            <w:pPr>
              <w:pStyle w:val="Normal"/>
              <w:spacing w:lineRule="auto" w:line="240"/>
              <w:jc w:val="center"/>
              <w:rPr>
                <w:rFonts w:eastAsia="Times New Roman"/>
                <w:sz w:val="20"/>
                <w:szCs w:val="20"/>
                <w:lang w:eastAsia="ru-RU"/>
              </w:rPr>
            </w:pPr>
            <w:r>
              <w:rPr>
                <w:sz w:val="20"/>
                <w:szCs w:val="20"/>
              </w:rPr>
              <w:t>3600</w:t>
            </w:r>
          </w:p>
        </w:tc>
        <w:tc>
          <w:tcPr>
            <w:tcW w:w="701"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716"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850" w:type="dxa"/>
            <w:tcBorders>
              <w:left w:val="nil"/>
              <w:right w:val="nil"/>
            </w:tcBorders>
          </w:tcPr>
          <w:p>
            <w:pPr>
              <w:pStyle w:val="Normal"/>
              <w:spacing w:lineRule="auto" w:line="240"/>
              <w:jc w:val="center"/>
              <w:rPr>
                <w:rFonts w:eastAsia="Times New Roman"/>
                <w:b/>
                <w:b/>
                <w:sz w:val="20"/>
                <w:szCs w:val="20"/>
              </w:rPr>
            </w:pPr>
            <w:r>
              <w:rPr>
                <w:rFonts w:eastAsia="Times New Roman"/>
                <w:b/>
                <w:sz w:val="20"/>
                <w:szCs w:val="20"/>
              </w:rPr>
              <w:t>-</w:t>
            </w:r>
          </w:p>
        </w:tc>
        <w:tc>
          <w:tcPr>
            <w:tcW w:w="715" w:type="dxa"/>
            <w:tcBorders>
              <w:left w:val="nil"/>
            </w:tcBorders>
          </w:tcPr>
          <w:p>
            <w:pPr>
              <w:pStyle w:val="Normal"/>
              <w:spacing w:lineRule="auto" w:line="240"/>
              <w:jc w:val="center"/>
              <w:rPr>
                <w:rFonts w:eastAsia="Times New Roman"/>
                <w:b/>
                <w:b/>
                <w:sz w:val="20"/>
                <w:szCs w:val="20"/>
              </w:rPr>
            </w:pPr>
            <w:r>
              <w:rPr>
                <w:rFonts w:eastAsia="Times New Roman"/>
                <w:b/>
                <w:sz w:val="20"/>
                <w:szCs w:val="20"/>
              </w:rPr>
              <w:t>-</w:t>
            </w:r>
          </w:p>
        </w:tc>
      </w:tr>
      <w:tr>
        <w:trPr/>
        <w:tc>
          <w:tcPr>
            <w:tcW w:w="456" w:type="dxa"/>
            <w:tcBorders>
              <w:right w:val="nil"/>
            </w:tcBorders>
          </w:tcPr>
          <w:p>
            <w:pPr>
              <w:pStyle w:val="Normal"/>
              <w:spacing w:lineRule="auto" w:line="240"/>
              <w:jc w:val="center"/>
              <w:rPr>
                <w:sz w:val="20"/>
                <w:szCs w:val="20"/>
              </w:rPr>
            </w:pPr>
            <w:r>
              <w:rPr>
                <w:sz w:val="20"/>
                <w:szCs w:val="20"/>
              </w:rPr>
              <w:t>4</w:t>
            </w:r>
          </w:p>
        </w:tc>
        <w:tc>
          <w:tcPr>
            <w:tcW w:w="4216" w:type="dxa"/>
            <w:tcBorders/>
            <w:shd w:color="auto" w:fill="auto" w:val="clear"/>
          </w:tcPr>
          <w:p>
            <w:pPr>
              <w:pStyle w:val="Normal"/>
              <w:spacing w:lineRule="auto" w:line="240"/>
              <w:jc w:val="left"/>
              <w:rPr>
                <w:sz w:val="20"/>
                <w:szCs w:val="20"/>
              </w:rPr>
            </w:pPr>
            <w:r>
              <w:rPr>
                <w:sz w:val="20"/>
                <w:szCs w:val="20"/>
              </w:rPr>
              <w:t>Переулок № 1подъездной</w:t>
            </w:r>
          </w:p>
        </w:tc>
        <w:tc>
          <w:tcPr>
            <w:tcW w:w="851" w:type="dxa"/>
            <w:tcBorders>
              <w:top w:val="nil"/>
              <w:left w:val="nil"/>
            </w:tcBorders>
            <w:shd w:color="auto" w:fill="auto" w:val="clear"/>
            <w:vAlign w:val="center"/>
          </w:tcPr>
          <w:p>
            <w:pPr>
              <w:pStyle w:val="Normal"/>
              <w:spacing w:lineRule="auto" w:line="240"/>
              <w:jc w:val="center"/>
              <w:rPr>
                <w:rFonts w:eastAsia="Times New Roman"/>
                <w:sz w:val="20"/>
                <w:szCs w:val="20"/>
                <w:lang w:eastAsia="ru-RU"/>
              </w:rPr>
            </w:pPr>
            <w:r>
              <w:rPr>
                <w:sz w:val="20"/>
                <w:szCs w:val="20"/>
              </w:rPr>
              <w:t>300</w:t>
            </w:r>
          </w:p>
        </w:tc>
        <w:tc>
          <w:tcPr>
            <w:tcW w:w="1134" w:type="dxa"/>
            <w:tcBorders/>
            <w:shd w:color="auto" w:fill="auto" w:val="clear"/>
            <w:vAlign w:val="center"/>
          </w:tcPr>
          <w:p>
            <w:pPr>
              <w:pStyle w:val="Normal"/>
              <w:spacing w:lineRule="auto" w:line="240"/>
              <w:jc w:val="center"/>
              <w:rPr>
                <w:rFonts w:eastAsia="Times New Roman"/>
                <w:sz w:val="20"/>
                <w:szCs w:val="20"/>
                <w:lang w:eastAsia="ru-RU"/>
              </w:rPr>
            </w:pPr>
            <w:r>
              <w:rPr>
                <w:sz w:val="20"/>
                <w:szCs w:val="20"/>
              </w:rPr>
              <w:t>1800</w:t>
            </w:r>
          </w:p>
        </w:tc>
        <w:tc>
          <w:tcPr>
            <w:tcW w:w="701"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716"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850" w:type="dxa"/>
            <w:tcBorders>
              <w:left w:val="nil"/>
              <w:right w:val="nil"/>
            </w:tcBorders>
          </w:tcPr>
          <w:p>
            <w:pPr>
              <w:pStyle w:val="Normal"/>
              <w:spacing w:lineRule="auto" w:line="240"/>
              <w:jc w:val="center"/>
              <w:rPr>
                <w:rFonts w:eastAsia="Times New Roman"/>
                <w:b/>
                <w:b/>
                <w:sz w:val="20"/>
                <w:szCs w:val="20"/>
              </w:rPr>
            </w:pPr>
            <w:r>
              <w:rPr>
                <w:rFonts w:eastAsia="Times New Roman"/>
                <w:b/>
                <w:sz w:val="20"/>
                <w:szCs w:val="20"/>
              </w:rPr>
              <w:t>-</w:t>
            </w:r>
          </w:p>
        </w:tc>
        <w:tc>
          <w:tcPr>
            <w:tcW w:w="715" w:type="dxa"/>
            <w:tcBorders>
              <w:left w:val="nil"/>
            </w:tcBorders>
          </w:tcPr>
          <w:p>
            <w:pPr>
              <w:pStyle w:val="Normal"/>
              <w:spacing w:lineRule="auto" w:line="240"/>
              <w:jc w:val="center"/>
              <w:rPr>
                <w:rFonts w:eastAsia="Times New Roman"/>
                <w:b/>
                <w:b/>
                <w:sz w:val="20"/>
                <w:szCs w:val="20"/>
              </w:rPr>
            </w:pPr>
            <w:r>
              <w:rPr>
                <w:rFonts w:eastAsia="Times New Roman"/>
                <w:b/>
                <w:sz w:val="20"/>
                <w:szCs w:val="20"/>
              </w:rPr>
              <w:t>-</w:t>
            </w:r>
          </w:p>
        </w:tc>
      </w:tr>
      <w:tr>
        <w:trPr/>
        <w:tc>
          <w:tcPr>
            <w:tcW w:w="456" w:type="dxa"/>
            <w:tcBorders>
              <w:right w:val="nil"/>
            </w:tcBorders>
          </w:tcPr>
          <w:p>
            <w:pPr>
              <w:pStyle w:val="Normal"/>
              <w:spacing w:lineRule="auto" w:line="240"/>
              <w:jc w:val="center"/>
              <w:rPr>
                <w:sz w:val="20"/>
                <w:szCs w:val="20"/>
              </w:rPr>
            </w:pPr>
            <w:r>
              <w:rPr>
                <w:sz w:val="20"/>
                <w:szCs w:val="20"/>
              </w:rPr>
              <w:t>5</w:t>
            </w:r>
          </w:p>
        </w:tc>
        <w:tc>
          <w:tcPr>
            <w:tcW w:w="4216" w:type="dxa"/>
            <w:tcBorders/>
            <w:shd w:color="auto" w:fill="auto" w:val="clear"/>
          </w:tcPr>
          <w:p>
            <w:pPr>
              <w:pStyle w:val="Normal"/>
              <w:spacing w:lineRule="auto" w:line="240"/>
              <w:jc w:val="left"/>
              <w:rPr>
                <w:sz w:val="20"/>
                <w:szCs w:val="20"/>
              </w:rPr>
            </w:pPr>
            <w:r>
              <w:rPr>
                <w:sz w:val="20"/>
                <w:szCs w:val="20"/>
              </w:rPr>
              <w:t>Переулок № 2 от Береговой до ул. новая</w:t>
            </w:r>
          </w:p>
        </w:tc>
        <w:tc>
          <w:tcPr>
            <w:tcW w:w="851" w:type="dxa"/>
            <w:tcBorders>
              <w:top w:val="nil"/>
              <w:left w:val="nil"/>
            </w:tcBorders>
            <w:shd w:color="auto" w:fill="auto" w:val="clear"/>
            <w:vAlign w:val="center"/>
          </w:tcPr>
          <w:p>
            <w:pPr>
              <w:pStyle w:val="Normal"/>
              <w:spacing w:lineRule="auto" w:line="240"/>
              <w:jc w:val="center"/>
              <w:rPr>
                <w:rFonts w:eastAsia="Times New Roman"/>
                <w:sz w:val="20"/>
                <w:szCs w:val="20"/>
                <w:lang w:eastAsia="ru-RU"/>
              </w:rPr>
            </w:pPr>
            <w:r>
              <w:rPr>
                <w:sz w:val="20"/>
                <w:szCs w:val="20"/>
              </w:rPr>
              <w:t>300</w:t>
            </w:r>
          </w:p>
        </w:tc>
        <w:tc>
          <w:tcPr>
            <w:tcW w:w="1134" w:type="dxa"/>
            <w:tcBorders/>
            <w:shd w:color="auto" w:fill="auto" w:val="clear"/>
            <w:vAlign w:val="center"/>
          </w:tcPr>
          <w:p>
            <w:pPr>
              <w:pStyle w:val="Normal"/>
              <w:spacing w:lineRule="auto" w:line="240"/>
              <w:jc w:val="center"/>
              <w:rPr>
                <w:rFonts w:eastAsia="Times New Roman"/>
                <w:sz w:val="20"/>
                <w:szCs w:val="20"/>
                <w:lang w:eastAsia="ru-RU"/>
              </w:rPr>
            </w:pPr>
            <w:r>
              <w:rPr>
                <w:sz w:val="20"/>
                <w:szCs w:val="20"/>
              </w:rPr>
              <w:t>1800</w:t>
            </w:r>
          </w:p>
        </w:tc>
        <w:tc>
          <w:tcPr>
            <w:tcW w:w="701"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716"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850" w:type="dxa"/>
            <w:tcBorders>
              <w:left w:val="nil"/>
              <w:right w:val="nil"/>
            </w:tcBorders>
          </w:tcPr>
          <w:p>
            <w:pPr>
              <w:pStyle w:val="Normal"/>
              <w:spacing w:lineRule="auto" w:line="240"/>
              <w:jc w:val="center"/>
              <w:rPr>
                <w:rFonts w:eastAsia="Times New Roman"/>
                <w:b/>
                <w:b/>
                <w:sz w:val="20"/>
                <w:szCs w:val="20"/>
              </w:rPr>
            </w:pPr>
            <w:r>
              <w:rPr>
                <w:rFonts w:eastAsia="Times New Roman"/>
                <w:b/>
                <w:sz w:val="20"/>
                <w:szCs w:val="20"/>
              </w:rPr>
              <w:t>-</w:t>
            </w:r>
          </w:p>
        </w:tc>
        <w:tc>
          <w:tcPr>
            <w:tcW w:w="715" w:type="dxa"/>
            <w:tcBorders>
              <w:left w:val="nil"/>
            </w:tcBorders>
          </w:tcPr>
          <w:p>
            <w:pPr>
              <w:pStyle w:val="Normal"/>
              <w:spacing w:lineRule="auto" w:line="240"/>
              <w:jc w:val="center"/>
              <w:rPr>
                <w:rFonts w:eastAsia="Times New Roman"/>
                <w:b/>
                <w:b/>
                <w:sz w:val="20"/>
                <w:szCs w:val="20"/>
              </w:rPr>
            </w:pPr>
            <w:r>
              <w:rPr>
                <w:rFonts w:eastAsia="Times New Roman"/>
                <w:b/>
                <w:sz w:val="20"/>
                <w:szCs w:val="20"/>
              </w:rPr>
              <w:t>-</w:t>
            </w:r>
          </w:p>
        </w:tc>
      </w:tr>
      <w:tr>
        <w:trPr/>
        <w:tc>
          <w:tcPr>
            <w:tcW w:w="456" w:type="dxa"/>
            <w:tcBorders>
              <w:right w:val="nil"/>
            </w:tcBorders>
          </w:tcPr>
          <w:p>
            <w:pPr>
              <w:pStyle w:val="Normal"/>
              <w:spacing w:lineRule="auto" w:line="240"/>
              <w:jc w:val="center"/>
              <w:rPr>
                <w:sz w:val="20"/>
                <w:szCs w:val="20"/>
              </w:rPr>
            </w:pPr>
            <w:r>
              <w:rPr>
                <w:sz w:val="20"/>
                <w:szCs w:val="20"/>
              </w:rPr>
              <w:t>6</w:t>
            </w:r>
          </w:p>
        </w:tc>
        <w:tc>
          <w:tcPr>
            <w:tcW w:w="4216" w:type="dxa"/>
            <w:tcBorders/>
            <w:shd w:color="auto" w:fill="auto" w:val="clear"/>
          </w:tcPr>
          <w:p>
            <w:pPr>
              <w:pStyle w:val="Normal"/>
              <w:spacing w:lineRule="auto" w:line="240"/>
              <w:jc w:val="left"/>
              <w:rPr>
                <w:sz w:val="20"/>
                <w:szCs w:val="20"/>
              </w:rPr>
            </w:pPr>
            <w:r>
              <w:rPr>
                <w:sz w:val="20"/>
                <w:szCs w:val="20"/>
              </w:rPr>
              <w:t>Переулок № 3 от ул. Береговой до ул. Новая</w:t>
            </w:r>
          </w:p>
        </w:tc>
        <w:tc>
          <w:tcPr>
            <w:tcW w:w="851" w:type="dxa"/>
            <w:tcBorders>
              <w:top w:val="nil"/>
              <w:left w:val="nil"/>
            </w:tcBorders>
            <w:shd w:color="auto" w:fill="auto" w:val="clear"/>
            <w:vAlign w:val="center"/>
          </w:tcPr>
          <w:p>
            <w:pPr>
              <w:pStyle w:val="Normal"/>
              <w:spacing w:lineRule="auto" w:line="240"/>
              <w:jc w:val="center"/>
              <w:rPr>
                <w:rFonts w:eastAsia="Times New Roman"/>
                <w:sz w:val="20"/>
                <w:szCs w:val="20"/>
                <w:lang w:eastAsia="ru-RU"/>
              </w:rPr>
            </w:pPr>
            <w:r>
              <w:rPr>
                <w:sz w:val="20"/>
                <w:szCs w:val="20"/>
              </w:rPr>
              <w:t>300</w:t>
            </w:r>
          </w:p>
        </w:tc>
        <w:tc>
          <w:tcPr>
            <w:tcW w:w="1134" w:type="dxa"/>
            <w:tcBorders/>
            <w:shd w:color="auto" w:fill="auto" w:val="clear"/>
            <w:vAlign w:val="center"/>
          </w:tcPr>
          <w:p>
            <w:pPr>
              <w:pStyle w:val="Normal"/>
              <w:spacing w:lineRule="auto" w:line="240"/>
              <w:jc w:val="center"/>
              <w:rPr>
                <w:rFonts w:eastAsia="Times New Roman"/>
                <w:sz w:val="20"/>
                <w:szCs w:val="20"/>
                <w:lang w:eastAsia="ru-RU"/>
              </w:rPr>
            </w:pPr>
            <w:r>
              <w:rPr>
                <w:sz w:val="20"/>
                <w:szCs w:val="20"/>
              </w:rPr>
              <w:t>1800</w:t>
            </w:r>
          </w:p>
        </w:tc>
        <w:tc>
          <w:tcPr>
            <w:tcW w:w="701"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716"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850" w:type="dxa"/>
            <w:tcBorders>
              <w:left w:val="nil"/>
              <w:right w:val="nil"/>
            </w:tcBorders>
          </w:tcPr>
          <w:p>
            <w:pPr>
              <w:pStyle w:val="Normal"/>
              <w:spacing w:lineRule="auto" w:line="240"/>
              <w:jc w:val="center"/>
              <w:rPr>
                <w:rFonts w:eastAsia="Times New Roman"/>
                <w:b/>
                <w:b/>
                <w:sz w:val="20"/>
                <w:szCs w:val="20"/>
              </w:rPr>
            </w:pPr>
            <w:r>
              <w:rPr>
                <w:rFonts w:eastAsia="Times New Roman"/>
                <w:b/>
                <w:sz w:val="20"/>
                <w:szCs w:val="20"/>
              </w:rPr>
              <w:t>-</w:t>
            </w:r>
          </w:p>
        </w:tc>
        <w:tc>
          <w:tcPr>
            <w:tcW w:w="715" w:type="dxa"/>
            <w:tcBorders>
              <w:left w:val="nil"/>
            </w:tcBorders>
          </w:tcPr>
          <w:p>
            <w:pPr>
              <w:pStyle w:val="Normal"/>
              <w:spacing w:lineRule="auto" w:line="240"/>
              <w:jc w:val="center"/>
              <w:rPr>
                <w:rFonts w:eastAsia="Times New Roman"/>
                <w:b/>
                <w:b/>
                <w:sz w:val="20"/>
                <w:szCs w:val="20"/>
              </w:rPr>
            </w:pPr>
            <w:r>
              <w:rPr>
                <w:rFonts w:eastAsia="Times New Roman"/>
                <w:b/>
                <w:sz w:val="20"/>
                <w:szCs w:val="20"/>
              </w:rPr>
              <w:t>-</w:t>
            </w:r>
          </w:p>
        </w:tc>
      </w:tr>
      <w:tr>
        <w:trPr/>
        <w:tc>
          <w:tcPr>
            <w:tcW w:w="456" w:type="dxa"/>
            <w:tcBorders>
              <w:right w:val="nil"/>
            </w:tcBorders>
          </w:tcPr>
          <w:p>
            <w:pPr>
              <w:pStyle w:val="Normal"/>
              <w:spacing w:lineRule="auto" w:line="240"/>
              <w:jc w:val="center"/>
              <w:rPr>
                <w:sz w:val="20"/>
                <w:szCs w:val="20"/>
              </w:rPr>
            </w:pPr>
            <w:r>
              <w:rPr>
                <w:sz w:val="20"/>
                <w:szCs w:val="20"/>
              </w:rPr>
              <w:t>7</w:t>
            </w:r>
          </w:p>
        </w:tc>
        <w:tc>
          <w:tcPr>
            <w:tcW w:w="4216" w:type="dxa"/>
            <w:tcBorders/>
            <w:shd w:color="auto" w:fill="auto" w:val="clear"/>
          </w:tcPr>
          <w:p>
            <w:pPr>
              <w:pStyle w:val="Normal"/>
              <w:spacing w:lineRule="auto" w:line="240"/>
              <w:jc w:val="left"/>
              <w:rPr>
                <w:sz w:val="20"/>
                <w:szCs w:val="20"/>
              </w:rPr>
            </w:pPr>
            <w:r>
              <w:rPr>
                <w:b/>
                <w:sz w:val="20"/>
                <w:szCs w:val="20"/>
              </w:rPr>
              <w:t>Итого по населенному пункту</w:t>
            </w:r>
          </w:p>
        </w:tc>
        <w:tc>
          <w:tcPr>
            <w:tcW w:w="851" w:type="dxa"/>
            <w:tcBorders>
              <w:top w:val="nil"/>
              <w:left w:val="nil"/>
            </w:tcBorders>
            <w:shd w:color="auto" w:fill="auto" w:val="clear"/>
            <w:vAlign w:val="center"/>
          </w:tcPr>
          <w:p>
            <w:pPr>
              <w:pStyle w:val="Normal"/>
              <w:spacing w:lineRule="auto" w:line="240"/>
              <w:jc w:val="center"/>
              <w:rPr>
                <w:rFonts w:eastAsia="Times New Roman"/>
                <w:sz w:val="20"/>
                <w:szCs w:val="20"/>
                <w:lang w:eastAsia="ru-RU"/>
              </w:rPr>
            </w:pPr>
            <w:r>
              <w:rPr>
                <w:b/>
                <w:sz w:val="20"/>
                <w:szCs w:val="20"/>
              </w:rPr>
              <w:t>2900</w:t>
            </w:r>
          </w:p>
        </w:tc>
        <w:tc>
          <w:tcPr>
            <w:tcW w:w="1134" w:type="dxa"/>
            <w:tcBorders/>
            <w:shd w:color="auto" w:fill="auto" w:val="clear"/>
            <w:vAlign w:val="center"/>
          </w:tcPr>
          <w:p>
            <w:pPr>
              <w:pStyle w:val="Normal"/>
              <w:spacing w:lineRule="auto" w:line="240"/>
              <w:jc w:val="center"/>
              <w:rPr>
                <w:rFonts w:eastAsia="Times New Roman"/>
                <w:sz w:val="20"/>
                <w:szCs w:val="20"/>
                <w:lang w:eastAsia="ru-RU"/>
              </w:rPr>
            </w:pPr>
            <w:r>
              <w:rPr>
                <w:b/>
                <w:sz w:val="20"/>
                <w:szCs w:val="20"/>
              </w:rPr>
              <w:t>15600</w:t>
            </w:r>
          </w:p>
        </w:tc>
        <w:tc>
          <w:tcPr>
            <w:tcW w:w="701"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716"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850" w:type="dxa"/>
            <w:tcBorders>
              <w:left w:val="nil"/>
              <w:right w:val="nil"/>
            </w:tcBorders>
          </w:tcPr>
          <w:p>
            <w:pPr>
              <w:pStyle w:val="Normal"/>
              <w:spacing w:lineRule="auto" w:line="240"/>
              <w:jc w:val="center"/>
              <w:rPr>
                <w:rFonts w:eastAsia="Times New Roman"/>
                <w:b/>
                <w:b/>
                <w:sz w:val="20"/>
                <w:szCs w:val="20"/>
              </w:rPr>
            </w:pPr>
            <w:r>
              <w:rPr>
                <w:rFonts w:eastAsia="Times New Roman"/>
                <w:b/>
                <w:sz w:val="20"/>
                <w:szCs w:val="20"/>
              </w:rPr>
              <w:t>-</w:t>
            </w:r>
          </w:p>
        </w:tc>
        <w:tc>
          <w:tcPr>
            <w:tcW w:w="715" w:type="dxa"/>
            <w:tcBorders>
              <w:left w:val="nil"/>
            </w:tcBorders>
          </w:tcPr>
          <w:p>
            <w:pPr>
              <w:pStyle w:val="Normal"/>
              <w:spacing w:lineRule="auto" w:line="240"/>
              <w:jc w:val="center"/>
              <w:rPr>
                <w:rFonts w:eastAsia="Times New Roman"/>
                <w:b/>
                <w:b/>
                <w:sz w:val="20"/>
                <w:szCs w:val="20"/>
              </w:rPr>
            </w:pPr>
            <w:r>
              <w:rPr>
                <w:rFonts w:eastAsia="Times New Roman"/>
                <w:b/>
                <w:sz w:val="20"/>
                <w:szCs w:val="20"/>
              </w:rPr>
              <w:t>-</w:t>
            </w:r>
          </w:p>
        </w:tc>
      </w:tr>
      <w:tr>
        <w:trPr/>
        <w:tc>
          <w:tcPr>
            <w:tcW w:w="9639" w:type="dxa"/>
            <w:gridSpan w:val="8"/>
            <w:tcBorders/>
          </w:tcPr>
          <w:p>
            <w:pPr>
              <w:pStyle w:val="Normal"/>
              <w:spacing w:lineRule="auto" w:line="240"/>
              <w:jc w:val="center"/>
              <w:rPr>
                <w:rFonts w:eastAsia="Times New Roman"/>
                <w:b/>
                <w:b/>
                <w:sz w:val="20"/>
                <w:szCs w:val="20"/>
              </w:rPr>
            </w:pPr>
            <w:r>
              <w:rPr>
                <w:b/>
                <w:sz w:val="20"/>
                <w:szCs w:val="20"/>
              </w:rPr>
              <w:t>п. Комсомольский</w:t>
            </w:r>
          </w:p>
        </w:tc>
      </w:tr>
      <w:tr>
        <w:trPr/>
        <w:tc>
          <w:tcPr>
            <w:tcW w:w="456" w:type="dxa"/>
            <w:tcBorders>
              <w:right w:val="nil"/>
            </w:tcBorders>
          </w:tcPr>
          <w:p>
            <w:pPr>
              <w:pStyle w:val="Normal"/>
              <w:spacing w:lineRule="auto" w:line="240"/>
              <w:jc w:val="center"/>
              <w:rPr>
                <w:sz w:val="20"/>
                <w:szCs w:val="20"/>
              </w:rPr>
            </w:pPr>
            <w:r>
              <w:rPr>
                <w:sz w:val="20"/>
                <w:szCs w:val="20"/>
              </w:rPr>
              <w:t>1</w:t>
            </w:r>
          </w:p>
        </w:tc>
        <w:tc>
          <w:tcPr>
            <w:tcW w:w="4216" w:type="dxa"/>
            <w:tcBorders/>
            <w:shd w:color="auto" w:fill="auto" w:val="clear"/>
          </w:tcPr>
          <w:p>
            <w:pPr>
              <w:pStyle w:val="Normal"/>
              <w:spacing w:lineRule="auto" w:line="240"/>
              <w:jc w:val="left"/>
              <w:rPr>
                <w:rFonts w:eastAsia="Times New Roman"/>
                <w:sz w:val="20"/>
                <w:szCs w:val="20"/>
                <w:lang w:eastAsia="ru-RU"/>
              </w:rPr>
            </w:pPr>
            <w:r>
              <w:rPr>
                <w:sz w:val="20"/>
                <w:szCs w:val="20"/>
              </w:rPr>
              <w:t>Ул. Мира от д.1 до д.16</w:t>
            </w:r>
          </w:p>
        </w:tc>
        <w:tc>
          <w:tcPr>
            <w:tcW w:w="851" w:type="dxa"/>
            <w:tcBorders>
              <w:left w:val="nil"/>
            </w:tcBorders>
            <w:shd w:color="auto" w:fill="auto" w:val="clear"/>
            <w:vAlign w:val="center"/>
          </w:tcPr>
          <w:p>
            <w:pPr>
              <w:pStyle w:val="Normal"/>
              <w:spacing w:lineRule="auto" w:line="240"/>
              <w:jc w:val="center"/>
              <w:rPr>
                <w:rFonts w:eastAsia="Times New Roman"/>
                <w:sz w:val="20"/>
                <w:szCs w:val="20"/>
                <w:lang w:eastAsia="ru-RU"/>
              </w:rPr>
            </w:pPr>
            <w:r>
              <w:rPr>
                <w:sz w:val="20"/>
                <w:szCs w:val="20"/>
              </w:rPr>
              <w:t>1200</w:t>
            </w:r>
          </w:p>
        </w:tc>
        <w:tc>
          <w:tcPr>
            <w:tcW w:w="1134" w:type="dxa"/>
            <w:tcBorders/>
            <w:shd w:color="auto" w:fill="auto" w:val="clear"/>
            <w:vAlign w:val="center"/>
          </w:tcPr>
          <w:p>
            <w:pPr>
              <w:pStyle w:val="Normal"/>
              <w:spacing w:lineRule="auto" w:line="240"/>
              <w:jc w:val="center"/>
              <w:rPr>
                <w:rFonts w:eastAsia="Times New Roman"/>
                <w:sz w:val="20"/>
                <w:szCs w:val="20"/>
                <w:lang w:eastAsia="ru-RU"/>
              </w:rPr>
            </w:pPr>
            <w:r>
              <w:rPr>
                <w:sz w:val="20"/>
                <w:szCs w:val="20"/>
              </w:rPr>
              <w:t>7200</w:t>
            </w:r>
          </w:p>
        </w:tc>
        <w:tc>
          <w:tcPr>
            <w:tcW w:w="701"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716"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850" w:type="dxa"/>
            <w:tcBorders>
              <w:left w:val="nil"/>
              <w:right w:val="nil"/>
            </w:tcBorders>
            <w:vAlign w:val="center"/>
          </w:tcPr>
          <w:p>
            <w:pPr>
              <w:pStyle w:val="Normal"/>
              <w:spacing w:lineRule="auto" w:line="240"/>
              <w:jc w:val="center"/>
              <w:rPr>
                <w:rFonts w:eastAsia="Times New Roman"/>
                <w:sz w:val="20"/>
                <w:szCs w:val="20"/>
              </w:rPr>
            </w:pPr>
            <w:r>
              <w:rPr>
                <w:sz w:val="20"/>
                <w:szCs w:val="20"/>
              </w:rPr>
              <w:t>1200</w:t>
            </w:r>
          </w:p>
        </w:tc>
        <w:tc>
          <w:tcPr>
            <w:tcW w:w="715" w:type="dxa"/>
            <w:tcBorders>
              <w:left w:val="nil"/>
            </w:tcBorders>
            <w:vAlign w:val="center"/>
          </w:tcPr>
          <w:p>
            <w:pPr>
              <w:pStyle w:val="Normal"/>
              <w:spacing w:lineRule="auto" w:line="240"/>
              <w:jc w:val="center"/>
              <w:rPr>
                <w:rFonts w:eastAsia="Times New Roman"/>
                <w:sz w:val="20"/>
                <w:szCs w:val="20"/>
              </w:rPr>
            </w:pPr>
            <w:r>
              <w:rPr>
                <w:sz w:val="20"/>
                <w:szCs w:val="20"/>
              </w:rPr>
              <w:t>7200</w:t>
            </w:r>
          </w:p>
        </w:tc>
      </w:tr>
      <w:tr>
        <w:trPr/>
        <w:tc>
          <w:tcPr>
            <w:tcW w:w="456" w:type="dxa"/>
            <w:tcBorders>
              <w:right w:val="nil"/>
            </w:tcBorders>
          </w:tcPr>
          <w:p>
            <w:pPr>
              <w:pStyle w:val="Normal"/>
              <w:spacing w:lineRule="auto" w:line="240"/>
              <w:jc w:val="center"/>
              <w:rPr>
                <w:sz w:val="20"/>
                <w:szCs w:val="20"/>
              </w:rPr>
            </w:pPr>
            <w:r>
              <w:rPr>
                <w:sz w:val="20"/>
                <w:szCs w:val="20"/>
              </w:rPr>
              <w:t>2</w:t>
            </w:r>
          </w:p>
        </w:tc>
        <w:tc>
          <w:tcPr>
            <w:tcW w:w="4216" w:type="dxa"/>
            <w:tcBorders/>
            <w:shd w:color="auto" w:fill="auto" w:val="clear"/>
          </w:tcPr>
          <w:p>
            <w:pPr>
              <w:pStyle w:val="Normal"/>
              <w:spacing w:lineRule="auto" w:line="240"/>
              <w:jc w:val="left"/>
              <w:rPr>
                <w:rFonts w:eastAsia="Times New Roman"/>
                <w:sz w:val="20"/>
                <w:szCs w:val="20"/>
                <w:lang w:eastAsia="ru-RU"/>
              </w:rPr>
            </w:pPr>
            <w:r>
              <w:rPr>
                <w:sz w:val="20"/>
                <w:szCs w:val="20"/>
              </w:rPr>
              <w:t>Ул. Степная от д. 2 до д. 15</w:t>
            </w:r>
          </w:p>
        </w:tc>
        <w:tc>
          <w:tcPr>
            <w:tcW w:w="851" w:type="dxa"/>
            <w:tcBorders>
              <w:top w:val="nil"/>
              <w:left w:val="nil"/>
            </w:tcBorders>
            <w:shd w:color="auto" w:fill="auto" w:val="clear"/>
            <w:vAlign w:val="center"/>
          </w:tcPr>
          <w:p>
            <w:pPr>
              <w:pStyle w:val="Normal"/>
              <w:spacing w:lineRule="auto" w:line="240"/>
              <w:jc w:val="center"/>
              <w:rPr>
                <w:rFonts w:eastAsia="Times New Roman"/>
                <w:sz w:val="20"/>
                <w:szCs w:val="20"/>
                <w:lang w:eastAsia="ru-RU"/>
              </w:rPr>
            </w:pPr>
            <w:r>
              <w:rPr>
                <w:sz w:val="20"/>
                <w:szCs w:val="20"/>
              </w:rPr>
              <w:t>550</w:t>
            </w:r>
          </w:p>
        </w:tc>
        <w:tc>
          <w:tcPr>
            <w:tcW w:w="1134" w:type="dxa"/>
            <w:tcBorders/>
            <w:shd w:color="auto" w:fill="auto" w:val="clear"/>
            <w:vAlign w:val="center"/>
          </w:tcPr>
          <w:p>
            <w:pPr>
              <w:pStyle w:val="Normal"/>
              <w:spacing w:lineRule="auto" w:line="240"/>
              <w:jc w:val="center"/>
              <w:rPr>
                <w:rFonts w:eastAsia="Times New Roman"/>
                <w:sz w:val="20"/>
                <w:szCs w:val="20"/>
                <w:lang w:eastAsia="ru-RU"/>
              </w:rPr>
            </w:pPr>
            <w:r>
              <w:rPr>
                <w:sz w:val="20"/>
                <w:szCs w:val="20"/>
              </w:rPr>
              <w:t>3300</w:t>
            </w:r>
          </w:p>
        </w:tc>
        <w:tc>
          <w:tcPr>
            <w:tcW w:w="701"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716"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850" w:type="dxa"/>
            <w:tcBorders>
              <w:left w:val="nil"/>
              <w:right w:val="nil"/>
            </w:tcBorders>
            <w:vAlign w:val="center"/>
          </w:tcPr>
          <w:p>
            <w:pPr>
              <w:pStyle w:val="Normal"/>
              <w:spacing w:lineRule="auto" w:line="240"/>
              <w:jc w:val="center"/>
              <w:rPr>
                <w:rFonts w:eastAsia="Times New Roman"/>
                <w:sz w:val="20"/>
                <w:szCs w:val="20"/>
              </w:rPr>
            </w:pPr>
            <w:r>
              <w:rPr>
                <w:rFonts w:eastAsia="Times New Roman"/>
                <w:sz w:val="20"/>
                <w:szCs w:val="20"/>
              </w:rPr>
              <w:t>-</w:t>
            </w:r>
          </w:p>
        </w:tc>
        <w:tc>
          <w:tcPr>
            <w:tcW w:w="715" w:type="dxa"/>
            <w:tcBorders>
              <w:left w:val="nil"/>
            </w:tcBorders>
            <w:vAlign w:val="center"/>
          </w:tcPr>
          <w:p>
            <w:pPr>
              <w:pStyle w:val="Normal"/>
              <w:spacing w:lineRule="auto" w:line="240"/>
              <w:jc w:val="center"/>
              <w:rPr>
                <w:rFonts w:eastAsia="Times New Roman"/>
                <w:sz w:val="20"/>
                <w:szCs w:val="20"/>
              </w:rPr>
            </w:pPr>
            <w:r>
              <w:rPr>
                <w:rFonts w:eastAsia="Times New Roman"/>
                <w:sz w:val="20"/>
                <w:szCs w:val="20"/>
              </w:rPr>
              <w:t>-</w:t>
            </w:r>
          </w:p>
        </w:tc>
      </w:tr>
      <w:tr>
        <w:trPr/>
        <w:tc>
          <w:tcPr>
            <w:tcW w:w="456" w:type="dxa"/>
            <w:tcBorders>
              <w:right w:val="nil"/>
            </w:tcBorders>
          </w:tcPr>
          <w:p>
            <w:pPr>
              <w:pStyle w:val="Normal"/>
              <w:spacing w:lineRule="auto" w:line="240"/>
              <w:jc w:val="center"/>
              <w:rPr>
                <w:sz w:val="20"/>
                <w:szCs w:val="20"/>
              </w:rPr>
            </w:pPr>
            <w:r>
              <w:rPr>
                <w:sz w:val="20"/>
                <w:szCs w:val="20"/>
              </w:rPr>
              <w:t>3</w:t>
            </w:r>
          </w:p>
        </w:tc>
        <w:tc>
          <w:tcPr>
            <w:tcW w:w="4216" w:type="dxa"/>
            <w:tcBorders/>
            <w:shd w:color="auto" w:fill="auto" w:val="clear"/>
          </w:tcPr>
          <w:p>
            <w:pPr>
              <w:pStyle w:val="Normal"/>
              <w:spacing w:lineRule="auto" w:line="240"/>
              <w:jc w:val="left"/>
              <w:rPr>
                <w:sz w:val="20"/>
                <w:szCs w:val="20"/>
              </w:rPr>
            </w:pPr>
            <w:r>
              <w:rPr>
                <w:sz w:val="20"/>
                <w:szCs w:val="20"/>
              </w:rPr>
              <w:t>Ул. Центральная от д.1 до д. 17</w:t>
            </w:r>
          </w:p>
        </w:tc>
        <w:tc>
          <w:tcPr>
            <w:tcW w:w="851" w:type="dxa"/>
            <w:tcBorders>
              <w:top w:val="nil"/>
              <w:left w:val="nil"/>
            </w:tcBorders>
            <w:shd w:color="auto" w:fill="auto" w:val="clear"/>
            <w:vAlign w:val="center"/>
          </w:tcPr>
          <w:p>
            <w:pPr>
              <w:pStyle w:val="Normal"/>
              <w:spacing w:lineRule="auto" w:line="240"/>
              <w:jc w:val="center"/>
              <w:rPr>
                <w:sz w:val="20"/>
                <w:szCs w:val="20"/>
              </w:rPr>
            </w:pPr>
            <w:r>
              <w:rPr>
                <w:sz w:val="20"/>
                <w:szCs w:val="20"/>
              </w:rPr>
              <w:t>800</w:t>
            </w:r>
          </w:p>
        </w:tc>
        <w:tc>
          <w:tcPr>
            <w:tcW w:w="1134" w:type="dxa"/>
            <w:tcBorders/>
            <w:shd w:color="auto" w:fill="auto" w:val="clear"/>
            <w:vAlign w:val="center"/>
          </w:tcPr>
          <w:p>
            <w:pPr>
              <w:pStyle w:val="Normal"/>
              <w:spacing w:lineRule="auto" w:line="240"/>
              <w:jc w:val="center"/>
              <w:rPr>
                <w:rFonts w:eastAsia="Times New Roman"/>
                <w:sz w:val="20"/>
                <w:szCs w:val="20"/>
                <w:lang w:eastAsia="ru-RU"/>
              </w:rPr>
            </w:pPr>
            <w:r>
              <w:rPr>
                <w:sz w:val="20"/>
                <w:szCs w:val="20"/>
              </w:rPr>
              <w:t>4800</w:t>
            </w:r>
          </w:p>
        </w:tc>
        <w:tc>
          <w:tcPr>
            <w:tcW w:w="701"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716"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850" w:type="dxa"/>
            <w:tcBorders>
              <w:left w:val="nil"/>
              <w:right w:val="nil"/>
            </w:tcBorders>
            <w:vAlign w:val="center"/>
          </w:tcPr>
          <w:p>
            <w:pPr>
              <w:pStyle w:val="Normal"/>
              <w:spacing w:lineRule="auto" w:line="240"/>
              <w:jc w:val="center"/>
              <w:rPr>
                <w:rFonts w:eastAsia="Times New Roman"/>
                <w:sz w:val="20"/>
                <w:szCs w:val="20"/>
              </w:rPr>
            </w:pPr>
            <w:r>
              <w:rPr>
                <w:sz w:val="20"/>
                <w:szCs w:val="20"/>
              </w:rPr>
              <w:t>800</w:t>
            </w:r>
          </w:p>
        </w:tc>
        <w:tc>
          <w:tcPr>
            <w:tcW w:w="715" w:type="dxa"/>
            <w:tcBorders>
              <w:left w:val="nil"/>
            </w:tcBorders>
            <w:vAlign w:val="center"/>
          </w:tcPr>
          <w:p>
            <w:pPr>
              <w:pStyle w:val="Normal"/>
              <w:spacing w:lineRule="auto" w:line="240"/>
              <w:jc w:val="center"/>
              <w:rPr>
                <w:rFonts w:eastAsia="Times New Roman"/>
                <w:sz w:val="20"/>
                <w:szCs w:val="20"/>
              </w:rPr>
            </w:pPr>
            <w:r>
              <w:rPr>
                <w:sz w:val="20"/>
                <w:szCs w:val="20"/>
              </w:rPr>
              <w:t>4800</w:t>
            </w:r>
          </w:p>
        </w:tc>
      </w:tr>
      <w:tr>
        <w:trPr/>
        <w:tc>
          <w:tcPr>
            <w:tcW w:w="456" w:type="dxa"/>
            <w:tcBorders>
              <w:right w:val="nil"/>
            </w:tcBorders>
          </w:tcPr>
          <w:p>
            <w:pPr>
              <w:pStyle w:val="Normal"/>
              <w:spacing w:lineRule="auto" w:line="240"/>
              <w:jc w:val="center"/>
              <w:rPr>
                <w:sz w:val="20"/>
                <w:szCs w:val="20"/>
              </w:rPr>
            </w:pPr>
            <w:r>
              <w:rPr>
                <w:sz w:val="20"/>
                <w:szCs w:val="20"/>
              </w:rPr>
              <w:t>4</w:t>
            </w:r>
          </w:p>
        </w:tc>
        <w:tc>
          <w:tcPr>
            <w:tcW w:w="4216" w:type="dxa"/>
            <w:tcBorders/>
            <w:shd w:color="auto" w:fill="auto" w:val="clear"/>
          </w:tcPr>
          <w:p>
            <w:pPr>
              <w:pStyle w:val="Normal"/>
              <w:spacing w:lineRule="auto" w:line="240"/>
              <w:jc w:val="left"/>
              <w:rPr>
                <w:sz w:val="20"/>
                <w:szCs w:val="20"/>
              </w:rPr>
            </w:pPr>
            <w:r>
              <w:rPr>
                <w:sz w:val="20"/>
                <w:szCs w:val="20"/>
              </w:rPr>
              <w:t>Ул. Труда от д. 1 до д.9</w:t>
            </w:r>
          </w:p>
        </w:tc>
        <w:tc>
          <w:tcPr>
            <w:tcW w:w="851" w:type="dxa"/>
            <w:tcBorders>
              <w:top w:val="nil"/>
              <w:left w:val="nil"/>
            </w:tcBorders>
            <w:shd w:color="auto" w:fill="auto" w:val="clear"/>
            <w:vAlign w:val="center"/>
          </w:tcPr>
          <w:p>
            <w:pPr>
              <w:pStyle w:val="Normal"/>
              <w:spacing w:lineRule="auto" w:line="240"/>
              <w:jc w:val="center"/>
              <w:rPr>
                <w:sz w:val="20"/>
                <w:szCs w:val="20"/>
              </w:rPr>
            </w:pPr>
            <w:r>
              <w:rPr>
                <w:sz w:val="20"/>
                <w:szCs w:val="20"/>
              </w:rPr>
              <w:t>800</w:t>
            </w:r>
          </w:p>
        </w:tc>
        <w:tc>
          <w:tcPr>
            <w:tcW w:w="1134" w:type="dxa"/>
            <w:tcBorders/>
            <w:shd w:color="auto" w:fill="auto" w:val="clear"/>
            <w:vAlign w:val="center"/>
          </w:tcPr>
          <w:p>
            <w:pPr>
              <w:pStyle w:val="Normal"/>
              <w:spacing w:lineRule="auto" w:line="240"/>
              <w:jc w:val="center"/>
              <w:rPr>
                <w:rFonts w:eastAsia="Times New Roman"/>
                <w:sz w:val="20"/>
                <w:szCs w:val="20"/>
                <w:lang w:eastAsia="ru-RU"/>
              </w:rPr>
            </w:pPr>
            <w:r>
              <w:rPr>
                <w:sz w:val="20"/>
                <w:szCs w:val="20"/>
              </w:rPr>
              <w:t>4800</w:t>
            </w:r>
          </w:p>
        </w:tc>
        <w:tc>
          <w:tcPr>
            <w:tcW w:w="701"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716"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850" w:type="dxa"/>
            <w:tcBorders>
              <w:left w:val="nil"/>
              <w:right w:val="nil"/>
            </w:tcBorders>
            <w:vAlign w:val="center"/>
          </w:tcPr>
          <w:p>
            <w:pPr>
              <w:pStyle w:val="Normal"/>
              <w:spacing w:lineRule="auto" w:line="240"/>
              <w:jc w:val="center"/>
              <w:rPr>
                <w:rFonts w:eastAsia="Times New Roman"/>
                <w:sz w:val="20"/>
                <w:szCs w:val="20"/>
              </w:rPr>
            </w:pPr>
            <w:r>
              <w:rPr>
                <w:rFonts w:eastAsia="Times New Roman"/>
                <w:sz w:val="20"/>
                <w:szCs w:val="20"/>
              </w:rPr>
              <w:t>-</w:t>
            </w:r>
          </w:p>
        </w:tc>
        <w:tc>
          <w:tcPr>
            <w:tcW w:w="715" w:type="dxa"/>
            <w:tcBorders>
              <w:left w:val="nil"/>
            </w:tcBorders>
            <w:vAlign w:val="center"/>
          </w:tcPr>
          <w:p>
            <w:pPr>
              <w:pStyle w:val="Normal"/>
              <w:spacing w:lineRule="auto" w:line="240"/>
              <w:jc w:val="center"/>
              <w:rPr>
                <w:rFonts w:eastAsia="Times New Roman"/>
                <w:sz w:val="20"/>
                <w:szCs w:val="20"/>
              </w:rPr>
            </w:pPr>
            <w:r>
              <w:rPr>
                <w:rFonts w:eastAsia="Times New Roman"/>
                <w:sz w:val="20"/>
                <w:szCs w:val="20"/>
              </w:rPr>
              <w:t>-</w:t>
            </w:r>
          </w:p>
        </w:tc>
      </w:tr>
      <w:tr>
        <w:trPr/>
        <w:tc>
          <w:tcPr>
            <w:tcW w:w="456" w:type="dxa"/>
            <w:tcBorders>
              <w:right w:val="nil"/>
            </w:tcBorders>
          </w:tcPr>
          <w:p>
            <w:pPr>
              <w:pStyle w:val="Normal"/>
              <w:spacing w:lineRule="auto" w:line="240"/>
              <w:jc w:val="center"/>
              <w:rPr>
                <w:sz w:val="20"/>
                <w:szCs w:val="20"/>
              </w:rPr>
            </w:pPr>
            <w:r>
              <w:rPr>
                <w:sz w:val="20"/>
                <w:szCs w:val="20"/>
              </w:rPr>
              <w:t>5</w:t>
            </w:r>
          </w:p>
        </w:tc>
        <w:tc>
          <w:tcPr>
            <w:tcW w:w="4216" w:type="dxa"/>
            <w:tcBorders/>
            <w:shd w:color="auto" w:fill="auto" w:val="clear"/>
          </w:tcPr>
          <w:p>
            <w:pPr>
              <w:pStyle w:val="Normal"/>
              <w:spacing w:lineRule="auto" w:line="240"/>
              <w:jc w:val="left"/>
              <w:rPr>
                <w:sz w:val="20"/>
                <w:szCs w:val="20"/>
              </w:rPr>
            </w:pPr>
            <w:r>
              <w:rPr>
                <w:sz w:val="20"/>
                <w:szCs w:val="20"/>
              </w:rPr>
              <w:t>Переулок 3 1 от ул. Центральная до ул. Труда</w:t>
            </w:r>
          </w:p>
        </w:tc>
        <w:tc>
          <w:tcPr>
            <w:tcW w:w="851" w:type="dxa"/>
            <w:tcBorders>
              <w:top w:val="nil"/>
              <w:left w:val="nil"/>
            </w:tcBorders>
            <w:shd w:color="auto" w:fill="auto" w:val="clear"/>
            <w:vAlign w:val="center"/>
          </w:tcPr>
          <w:p>
            <w:pPr>
              <w:pStyle w:val="Normal"/>
              <w:spacing w:lineRule="auto" w:line="240"/>
              <w:jc w:val="center"/>
              <w:rPr>
                <w:sz w:val="20"/>
                <w:szCs w:val="20"/>
              </w:rPr>
            </w:pPr>
            <w:r>
              <w:rPr>
                <w:sz w:val="20"/>
                <w:szCs w:val="20"/>
              </w:rPr>
              <w:t>150</w:t>
            </w:r>
          </w:p>
        </w:tc>
        <w:tc>
          <w:tcPr>
            <w:tcW w:w="1134" w:type="dxa"/>
            <w:tcBorders/>
            <w:shd w:color="auto" w:fill="auto" w:val="clear"/>
            <w:vAlign w:val="center"/>
          </w:tcPr>
          <w:p>
            <w:pPr>
              <w:pStyle w:val="Normal"/>
              <w:spacing w:lineRule="auto" w:line="240"/>
              <w:jc w:val="center"/>
              <w:rPr>
                <w:rFonts w:eastAsia="Times New Roman"/>
                <w:sz w:val="20"/>
                <w:szCs w:val="20"/>
                <w:lang w:eastAsia="ru-RU"/>
              </w:rPr>
            </w:pPr>
            <w:r>
              <w:rPr>
                <w:sz w:val="20"/>
                <w:szCs w:val="20"/>
              </w:rPr>
              <w:t>900</w:t>
            </w:r>
          </w:p>
        </w:tc>
        <w:tc>
          <w:tcPr>
            <w:tcW w:w="701"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716"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850" w:type="dxa"/>
            <w:tcBorders>
              <w:left w:val="nil"/>
              <w:right w:val="nil"/>
            </w:tcBorders>
            <w:vAlign w:val="center"/>
          </w:tcPr>
          <w:p>
            <w:pPr>
              <w:pStyle w:val="Normal"/>
              <w:spacing w:lineRule="auto" w:line="240"/>
              <w:jc w:val="center"/>
              <w:rPr>
                <w:rFonts w:eastAsia="Times New Roman"/>
                <w:sz w:val="20"/>
                <w:szCs w:val="20"/>
              </w:rPr>
            </w:pPr>
            <w:r>
              <w:rPr>
                <w:rFonts w:eastAsia="Times New Roman"/>
                <w:sz w:val="20"/>
                <w:szCs w:val="20"/>
              </w:rPr>
              <w:t>-</w:t>
            </w:r>
          </w:p>
        </w:tc>
        <w:tc>
          <w:tcPr>
            <w:tcW w:w="715" w:type="dxa"/>
            <w:tcBorders>
              <w:left w:val="nil"/>
            </w:tcBorders>
            <w:vAlign w:val="center"/>
          </w:tcPr>
          <w:p>
            <w:pPr>
              <w:pStyle w:val="Normal"/>
              <w:spacing w:lineRule="auto" w:line="240"/>
              <w:jc w:val="center"/>
              <w:rPr>
                <w:rFonts w:eastAsia="Times New Roman"/>
                <w:sz w:val="20"/>
                <w:szCs w:val="20"/>
              </w:rPr>
            </w:pPr>
            <w:r>
              <w:rPr>
                <w:rFonts w:eastAsia="Times New Roman"/>
                <w:sz w:val="20"/>
                <w:szCs w:val="20"/>
              </w:rPr>
              <w:t>-</w:t>
            </w:r>
          </w:p>
        </w:tc>
      </w:tr>
      <w:tr>
        <w:trPr/>
        <w:tc>
          <w:tcPr>
            <w:tcW w:w="456" w:type="dxa"/>
            <w:tcBorders>
              <w:right w:val="nil"/>
            </w:tcBorders>
          </w:tcPr>
          <w:p>
            <w:pPr>
              <w:pStyle w:val="Normal"/>
              <w:spacing w:lineRule="auto" w:line="240"/>
              <w:jc w:val="center"/>
              <w:rPr>
                <w:sz w:val="20"/>
                <w:szCs w:val="20"/>
              </w:rPr>
            </w:pPr>
            <w:r>
              <w:rPr>
                <w:sz w:val="20"/>
                <w:szCs w:val="20"/>
              </w:rPr>
              <w:t>6</w:t>
            </w:r>
          </w:p>
        </w:tc>
        <w:tc>
          <w:tcPr>
            <w:tcW w:w="4216" w:type="dxa"/>
            <w:tcBorders/>
            <w:shd w:color="auto" w:fill="auto" w:val="clear"/>
          </w:tcPr>
          <w:p>
            <w:pPr>
              <w:pStyle w:val="Normal"/>
              <w:spacing w:lineRule="auto" w:line="240"/>
              <w:jc w:val="left"/>
              <w:rPr>
                <w:sz w:val="20"/>
                <w:szCs w:val="20"/>
              </w:rPr>
            </w:pPr>
            <w:r>
              <w:rPr>
                <w:b/>
                <w:sz w:val="20"/>
                <w:szCs w:val="20"/>
              </w:rPr>
              <w:t>Итого по населенному пункту</w:t>
            </w:r>
          </w:p>
        </w:tc>
        <w:tc>
          <w:tcPr>
            <w:tcW w:w="851" w:type="dxa"/>
            <w:tcBorders>
              <w:top w:val="nil"/>
              <w:left w:val="nil"/>
            </w:tcBorders>
            <w:shd w:color="auto" w:fill="auto" w:val="clear"/>
            <w:vAlign w:val="center"/>
          </w:tcPr>
          <w:p>
            <w:pPr>
              <w:pStyle w:val="Normal"/>
              <w:spacing w:lineRule="auto" w:line="240"/>
              <w:jc w:val="center"/>
              <w:rPr>
                <w:sz w:val="20"/>
                <w:szCs w:val="20"/>
              </w:rPr>
            </w:pPr>
            <w:r>
              <w:rPr>
                <w:b/>
                <w:sz w:val="20"/>
                <w:szCs w:val="20"/>
              </w:rPr>
              <w:t>3500</w:t>
            </w:r>
          </w:p>
        </w:tc>
        <w:tc>
          <w:tcPr>
            <w:tcW w:w="1134" w:type="dxa"/>
            <w:tcBorders/>
            <w:shd w:color="auto" w:fill="auto" w:val="clear"/>
            <w:vAlign w:val="center"/>
          </w:tcPr>
          <w:p>
            <w:pPr>
              <w:pStyle w:val="Normal"/>
              <w:spacing w:lineRule="auto" w:line="240"/>
              <w:jc w:val="center"/>
              <w:rPr>
                <w:sz w:val="20"/>
                <w:szCs w:val="20"/>
              </w:rPr>
            </w:pPr>
            <w:r>
              <w:rPr>
                <w:b/>
                <w:sz w:val="20"/>
                <w:szCs w:val="20"/>
              </w:rPr>
              <w:t>21000</w:t>
            </w:r>
          </w:p>
        </w:tc>
        <w:tc>
          <w:tcPr>
            <w:tcW w:w="701"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716"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850" w:type="dxa"/>
            <w:tcBorders>
              <w:left w:val="nil"/>
              <w:right w:val="nil"/>
            </w:tcBorders>
            <w:vAlign w:val="center"/>
          </w:tcPr>
          <w:p>
            <w:pPr>
              <w:pStyle w:val="Normal"/>
              <w:spacing w:lineRule="auto" w:line="240"/>
              <w:jc w:val="center"/>
              <w:rPr>
                <w:rFonts w:eastAsia="Times New Roman"/>
                <w:sz w:val="20"/>
                <w:szCs w:val="20"/>
              </w:rPr>
            </w:pPr>
            <w:r>
              <w:rPr>
                <w:b/>
                <w:sz w:val="20"/>
                <w:szCs w:val="20"/>
              </w:rPr>
              <w:t>2000</w:t>
            </w:r>
          </w:p>
        </w:tc>
        <w:tc>
          <w:tcPr>
            <w:tcW w:w="715" w:type="dxa"/>
            <w:tcBorders>
              <w:left w:val="nil"/>
            </w:tcBorders>
            <w:vAlign w:val="center"/>
          </w:tcPr>
          <w:p>
            <w:pPr>
              <w:pStyle w:val="Normal"/>
              <w:spacing w:lineRule="auto" w:line="240"/>
              <w:jc w:val="center"/>
              <w:rPr>
                <w:rFonts w:eastAsia="Times New Roman"/>
                <w:sz w:val="20"/>
                <w:szCs w:val="20"/>
              </w:rPr>
            </w:pPr>
            <w:r>
              <w:rPr>
                <w:b/>
                <w:sz w:val="20"/>
                <w:szCs w:val="20"/>
              </w:rPr>
              <w:t>7200</w:t>
            </w:r>
          </w:p>
        </w:tc>
      </w:tr>
      <w:tr>
        <w:trPr/>
        <w:tc>
          <w:tcPr>
            <w:tcW w:w="9639" w:type="dxa"/>
            <w:gridSpan w:val="8"/>
            <w:tcBorders/>
          </w:tcPr>
          <w:p>
            <w:pPr>
              <w:pStyle w:val="Normal"/>
              <w:spacing w:lineRule="auto" w:line="240"/>
              <w:jc w:val="center"/>
              <w:rPr>
                <w:rFonts w:eastAsia="Times New Roman"/>
                <w:b/>
                <w:b/>
                <w:sz w:val="20"/>
                <w:szCs w:val="20"/>
              </w:rPr>
            </w:pPr>
            <w:r>
              <w:rPr>
                <w:b/>
                <w:sz w:val="20"/>
                <w:szCs w:val="20"/>
              </w:rPr>
              <w:t>п. Красноармейский</w:t>
            </w:r>
          </w:p>
        </w:tc>
      </w:tr>
      <w:tr>
        <w:trPr/>
        <w:tc>
          <w:tcPr>
            <w:tcW w:w="456" w:type="dxa"/>
            <w:tcBorders>
              <w:right w:val="nil"/>
            </w:tcBorders>
          </w:tcPr>
          <w:p>
            <w:pPr>
              <w:pStyle w:val="Normal"/>
              <w:spacing w:lineRule="auto" w:line="240"/>
              <w:jc w:val="center"/>
              <w:rPr>
                <w:sz w:val="20"/>
                <w:szCs w:val="20"/>
              </w:rPr>
            </w:pPr>
            <w:r>
              <w:rPr>
                <w:sz w:val="20"/>
                <w:szCs w:val="20"/>
              </w:rPr>
              <w:t>1</w:t>
            </w:r>
          </w:p>
        </w:tc>
        <w:tc>
          <w:tcPr>
            <w:tcW w:w="4216" w:type="dxa"/>
            <w:tcBorders/>
            <w:shd w:color="auto" w:fill="auto" w:val="clear"/>
          </w:tcPr>
          <w:p>
            <w:pPr>
              <w:pStyle w:val="Normal"/>
              <w:spacing w:lineRule="auto" w:line="240"/>
              <w:jc w:val="left"/>
              <w:rPr>
                <w:rFonts w:eastAsia="Times New Roman"/>
                <w:sz w:val="20"/>
                <w:szCs w:val="20"/>
                <w:lang w:eastAsia="ru-RU"/>
              </w:rPr>
            </w:pPr>
            <w:r>
              <w:rPr>
                <w:sz w:val="20"/>
                <w:szCs w:val="20"/>
              </w:rPr>
              <w:t>Переулок Школьный от д. 1до д. 15</w:t>
            </w:r>
          </w:p>
        </w:tc>
        <w:tc>
          <w:tcPr>
            <w:tcW w:w="851" w:type="dxa"/>
            <w:tcBorders>
              <w:top w:val="nil"/>
              <w:left w:val="nil"/>
            </w:tcBorders>
            <w:shd w:color="auto" w:fill="auto" w:val="clear"/>
            <w:vAlign w:val="center"/>
          </w:tcPr>
          <w:p>
            <w:pPr>
              <w:pStyle w:val="Normal"/>
              <w:spacing w:lineRule="auto" w:line="240"/>
              <w:jc w:val="center"/>
              <w:rPr>
                <w:rFonts w:eastAsia="Times New Roman"/>
                <w:sz w:val="20"/>
                <w:szCs w:val="20"/>
                <w:lang w:eastAsia="ru-RU"/>
              </w:rPr>
            </w:pPr>
            <w:r>
              <w:rPr>
                <w:sz w:val="20"/>
                <w:szCs w:val="20"/>
              </w:rPr>
              <w:t>350</w:t>
            </w:r>
          </w:p>
        </w:tc>
        <w:tc>
          <w:tcPr>
            <w:tcW w:w="1134" w:type="dxa"/>
            <w:tcBorders/>
            <w:shd w:color="auto" w:fill="auto" w:val="clear"/>
            <w:vAlign w:val="center"/>
          </w:tcPr>
          <w:p>
            <w:pPr>
              <w:pStyle w:val="Normal"/>
              <w:spacing w:lineRule="auto" w:line="240"/>
              <w:jc w:val="center"/>
              <w:rPr>
                <w:rFonts w:eastAsia="Times New Roman"/>
                <w:sz w:val="20"/>
                <w:szCs w:val="20"/>
                <w:lang w:eastAsia="ru-RU"/>
              </w:rPr>
            </w:pPr>
            <w:r>
              <w:rPr>
                <w:sz w:val="20"/>
                <w:szCs w:val="20"/>
              </w:rPr>
              <w:t>2100</w:t>
            </w:r>
          </w:p>
        </w:tc>
        <w:tc>
          <w:tcPr>
            <w:tcW w:w="701"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716"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850" w:type="dxa"/>
            <w:tcBorders>
              <w:left w:val="nil"/>
              <w:right w:val="nil"/>
            </w:tcBorders>
            <w:vAlign w:val="center"/>
          </w:tcPr>
          <w:p>
            <w:pPr>
              <w:pStyle w:val="Normal"/>
              <w:spacing w:lineRule="auto" w:line="240"/>
              <w:jc w:val="center"/>
              <w:rPr>
                <w:rFonts w:eastAsia="Times New Roman"/>
                <w:b/>
                <w:b/>
                <w:sz w:val="20"/>
                <w:szCs w:val="20"/>
              </w:rPr>
            </w:pPr>
            <w:r>
              <w:rPr>
                <w:sz w:val="20"/>
                <w:szCs w:val="20"/>
              </w:rPr>
              <w:t>350</w:t>
            </w:r>
          </w:p>
        </w:tc>
        <w:tc>
          <w:tcPr>
            <w:tcW w:w="715" w:type="dxa"/>
            <w:tcBorders>
              <w:left w:val="nil"/>
            </w:tcBorders>
            <w:vAlign w:val="center"/>
          </w:tcPr>
          <w:p>
            <w:pPr>
              <w:pStyle w:val="Normal"/>
              <w:spacing w:lineRule="auto" w:line="240"/>
              <w:jc w:val="center"/>
              <w:rPr>
                <w:rFonts w:eastAsia="Times New Roman"/>
                <w:b/>
                <w:b/>
                <w:sz w:val="20"/>
                <w:szCs w:val="20"/>
              </w:rPr>
            </w:pPr>
            <w:r>
              <w:rPr>
                <w:sz w:val="20"/>
                <w:szCs w:val="20"/>
              </w:rPr>
              <w:t>2100</w:t>
            </w:r>
          </w:p>
        </w:tc>
      </w:tr>
      <w:tr>
        <w:trPr/>
        <w:tc>
          <w:tcPr>
            <w:tcW w:w="456" w:type="dxa"/>
            <w:tcBorders>
              <w:right w:val="nil"/>
            </w:tcBorders>
          </w:tcPr>
          <w:p>
            <w:pPr>
              <w:pStyle w:val="Normal"/>
              <w:spacing w:lineRule="auto" w:line="240"/>
              <w:jc w:val="center"/>
              <w:rPr>
                <w:sz w:val="20"/>
                <w:szCs w:val="20"/>
              </w:rPr>
            </w:pPr>
            <w:r>
              <w:rPr>
                <w:sz w:val="20"/>
                <w:szCs w:val="20"/>
              </w:rPr>
              <w:t>2</w:t>
            </w:r>
          </w:p>
        </w:tc>
        <w:tc>
          <w:tcPr>
            <w:tcW w:w="4216" w:type="dxa"/>
            <w:tcBorders/>
            <w:shd w:color="auto" w:fill="auto" w:val="clear"/>
          </w:tcPr>
          <w:p>
            <w:pPr>
              <w:pStyle w:val="Normal"/>
              <w:spacing w:lineRule="auto" w:line="240"/>
              <w:jc w:val="left"/>
              <w:rPr>
                <w:rFonts w:eastAsia="Times New Roman"/>
                <w:sz w:val="20"/>
                <w:szCs w:val="20"/>
                <w:lang w:eastAsia="ru-RU"/>
              </w:rPr>
            </w:pPr>
            <w:r>
              <w:rPr>
                <w:sz w:val="20"/>
                <w:szCs w:val="20"/>
              </w:rPr>
              <w:t>Ул. Рабочая от д. 1 до д. 22</w:t>
            </w:r>
          </w:p>
        </w:tc>
        <w:tc>
          <w:tcPr>
            <w:tcW w:w="851" w:type="dxa"/>
            <w:tcBorders>
              <w:top w:val="nil"/>
              <w:left w:val="nil"/>
            </w:tcBorders>
            <w:shd w:color="auto" w:fill="auto" w:val="clear"/>
            <w:vAlign w:val="center"/>
          </w:tcPr>
          <w:p>
            <w:pPr>
              <w:pStyle w:val="Normal"/>
              <w:spacing w:lineRule="auto" w:line="240"/>
              <w:jc w:val="center"/>
              <w:rPr>
                <w:rFonts w:eastAsia="Times New Roman"/>
                <w:sz w:val="20"/>
                <w:szCs w:val="20"/>
                <w:lang w:eastAsia="ru-RU"/>
              </w:rPr>
            </w:pPr>
            <w:r>
              <w:rPr>
                <w:sz w:val="20"/>
                <w:szCs w:val="20"/>
              </w:rPr>
              <w:t>650</w:t>
            </w:r>
          </w:p>
        </w:tc>
        <w:tc>
          <w:tcPr>
            <w:tcW w:w="1134" w:type="dxa"/>
            <w:tcBorders/>
            <w:shd w:color="auto" w:fill="auto" w:val="clear"/>
            <w:vAlign w:val="center"/>
          </w:tcPr>
          <w:p>
            <w:pPr>
              <w:pStyle w:val="Normal"/>
              <w:spacing w:lineRule="auto" w:line="240"/>
              <w:jc w:val="center"/>
              <w:rPr>
                <w:rFonts w:eastAsia="Times New Roman"/>
                <w:sz w:val="20"/>
                <w:szCs w:val="20"/>
                <w:lang w:eastAsia="ru-RU"/>
              </w:rPr>
            </w:pPr>
            <w:r>
              <w:rPr>
                <w:sz w:val="20"/>
                <w:szCs w:val="20"/>
              </w:rPr>
              <w:t>3900</w:t>
            </w:r>
          </w:p>
        </w:tc>
        <w:tc>
          <w:tcPr>
            <w:tcW w:w="701"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716"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850" w:type="dxa"/>
            <w:tcBorders>
              <w:left w:val="nil"/>
              <w:right w:val="nil"/>
            </w:tcBorders>
            <w:vAlign w:val="center"/>
          </w:tcPr>
          <w:p>
            <w:pPr>
              <w:pStyle w:val="Normal"/>
              <w:spacing w:lineRule="auto" w:line="240"/>
              <w:jc w:val="center"/>
              <w:rPr>
                <w:rFonts w:eastAsia="Times New Roman"/>
                <w:b/>
                <w:b/>
                <w:sz w:val="20"/>
                <w:szCs w:val="20"/>
              </w:rPr>
            </w:pPr>
            <w:r>
              <w:rPr>
                <w:rFonts w:eastAsia="Times New Roman"/>
                <w:b/>
                <w:sz w:val="20"/>
                <w:szCs w:val="20"/>
              </w:rPr>
            </w:r>
          </w:p>
        </w:tc>
        <w:tc>
          <w:tcPr>
            <w:tcW w:w="715" w:type="dxa"/>
            <w:tcBorders>
              <w:left w:val="nil"/>
            </w:tcBorders>
            <w:vAlign w:val="center"/>
          </w:tcPr>
          <w:p>
            <w:pPr>
              <w:pStyle w:val="Normal"/>
              <w:spacing w:lineRule="auto" w:line="240"/>
              <w:jc w:val="center"/>
              <w:rPr>
                <w:rFonts w:eastAsia="Times New Roman"/>
                <w:b/>
                <w:b/>
                <w:sz w:val="20"/>
                <w:szCs w:val="20"/>
              </w:rPr>
            </w:pPr>
            <w:r>
              <w:rPr>
                <w:rFonts w:eastAsia="Times New Roman"/>
                <w:b/>
                <w:sz w:val="20"/>
                <w:szCs w:val="20"/>
              </w:rPr>
            </w:r>
          </w:p>
        </w:tc>
      </w:tr>
      <w:tr>
        <w:trPr/>
        <w:tc>
          <w:tcPr>
            <w:tcW w:w="456" w:type="dxa"/>
            <w:tcBorders>
              <w:right w:val="nil"/>
            </w:tcBorders>
          </w:tcPr>
          <w:p>
            <w:pPr>
              <w:pStyle w:val="Normal"/>
              <w:spacing w:lineRule="auto" w:line="240"/>
              <w:jc w:val="center"/>
              <w:rPr>
                <w:sz w:val="20"/>
                <w:szCs w:val="20"/>
              </w:rPr>
            </w:pPr>
            <w:r>
              <w:rPr>
                <w:sz w:val="20"/>
                <w:szCs w:val="20"/>
              </w:rPr>
              <w:t>4</w:t>
            </w:r>
          </w:p>
        </w:tc>
        <w:tc>
          <w:tcPr>
            <w:tcW w:w="4216" w:type="dxa"/>
            <w:tcBorders/>
            <w:shd w:color="auto" w:fill="auto" w:val="clear"/>
          </w:tcPr>
          <w:p>
            <w:pPr>
              <w:pStyle w:val="Normal"/>
              <w:spacing w:lineRule="auto" w:line="240"/>
              <w:jc w:val="left"/>
              <w:rPr>
                <w:rFonts w:eastAsia="Times New Roman"/>
                <w:sz w:val="20"/>
                <w:szCs w:val="20"/>
                <w:lang w:eastAsia="ru-RU"/>
              </w:rPr>
            </w:pPr>
            <w:r>
              <w:rPr>
                <w:sz w:val="20"/>
                <w:szCs w:val="20"/>
              </w:rPr>
              <w:t>Ул. Озерная от д. 2б до д. 11</w:t>
            </w:r>
          </w:p>
        </w:tc>
        <w:tc>
          <w:tcPr>
            <w:tcW w:w="851" w:type="dxa"/>
            <w:tcBorders>
              <w:top w:val="nil"/>
              <w:left w:val="nil"/>
            </w:tcBorders>
            <w:shd w:color="auto" w:fill="auto" w:val="clear"/>
            <w:vAlign w:val="center"/>
          </w:tcPr>
          <w:p>
            <w:pPr>
              <w:pStyle w:val="Normal"/>
              <w:spacing w:lineRule="auto" w:line="240"/>
              <w:jc w:val="center"/>
              <w:rPr>
                <w:rFonts w:eastAsia="Times New Roman"/>
                <w:sz w:val="20"/>
                <w:szCs w:val="20"/>
                <w:lang w:eastAsia="ru-RU"/>
              </w:rPr>
            </w:pPr>
            <w:r>
              <w:rPr>
                <w:sz w:val="20"/>
                <w:szCs w:val="20"/>
              </w:rPr>
              <w:t>400</w:t>
            </w:r>
          </w:p>
        </w:tc>
        <w:tc>
          <w:tcPr>
            <w:tcW w:w="1134" w:type="dxa"/>
            <w:tcBorders/>
            <w:shd w:color="auto" w:fill="auto" w:val="clear"/>
            <w:vAlign w:val="center"/>
          </w:tcPr>
          <w:p>
            <w:pPr>
              <w:pStyle w:val="Normal"/>
              <w:spacing w:lineRule="auto" w:line="240"/>
              <w:jc w:val="center"/>
              <w:rPr>
                <w:rFonts w:eastAsia="Times New Roman"/>
                <w:sz w:val="20"/>
                <w:szCs w:val="20"/>
                <w:lang w:eastAsia="ru-RU"/>
              </w:rPr>
            </w:pPr>
            <w:r>
              <w:rPr>
                <w:sz w:val="20"/>
                <w:szCs w:val="20"/>
              </w:rPr>
              <w:t>2400</w:t>
            </w:r>
          </w:p>
        </w:tc>
        <w:tc>
          <w:tcPr>
            <w:tcW w:w="701"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716"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850" w:type="dxa"/>
            <w:tcBorders>
              <w:left w:val="nil"/>
              <w:right w:val="nil"/>
            </w:tcBorders>
            <w:vAlign w:val="center"/>
          </w:tcPr>
          <w:p>
            <w:pPr>
              <w:pStyle w:val="Normal"/>
              <w:spacing w:lineRule="auto" w:line="240"/>
              <w:jc w:val="center"/>
              <w:rPr>
                <w:rFonts w:eastAsia="Times New Roman"/>
                <w:b/>
                <w:b/>
                <w:sz w:val="20"/>
                <w:szCs w:val="20"/>
              </w:rPr>
            </w:pPr>
            <w:r>
              <w:rPr>
                <w:sz w:val="20"/>
                <w:szCs w:val="20"/>
              </w:rPr>
              <w:t>400</w:t>
            </w:r>
          </w:p>
        </w:tc>
        <w:tc>
          <w:tcPr>
            <w:tcW w:w="715" w:type="dxa"/>
            <w:tcBorders>
              <w:left w:val="nil"/>
            </w:tcBorders>
            <w:vAlign w:val="center"/>
          </w:tcPr>
          <w:p>
            <w:pPr>
              <w:pStyle w:val="Normal"/>
              <w:spacing w:lineRule="auto" w:line="240"/>
              <w:jc w:val="center"/>
              <w:rPr>
                <w:rFonts w:eastAsia="Times New Roman"/>
                <w:b/>
                <w:b/>
                <w:sz w:val="20"/>
                <w:szCs w:val="20"/>
              </w:rPr>
            </w:pPr>
            <w:r>
              <w:rPr>
                <w:sz w:val="20"/>
                <w:szCs w:val="20"/>
              </w:rPr>
              <w:t>2400</w:t>
            </w:r>
          </w:p>
        </w:tc>
      </w:tr>
      <w:tr>
        <w:trPr/>
        <w:tc>
          <w:tcPr>
            <w:tcW w:w="456" w:type="dxa"/>
            <w:tcBorders>
              <w:right w:val="nil"/>
            </w:tcBorders>
          </w:tcPr>
          <w:p>
            <w:pPr>
              <w:pStyle w:val="Normal"/>
              <w:spacing w:lineRule="auto" w:line="240"/>
              <w:jc w:val="center"/>
              <w:rPr>
                <w:sz w:val="20"/>
                <w:szCs w:val="20"/>
              </w:rPr>
            </w:pPr>
            <w:r>
              <w:rPr>
                <w:sz w:val="20"/>
                <w:szCs w:val="20"/>
              </w:rPr>
              <w:t>5</w:t>
            </w:r>
          </w:p>
        </w:tc>
        <w:tc>
          <w:tcPr>
            <w:tcW w:w="4216" w:type="dxa"/>
            <w:tcBorders/>
            <w:shd w:color="auto" w:fill="auto" w:val="clear"/>
          </w:tcPr>
          <w:p>
            <w:pPr>
              <w:pStyle w:val="Normal"/>
              <w:spacing w:lineRule="auto" w:line="240"/>
              <w:jc w:val="left"/>
              <w:rPr>
                <w:rFonts w:eastAsia="Times New Roman"/>
                <w:sz w:val="20"/>
                <w:szCs w:val="20"/>
                <w:lang w:eastAsia="ru-RU"/>
              </w:rPr>
            </w:pPr>
            <w:r>
              <w:rPr>
                <w:sz w:val="20"/>
                <w:szCs w:val="20"/>
              </w:rPr>
              <w:t>Ул. Молодежная от д. 1 до д. 14</w:t>
            </w:r>
          </w:p>
        </w:tc>
        <w:tc>
          <w:tcPr>
            <w:tcW w:w="851" w:type="dxa"/>
            <w:tcBorders>
              <w:top w:val="nil"/>
              <w:left w:val="nil"/>
            </w:tcBorders>
            <w:shd w:color="auto" w:fill="auto" w:val="clear"/>
            <w:vAlign w:val="center"/>
          </w:tcPr>
          <w:p>
            <w:pPr>
              <w:pStyle w:val="Normal"/>
              <w:spacing w:lineRule="auto" w:line="240"/>
              <w:jc w:val="center"/>
              <w:rPr>
                <w:rFonts w:eastAsia="Times New Roman"/>
                <w:sz w:val="20"/>
                <w:szCs w:val="20"/>
                <w:lang w:eastAsia="ru-RU"/>
              </w:rPr>
            </w:pPr>
            <w:r>
              <w:rPr>
                <w:sz w:val="20"/>
                <w:szCs w:val="20"/>
              </w:rPr>
              <w:t>400</w:t>
            </w:r>
          </w:p>
        </w:tc>
        <w:tc>
          <w:tcPr>
            <w:tcW w:w="1134" w:type="dxa"/>
            <w:tcBorders/>
            <w:shd w:color="auto" w:fill="auto" w:val="clear"/>
            <w:vAlign w:val="center"/>
          </w:tcPr>
          <w:p>
            <w:pPr>
              <w:pStyle w:val="Normal"/>
              <w:spacing w:lineRule="auto" w:line="240"/>
              <w:jc w:val="center"/>
              <w:rPr>
                <w:rFonts w:eastAsia="Times New Roman"/>
                <w:sz w:val="20"/>
                <w:szCs w:val="20"/>
                <w:lang w:eastAsia="ru-RU"/>
              </w:rPr>
            </w:pPr>
            <w:r>
              <w:rPr>
                <w:sz w:val="20"/>
                <w:szCs w:val="20"/>
              </w:rPr>
              <w:t>2400</w:t>
            </w:r>
          </w:p>
        </w:tc>
        <w:tc>
          <w:tcPr>
            <w:tcW w:w="701"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716"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850" w:type="dxa"/>
            <w:tcBorders>
              <w:left w:val="nil"/>
              <w:right w:val="nil"/>
            </w:tcBorders>
            <w:vAlign w:val="center"/>
          </w:tcPr>
          <w:p>
            <w:pPr>
              <w:pStyle w:val="Normal"/>
              <w:spacing w:lineRule="auto" w:line="240"/>
              <w:jc w:val="center"/>
              <w:rPr>
                <w:rFonts w:eastAsia="Times New Roman"/>
                <w:b/>
                <w:b/>
                <w:sz w:val="20"/>
                <w:szCs w:val="20"/>
              </w:rPr>
            </w:pPr>
            <w:r>
              <w:rPr>
                <w:rFonts w:eastAsia="Times New Roman"/>
                <w:b/>
                <w:sz w:val="20"/>
                <w:szCs w:val="20"/>
              </w:rPr>
            </w:r>
          </w:p>
        </w:tc>
        <w:tc>
          <w:tcPr>
            <w:tcW w:w="715" w:type="dxa"/>
            <w:tcBorders>
              <w:left w:val="nil"/>
            </w:tcBorders>
            <w:vAlign w:val="center"/>
          </w:tcPr>
          <w:p>
            <w:pPr>
              <w:pStyle w:val="Normal"/>
              <w:spacing w:lineRule="auto" w:line="240"/>
              <w:jc w:val="center"/>
              <w:rPr>
                <w:rFonts w:eastAsia="Times New Roman"/>
                <w:b/>
                <w:b/>
                <w:sz w:val="20"/>
                <w:szCs w:val="20"/>
              </w:rPr>
            </w:pPr>
            <w:r>
              <w:rPr>
                <w:rFonts w:eastAsia="Times New Roman"/>
                <w:b/>
                <w:sz w:val="20"/>
                <w:szCs w:val="20"/>
              </w:rPr>
            </w:r>
          </w:p>
        </w:tc>
      </w:tr>
      <w:tr>
        <w:trPr/>
        <w:tc>
          <w:tcPr>
            <w:tcW w:w="456" w:type="dxa"/>
            <w:tcBorders>
              <w:right w:val="nil"/>
            </w:tcBorders>
          </w:tcPr>
          <w:p>
            <w:pPr>
              <w:pStyle w:val="Normal"/>
              <w:spacing w:lineRule="auto" w:line="240"/>
              <w:jc w:val="center"/>
              <w:rPr>
                <w:sz w:val="20"/>
                <w:szCs w:val="20"/>
              </w:rPr>
            </w:pPr>
            <w:r>
              <w:rPr>
                <w:sz w:val="20"/>
                <w:szCs w:val="20"/>
              </w:rPr>
              <w:t>6</w:t>
            </w:r>
          </w:p>
        </w:tc>
        <w:tc>
          <w:tcPr>
            <w:tcW w:w="4216" w:type="dxa"/>
            <w:tcBorders/>
            <w:shd w:color="auto" w:fill="auto" w:val="clear"/>
          </w:tcPr>
          <w:p>
            <w:pPr>
              <w:pStyle w:val="Normal"/>
              <w:spacing w:lineRule="auto" w:line="240"/>
              <w:jc w:val="left"/>
              <w:rPr>
                <w:rFonts w:eastAsia="Times New Roman"/>
                <w:sz w:val="20"/>
                <w:szCs w:val="20"/>
                <w:lang w:eastAsia="ru-RU"/>
              </w:rPr>
            </w:pPr>
            <w:r>
              <w:rPr>
                <w:b/>
                <w:sz w:val="20"/>
                <w:szCs w:val="20"/>
              </w:rPr>
              <w:t>Итого по населенному пункту</w:t>
            </w:r>
          </w:p>
        </w:tc>
        <w:tc>
          <w:tcPr>
            <w:tcW w:w="851" w:type="dxa"/>
            <w:tcBorders>
              <w:top w:val="nil"/>
              <w:left w:val="nil"/>
            </w:tcBorders>
            <w:shd w:color="auto" w:fill="auto" w:val="clear"/>
            <w:vAlign w:val="center"/>
          </w:tcPr>
          <w:p>
            <w:pPr>
              <w:pStyle w:val="Normal"/>
              <w:spacing w:lineRule="auto" w:line="240"/>
              <w:jc w:val="center"/>
              <w:rPr>
                <w:rFonts w:eastAsia="Times New Roman"/>
                <w:sz w:val="20"/>
                <w:szCs w:val="20"/>
                <w:lang w:eastAsia="ru-RU"/>
              </w:rPr>
            </w:pPr>
            <w:r>
              <w:rPr>
                <w:b/>
                <w:sz w:val="20"/>
                <w:szCs w:val="20"/>
              </w:rPr>
              <w:t>1800</w:t>
            </w:r>
          </w:p>
        </w:tc>
        <w:tc>
          <w:tcPr>
            <w:tcW w:w="1134" w:type="dxa"/>
            <w:tcBorders/>
            <w:shd w:color="auto" w:fill="auto" w:val="clear"/>
            <w:vAlign w:val="center"/>
          </w:tcPr>
          <w:p>
            <w:pPr>
              <w:pStyle w:val="Normal"/>
              <w:spacing w:lineRule="auto" w:line="240"/>
              <w:jc w:val="center"/>
              <w:rPr>
                <w:rFonts w:eastAsia="Times New Roman"/>
                <w:sz w:val="20"/>
                <w:szCs w:val="20"/>
                <w:lang w:eastAsia="ru-RU"/>
              </w:rPr>
            </w:pPr>
            <w:r>
              <w:rPr>
                <w:b/>
                <w:sz w:val="20"/>
                <w:szCs w:val="20"/>
              </w:rPr>
              <w:t>10800</w:t>
            </w:r>
          </w:p>
        </w:tc>
        <w:tc>
          <w:tcPr>
            <w:tcW w:w="701"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716" w:type="dxa"/>
            <w:tcBorders/>
            <w:shd w:color="auto" w:fill="auto" w:val="clear"/>
          </w:tcPr>
          <w:p>
            <w:pPr>
              <w:pStyle w:val="Normal"/>
              <w:spacing w:lineRule="auto" w:line="240"/>
              <w:jc w:val="center"/>
              <w:rPr>
                <w:rFonts w:eastAsia="Times New Roman"/>
                <w:sz w:val="20"/>
                <w:szCs w:val="20"/>
              </w:rPr>
            </w:pPr>
            <w:r>
              <w:rPr>
                <w:rFonts w:eastAsia="Times New Roman"/>
                <w:sz w:val="20"/>
                <w:szCs w:val="20"/>
              </w:rPr>
              <w:t>-</w:t>
            </w:r>
          </w:p>
        </w:tc>
        <w:tc>
          <w:tcPr>
            <w:tcW w:w="850" w:type="dxa"/>
            <w:tcBorders>
              <w:left w:val="nil"/>
              <w:right w:val="nil"/>
            </w:tcBorders>
            <w:vAlign w:val="center"/>
          </w:tcPr>
          <w:p>
            <w:pPr>
              <w:pStyle w:val="Normal"/>
              <w:spacing w:lineRule="auto" w:line="240"/>
              <w:jc w:val="center"/>
              <w:rPr>
                <w:rFonts w:eastAsia="Times New Roman"/>
                <w:b/>
                <w:b/>
                <w:sz w:val="20"/>
                <w:szCs w:val="20"/>
              </w:rPr>
            </w:pPr>
            <w:r>
              <w:rPr>
                <w:b/>
                <w:sz w:val="20"/>
                <w:szCs w:val="20"/>
              </w:rPr>
              <w:t>750</w:t>
            </w:r>
          </w:p>
        </w:tc>
        <w:tc>
          <w:tcPr>
            <w:tcW w:w="715" w:type="dxa"/>
            <w:tcBorders>
              <w:left w:val="nil"/>
            </w:tcBorders>
            <w:vAlign w:val="center"/>
          </w:tcPr>
          <w:p>
            <w:pPr>
              <w:pStyle w:val="Normal"/>
              <w:spacing w:lineRule="auto" w:line="240"/>
              <w:jc w:val="center"/>
              <w:rPr>
                <w:rFonts w:eastAsia="Times New Roman"/>
                <w:b/>
                <w:b/>
                <w:sz w:val="20"/>
                <w:szCs w:val="20"/>
              </w:rPr>
            </w:pPr>
            <w:r>
              <w:rPr>
                <w:b/>
                <w:sz w:val="20"/>
                <w:szCs w:val="20"/>
              </w:rPr>
              <w:t>4500</w:t>
            </w:r>
          </w:p>
        </w:tc>
      </w:tr>
    </w:tbl>
    <w:p>
      <w:pPr>
        <w:pStyle w:val="Normal"/>
        <w:spacing w:lineRule="auto" w:line="276" w:before="120" w:after="0"/>
        <w:ind w:firstLine="709"/>
        <w:jc w:val="left"/>
        <w:rPr>
          <w:b/>
          <w:b/>
        </w:rPr>
      </w:pPr>
      <w:r>
        <w:rPr>
          <w:b/>
        </w:rPr>
        <w:t>Информация об основных проблемах и ограничениях</w:t>
      </w:r>
    </w:p>
    <w:p>
      <w:pPr>
        <w:pStyle w:val="Normal"/>
        <w:spacing w:lineRule="auto" w:line="276"/>
        <w:ind w:firstLine="709"/>
        <w:rPr>
          <w:rFonts w:eastAsia="Times New Roman"/>
          <w:szCs w:val="24"/>
          <w:lang w:eastAsia="ru-RU"/>
        </w:rPr>
      </w:pPr>
      <w:r>
        <w:rPr/>
        <w:t>Существующий уровень транспортной инфраструктуры не отвечает требованиям СНиП и иных нормативных документов, что является причиной:</w:t>
      </w:r>
    </w:p>
    <w:p>
      <w:pPr>
        <w:pStyle w:val="Normal"/>
        <w:numPr>
          <w:ilvl w:val="0"/>
          <w:numId w:val="14"/>
        </w:numPr>
        <w:spacing w:lineRule="auto" w:line="276"/>
        <w:ind w:left="0" w:firstLine="426"/>
        <w:rPr>
          <w:rFonts w:eastAsia="Times New Roman"/>
          <w:szCs w:val="24"/>
          <w:lang w:eastAsia="ru-RU"/>
        </w:rPr>
      </w:pPr>
      <w:r>
        <w:rPr/>
        <w:t xml:space="preserve">снижения уровня безопасности движения; </w:t>
      </w:r>
    </w:p>
    <w:p>
      <w:pPr>
        <w:pStyle w:val="Normal"/>
        <w:numPr>
          <w:ilvl w:val="0"/>
          <w:numId w:val="14"/>
        </w:numPr>
        <w:spacing w:lineRule="auto" w:line="276"/>
        <w:ind w:left="0" w:firstLine="426"/>
        <w:rPr>
          <w:rFonts w:eastAsia="Times New Roman"/>
          <w:szCs w:val="24"/>
          <w:lang w:eastAsia="ru-RU"/>
        </w:rPr>
      </w:pPr>
      <w:r>
        <w:rPr/>
        <w:t xml:space="preserve">повышения уровня эксплуатационных нагрузок на автомобильные дороги, имеющие меньшую несущую способность. Без реализации неотложных мер по повышению качества дорожного покрытия и развития транспортной инфраструктуры нельзя добиться существенного повышения имеющегося потенциала поселения и обеспечить комфортное проживание населения. Таким образом, проблема развития транспортной инфраструктуры поселения, требует решения основных задач с помощью программного подхода. </w:t>
      </w:r>
    </w:p>
    <w:p>
      <w:pPr>
        <w:pStyle w:val="Normal"/>
        <w:spacing w:lineRule="auto" w:line="276"/>
        <w:ind w:firstLine="709"/>
        <w:rPr>
          <w:b/>
          <w:b/>
          <w:szCs w:val="24"/>
        </w:rPr>
      </w:pPr>
      <w:r>
        <w:rPr>
          <w:b/>
        </w:rPr>
        <w:t>Направления</w:t>
      </w:r>
      <w:r>
        <w:rPr>
          <w:b/>
          <w:szCs w:val="24"/>
        </w:rPr>
        <w:t xml:space="preserve"> развития</w:t>
      </w:r>
    </w:p>
    <w:p>
      <w:pPr>
        <w:pStyle w:val="Normal"/>
        <w:spacing w:lineRule="auto" w:line="276"/>
        <w:ind w:right="-2" w:firstLine="709"/>
        <w:rPr>
          <w:rFonts w:eastAsia="Times New Roman"/>
          <w:color w:val="000000"/>
          <w:szCs w:val="24"/>
          <w:lang w:eastAsia="ru-RU"/>
        </w:rPr>
      </w:pPr>
      <w:bookmarkStart w:id="167" w:name="_Toc53143711"/>
      <w:r>
        <w:rPr>
          <w:rFonts w:eastAsia="Times New Roman"/>
          <w:color w:val="000000"/>
          <w:szCs w:val="24"/>
          <w:lang w:eastAsia="ru-RU"/>
        </w:rPr>
        <w:t>В соответствии с Схемой территориального планирования Варненского района на территории Катенинского сельского поселения предусмотрена реконструкция улично-дорожной сети в населенных пунктах: с. Катенино, п. Караоба, п. Комсомольский, п. Красноармейский.</w:t>
      </w:r>
    </w:p>
    <w:p>
      <w:pPr>
        <w:pStyle w:val="Normal"/>
        <w:spacing w:lineRule="auto" w:line="276"/>
        <w:ind w:right="-2" w:firstLine="709"/>
        <w:rPr>
          <w:rFonts w:eastAsia="Times New Roman"/>
          <w:color w:val="000000"/>
          <w:szCs w:val="24"/>
          <w:lang w:eastAsia="ru-RU"/>
        </w:rPr>
      </w:pPr>
      <w:r>
        <w:rPr>
          <w:rFonts w:eastAsia="Times New Roman"/>
          <w:color w:val="000000"/>
          <w:szCs w:val="24"/>
          <w:lang w:eastAsia="ru-RU"/>
        </w:rPr>
        <w:t>В рамках внесения изменений в генеральный план Катенинского сельского поселения Варненского района в п. Комсомольский планируется строительство улично-дорожной сети (УДС.1.1).</w:t>
      </w:r>
    </w:p>
    <w:p>
      <w:pPr>
        <w:pStyle w:val="0212165"/>
        <w:rPr>
          <w:rFonts w:eastAsia="Times New Roman"/>
          <w:szCs w:val="24"/>
          <w:lang w:eastAsia="ru-RU"/>
        </w:rPr>
      </w:pPr>
      <w:bookmarkStart w:id="168" w:name="_Toc53143711"/>
      <w:bookmarkStart w:id="169" w:name="_Toc182210480"/>
      <w:r>
        <w:rPr/>
        <w:t>7.1.3 Объекты обслуживания и хранения автомобильного транспорта</w:t>
      </w:r>
      <w:bookmarkEnd w:id="168"/>
      <w:bookmarkEnd w:id="169"/>
    </w:p>
    <w:p>
      <w:pPr>
        <w:pStyle w:val="Normal"/>
        <w:spacing w:lineRule="auto" w:line="276" w:before="120" w:after="0"/>
        <w:ind w:firstLine="709"/>
        <w:rPr>
          <w:b/>
          <w:b/>
        </w:rPr>
      </w:pPr>
      <w:r>
        <w:rPr>
          <w:b/>
        </w:rPr>
        <w:t>Анализ существующего состояния</w:t>
      </w:r>
    </w:p>
    <w:p>
      <w:pPr>
        <w:pStyle w:val="Normal"/>
        <w:spacing w:lineRule="auto" w:line="276"/>
        <w:ind w:firstLine="709"/>
        <w:rPr>
          <w:rFonts w:eastAsia="Times New Roman"/>
          <w:szCs w:val="24"/>
        </w:rPr>
      </w:pPr>
      <w:bookmarkStart w:id="170" w:name="_Toc69297554"/>
      <w:r>
        <w:rPr>
          <w:rFonts w:eastAsia="Times New Roman"/>
          <w:szCs w:val="24"/>
        </w:rPr>
        <w:t xml:space="preserve">На территории Катенинского сельского поселения находится 1 станция технического обслуживания. </w:t>
      </w:r>
    </w:p>
    <w:p>
      <w:pPr>
        <w:pStyle w:val="Normal"/>
        <w:spacing w:lineRule="auto" w:line="276"/>
        <w:ind w:firstLine="709"/>
        <w:rPr>
          <w:b/>
          <w:b/>
          <w:szCs w:val="24"/>
        </w:rPr>
      </w:pPr>
      <w:r>
        <w:rPr>
          <w:b/>
          <w:szCs w:val="24"/>
        </w:rPr>
        <w:t>Направления развития</w:t>
      </w:r>
    </w:p>
    <w:p>
      <w:pPr>
        <w:pStyle w:val="Normal"/>
        <w:spacing w:lineRule="auto" w:line="276"/>
        <w:ind w:firstLine="709"/>
        <w:rPr>
          <w:rFonts w:eastAsia="Times New Roman"/>
          <w:szCs w:val="24"/>
        </w:rPr>
      </w:pPr>
      <w:r>
        <w:rPr>
          <w:rFonts w:eastAsia="Times New Roman"/>
          <w:szCs w:val="24"/>
        </w:rPr>
        <w:t xml:space="preserve">Генеральным планом </w:t>
      </w:r>
      <w:r>
        <w:rPr/>
        <w:t>Катенинского сельского поселения</w:t>
      </w:r>
      <w:r>
        <w:rPr>
          <w:rFonts w:eastAsia="Times New Roman"/>
          <w:szCs w:val="24"/>
        </w:rPr>
        <w:t xml:space="preserve"> не предусматривается строительство объектов обслуживания и хранения автомобильного транспорта.</w:t>
      </w:r>
    </w:p>
    <w:p>
      <w:pPr>
        <w:pStyle w:val="4"/>
        <w:spacing w:before="120" w:after="0"/>
        <w:rPr>
          <w:rFonts w:ascii="Times New Roman" w:hAnsi="Times New Roman" w:eastAsia="Times New Roman" w:cs="Times New Roman"/>
          <w:b/>
          <w:b/>
          <w:i w:val="false"/>
          <w:i w:val="false"/>
          <w:color w:val="auto"/>
          <w:szCs w:val="24"/>
          <w:lang w:eastAsia="ru-RU"/>
        </w:rPr>
      </w:pPr>
      <w:bookmarkStart w:id="171" w:name="_Toc182210481"/>
      <w:bookmarkStart w:id="172" w:name="_Toc26429429"/>
      <w:bookmarkStart w:id="173" w:name="_Toc499800776"/>
      <w:bookmarkStart w:id="174" w:name="_Toc479258746"/>
      <w:r>
        <w:rPr>
          <w:rFonts w:eastAsia="Times New Roman" w:cs="Times New Roman" w:ascii="Times New Roman" w:hAnsi="Times New Roman"/>
          <w:b/>
          <w:i w:val="false"/>
          <w:color w:val="auto"/>
          <w:szCs w:val="24"/>
          <w:lang w:eastAsia="ru-RU"/>
        </w:rPr>
        <w:t xml:space="preserve">7.1.4 </w:t>
      </w:r>
      <w:bookmarkEnd w:id="173"/>
      <w:bookmarkEnd w:id="174"/>
      <w:r>
        <w:rPr>
          <w:rFonts w:eastAsia="Times New Roman" w:cs="Times New Roman" w:ascii="Times New Roman" w:hAnsi="Times New Roman"/>
          <w:b/>
          <w:i w:val="false"/>
          <w:color w:val="auto"/>
          <w:szCs w:val="24"/>
          <w:lang w:eastAsia="ru-RU"/>
        </w:rPr>
        <w:t>Общественный пассажирский транспорт</w:t>
      </w:r>
      <w:bookmarkEnd w:id="171"/>
      <w:bookmarkEnd w:id="172"/>
      <w:r>
        <w:rPr>
          <w:rFonts w:eastAsia="Times New Roman" w:cs="Times New Roman" w:ascii="Times New Roman" w:hAnsi="Times New Roman"/>
          <w:b/>
          <w:i w:val="false"/>
          <w:color w:val="auto"/>
          <w:szCs w:val="24"/>
          <w:lang w:eastAsia="ru-RU"/>
        </w:rPr>
        <w:t xml:space="preserve"> </w:t>
      </w:r>
    </w:p>
    <w:p>
      <w:pPr>
        <w:pStyle w:val="Normal"/>
        <w:spacing w:lineRule="auto" w:line="276"/>
        <w:ind w:firstLine="709"/>
        <w:rPr>
          <w:b/>
          <w:b/>
        </w:rPr>
      </w:pPr>
      <w:r>
        <w:rPr>
          <w:b/>
        </w:rPr>
        <w:t>Анализ существующего состояния</w:t>
      </w:r>
    </w:p>
    <w:p>
      <w:pPr>
        <w:pStyle w:val="Normal"/>
        <w:spacing w:lineRule="auto" w:line="278"/>
        <w:ind w:left="238" w:right="438" w:firstLine="708"/>
        <w:rPr>
          <w:rFonts w:eastAsia="Times New Roman"/>
          <w:szCs w:val="24"/>
          <w:lang w:eastAsia="ru-RU"/>
        </w:rPr>
      </w:pPr>
      <w:r>
        <w:rPr/>
        <w:t xml:space="preserve">Пассажирские перевозки в населенные пункты Катенинского сельского поселения обеспечиваются пригородными автобусами, следующим по маршруту «Варна — Новониколаевка» (один рейс в сутки ежедневно) и «Варна-Карталы». </w:t>
      </w:r>
    </w:p>
    <w:p>
      <w:pPr>
        <w:pStyle w:val="Normal"/>
        <w:spacing w:lineRule="auto" w:line="276" w:before="120" w:after="0"/>
        <w:ind w:firstLine="709"/>
        <w:rPr>
          <w:b/>
          <w:b/>
        </w:rPr>
      </w:pPr>
      <w:r>
        <w:rPr>
          <w:b/>
        </w:rPr>
        <w:t>Информация об основных проблемах и ограничениях</w:t>
      </w:r>
    </w:p>
    <w:p>
      <w:pPr>
        <w:pStyle w:val="Normal"/>
        <w:spacing w:lineRule="auto" w:line="276"/>
        <w:ind w:firstLine="709"/>
        <w:rPr>
          <w:szCs w:val="24"/>
        </w:rPr>
      </w:pPr>
      <w:r>
        <w:rPr>
          <w:szCs w:val="24"/>
        </w:rPr>
        <w:t>Охват населенных пунктов регулярным автобусным сообщением на 1 полугодие 2020 года составляет 95 %. До регионального центра на ежедневной основе курсируют межмуниципальные автобусные маршруты.</w:t>
      </w:r>
    </w:p>
    <w:p>
      <w:pPr>
        <w:pStyle w:val="Normal"/>
        <w:spacing w:lineRule="auto" w:line="276"/>
        <w:ind w:firstLine="709"/>
        <w:rPr>
          <w:b/>
          <w:b/>
          <w:szCs w:val="24"/>
        </w:rPr>
      </w:pPr>
      <w:r>
        <w:rPr>
          <w:b/>
          <w:szCs w:val="24"/>
        </w:rPr>
        <w:t>Направления развития</w:t>
      </w:r>
    </w:p>
    <w:p>
      <w:pPr>
        <w:pStyle w:val="Normal"/>
        <w:spacing w:lineRule="auto" w:line="276"/>
        <w:ind w:firstLine="709"/>
        <w:rPr>
          <w:rFonts w:eastAsia="Times New Roman"/>
          <w:szCs w:val="24"/>
          <w:lang w:eastAsia="ru-RU"/>
        </w:rPr>
      </w:pPr>
      <w:r>
        <w:rPr/>
        <w:t>Генеральным планом мероприятия по размещению планируемых объектов общественно пассажирского транспорта или по реконструкции таких объектов не предусматриваются.</w:t>
      </w:r>
    </w:p>
    <w:p>
      <w:pPr>
        <w:pStyle w:val="0212161"/>
        <w:rPr>
          <w:rFonts w:eastAsia="Times New Roman"/>
          <w:szCs w:val="24"/>
          <w:lang w:eastAsia="ru-RU"/>
        </w:rPr>
      </w:pPr>
      <w:bookmarkStart w:id="175" w:name="_Toc69297554"/>
      <w:bookmarkStart w:id="176" w:name="_Toc182210482"/>
      <w:r>
        <w:rPr/>
        <w:t>7.2 Железнодорожный транспорт</w:t>
      </w:r>
      <w:bookmarkEnd w:id="175"/>
      <w:bookmarkEnd w:id="176"/>
    </w:p>
    <w:p>
      <w:pPr>
        <w:pStyle w:val="Normal"/>
        <w:spacing w:lineRule="auto" w:line="276"/>
        <w:ind w:firstLine="709"/>
        <w:rPr>
          <w:b/>
          <w:b/>
        </w:rPr>
      </w:pPr>
      <w:r>
        <w:rPr>
          <w:b/>
        </w:rPr>
        <w:t>Анализ существующего состояния</w:t>
      </w:r>
    </w:p>
    <w:p>
      <w:pPr>
        <w:pStyle w:val="Normal"/>
        <w:spacing w:lineRule="auto" w:line="276"/>
        <w:ind w:firstLine="709"/>
        <w:rPr>
          <w:rFonts w:eastAsia="Times New Roman"/>
          <w:szCs w:val="24"/>
          <w:lang w:eastAsia="ru-RU"/>
        </w:rPr>
      </w:pPr>
      <w:r>
        <w:rPr/>
        <w:t xml:space="preserve">На территории Катенинского сельского поселения Варненского муниципального района Челябинской области объекты ОАО «Российские железные дороги» отсутствуют. Инвестиционные программы по развитию объектов железной дороги в границах Катенинского сельского поселения не предусмотрены. </w:t>
      </w:r>
    </w:p>
    <w:p>
      <w:pPr>
        <w:pStyle w:val="Normal"/>
        <w:spacing w:lineRule="auto" w:line="276"/>
        <w:ind w:firstLine="709"/>
        <w:rPr>
          <w:rFonts w:eastAsia="Times New Roman"/>
          <w:szCs w:val="24"/>
          <w:lang w:eastAsia="ru-RU"/>
        </w:rPr>
      </w:pPr>
      <w:r>
        <w:rPr/>
        <w:t xml:space="preserve">Вдоль северо-западной границы Катенинского сельского поселения (вне границ поселения) в меридиональном направлении проходит двухпутная электрифицированная железнодорожная ветка «Троицк — Орск» Южноуральской железной дороги, связывающая Челябинскую область с Республикой Казахстан. На территории Катенинского СП расположен остановочный пункт «94 км». На пересечении железной дороги с рекой в районе остановочного пункта находится существующий и сохраняемый на расчетный срок реализации настоящего Генерального плана железнодорожный мост. </w:t>
      </w:r>
    </w:p>
    <w:p>
      <w:pPr>
        <w:pStyle w:val="Normal"/>
        <w:spacing w:lineRule="auto" w:line="276"/>
        <w:ind w:firstLine="709"/>
        <w:rPr>
          <w:b/>
          <w:b/>
          <w:szCs w:val="24"/>
        </w:rPr>
      </w:pPr>
      <w:r>
        <w:rPr>
          <w:b/>
          <w:szCs w:val="24"/>
        </w:rPr>
        <w:t>Направления развития</w:t>
      </w:r>
    </w:p>
    <w:p>
      <w:pPr>
        <w:pStyle w:val="Normal"/>
        <w:spacing w:lineRule="auto" w:line="276"/>
        <w:ind w:firstLine="709"/>
        <w:rPr>
          <w:rFonts w:eastAsia="Times New Roman"/>
          <w:szCs w:val="24"/>
          <w:lang w:eastAsia="ru-RU"/>
        </w:rPr>
      </w:pPr>
      <w:r>
        <w:rPr/>
        <w:t>Генеральным планом мероприятия по размещению планируемых объектов железнодорожного транспорта или по реконструкции таких объектов не предусматриваются.</w:t>
      </w:r>
    </w:p>
    <w:p>
      <w:pPr>
        <w:pStyle w:val="0212161"/>
        <w:rPr>
          <w:rFonts w:eastAsia="Times New Roman"/>
          <w:szCs w:val="24"/>
          <w:lang w:eastAsia="ru-RU"/>
        </w:rPr>
      </w:pPr>
      <w:bookmarkStart w:id="177" w:name="_Toc182210483"/>
      <w:bookmarkStart w:id="178" w:name="_Toc69297555"/>
      <w:r>
        <w:rPr/>
        <w:t>7.3 Воздушный транспорт</w:t>
      </w:r>
      <w:bookmarkEnd w:id="177"/>
      <w:bookmarkEnd w:id="178"/>
    </w:p>
    <w:p>
      <w:pPr>
        <w:pStyle w:val="Normal"/>
        <w:spacing w:lineRule="auto" w:line="276"/>
        <w:ind w:firstLine="709"/>
        <w:rPr>
          <w:b/>
          <w:b/>
        </w:rPr>
      </w:pPr>
      <w:r>
        <w:rPr>
          <w:b/>
        </w:rPr>
        <w:t>Анализ существующего состояния</w:t>
      </w:r>
    </w:p>
    <w:p>
      <w:pPr>
        <w:pStyle w:val="Normal"/>
        <w:spacing w:lineRule="auto" w:line="276"/>
        <w:ind w:firstLine="709"/>
        <w:rPr>
          <w:szCs w:val="24"/>
          <w:lang w:eastAsia="ru-RU"/>
        </w:rPr>
      </w:pPr>
      <w:r>
        <w:rPr>
          <w:szCs w:val="24"/>
          <w:lang w:eastAsia="ru-RU"/>
        </w:rPr>
        <w:t>На территории Катенинского сельского поселения воздушный транспорт отсутствует.</w:t>
      </w:r>
    </w:p>
    <w:p>
      <w:pPr>
        <w:pStyle w:val="Normal"/>
        <w:spacing w:lineRule="auto" w:line="276"/>
        <w:ind w:firstLine="709"/>
        <w:rPr>
          <w:b/>
          <w:b/>
          <w:szCs w:val="24"/>
        </w:rPr>
      </w:pPr>
      <w:r>
        <w:rPr>
          <w:b/>
          <w:szCs w:val="24"/>
        </w:rPr>
        <w:t>Направления развития</w:t>
      </w:r>
    </w:p>
    <w:p>
      <w:pPr>
        <w:pStyle w:val="Normal"/>
        <w:spacing w:lineRule="auto" w:line="276"/>
        <w:ind w:firstLine="709"/>
        <w:rPr>
          <w:rFonts w:eastAsia="Times New Roman"/>
          <w:szCs w:val="24"/>
          <w:lang w:eastAsia="ru-RU"/>
        </w:rPr>
      </w:pPr>
      <w:r>
        <w:rPr/>
        <w:t>Генеральным планом мероприятия по размещению планируемых объектов воздушного транспорта или по реконструкции таких объектов не предусматриваются.</w:t>
      </w:r>
    </w:p>
    <w:p>
      <w:pPr>
        <w:pStyle w:val="0212161"/>
        <w:rPr>
          <w:rFonts w:eastAsia="Times New Roman"/>
          <w:szCs w:val="24"/>
          <w:lang w:eastAsia="ru-RU"/>
        </w:rPr>
      </w:pPr>
      <w:bookmarkStart w:id="179" w:name="_Toc182210484"/>
      <w:bookmarkStart w:id="180" w:name="_Toc69297556"/>
      <w:r>
        <w:rPr/>
        <w:t>7.4 Водный транспорт</w:t>
      </w:r>
      <w:bookmarkEnd w:id="179"/>
      <w:bookmarkEnd w:id="180"/>
    </w:p>
    <w:p>
      <w:pPr>
        <w:pStyle w:val="Normal"/>
        <w:spacing w:lineRule="auto" w:line="276"/>
        <w:ind w:firstLine="709"/>
        <w:rPr>
          <w:b/>
          <w:b/>
        </w:rPr>
      </w:pPr>
      <w:r>
        <w:rPr>
          <w:b/>
        </w:rPr>
        <w:t>Анализ существующего состояния</w:t>
      </w:r>
    </w:p>
    <w:p>
      <w:pPr>
        <w:pStyle w:val="Normal"/>
        <w:spacing w:lineRule="auto" w:line="276"/>
        <w:ind w:firstLine="709"/>
        <w:rPr>
          <w:szCs w:val="24"/>
          <w:lang w:eastAsia="ru-RU"/>
        </w:rPr>
      </w:pPr>
      <w:r>
        <w:rPr>
          <w:szCs w:val="24"/>
          <w:lang w:eastAsia="ru-RU"/>
        </w:rPr>
        <w:t>На территории Катенинского сельского поселения водный транспорт отсутствует.</w:t>
      </w:r>
    </w:p>
    <w:p>
      <w:pPr>
        <w:pStyle w:val="Normal"/>
        <w:spacing w:lineRule="auto" w:line="276"/>
        <w:ind w:firstLine="709"/>
        <w:rPr>
          <w:b/>
          <w:b/>
          <w:szCs w:val="24"/>
        </w:rPr>
      </w:pPr>
      <w:r>
        <w:rPr>
          <w:b/>
          <w:szCs w:val="24"/>
        </w:rPr>
        <w:t>Направления развития</w:t>
      </w:r>
    </w:p>
    <w:p>
      <w:pPr>
        <w:pStyle w:val="Normal"/>
        <w:spacing w:lineRule="auto" w:line="276"/>
        <w:ind w:firstLine="709"/>
        <w:rPr>
          <w:rFonts w:eastAsia="Times New Roman"/>
          <w:szCs w:val="24"/>
          <w:lang w:eastAsia="ru-RU"/>
        </w:rPr>
      </w:pPr>
      <w:r>
        <w:rPr/>
        <w:t>Генеральным планом мероприятия по размещению планируемых объектов водного транспорта или по реконструкции таких объектов не предусматриваются.</w:t>
      </w:r>
    </w:p>
    <w:p>
      <w:pPr>
        <w:pStyle w:val="0212161"/>
        <w:rPr>
          <w:rFonts w:eastAsia="Times New Roman"/>
          <w:szCs w:val="24"/>
          <w:lang w:eastAsia="ru-RU"/>
        </w:rPr>
      </w:pPr>
      <w:bookmarkStart w:id="181" w:name="_Toc182210485"/>
      <w:bookmarkStart w:id="182" w:name="_Toc53143714"/>
      <w:r>
        <w:rPr/>
        <w:t>7.5 Искусственные дорожные сооружения</w:t>
      </w:r>
      <w:bookmarkEnd w:id="181"/>
      <w:bookmarkEnd w:id="182"/>
    </w:p>
    <w:p>
      <w:pPr>
        <w:pStyle w:val="Normal"/>
        <w:spacing w:lineRule="auto" w:line="276" w:before="120" w:after="0"/>
        <w:ind w:firstLine="709"/>
        <w:rPr>
          <w:b/>
          <w:b/>
        </w:rPr>
      </w:pPr>
      <w:r>
        <w:rPr>
          <w:b/>
        </w:rPr>
        <w:t>Анализ существующего состояния</w:t>
      </w:r>
    </w:p>
    <w:p>
      <w:pPr>
        <w:pStyle w:val="Normal"/>
        <w:spacing w:lineRule="auto" w:line="276"/>
        <w:ind w:firstLine="709"/>
        <w:rPr>
          <w:szCs w:val="24"/>
        </w:rPr>
      </w:pPr>
      <w:r>
        <w:rPr>
          <w:szCs w:val="24"/>
        </w:rPr>
        <w:t>Искусственные дорожные сооружения — сооружения, являются конструктивными элементами дороги: искусственные сооружения (мосты, путепроводы, эстакады, трубы, тоннели и другие), защитные сооружения (снегозащитные лесонасаждения, постоянные снегозащитные заборы, шумозащитные и ветрозащитные устройства). Информация об искусственных сооружениях в Катенинском сельском поселении отсутствует.</w:t>
      </w:r>
    </w:p>
    <w:p>
      <w:pPr>
        <w:pStyle w:val="Normal"/>
        <w:spacing w:lineRule="auto" w:line="276"/>
        <w:ind w:firstLine="709"/>
        <w:rPr>
          <w:b/>
          <w:b/>
          <w:szCs w:val="24"/>
        </w:rPr>
      </w:pPr>
      <w:r>
        <w:rPr>
          <w:b/>
        </w:rPr>
        <w:t>Направления развития</w:t>
      </w:r>
    </w:p>
    <w:p>
      <w:pPr>
        <w:sectPr>
          <w:headerReference w:type="default" r:id="rId88"/>
          <w:footerReference w:type="default" r:id="rId89"/>
          <w:type w:val="nextPage"/>
          <w:pgSz w:w="11906" w:h="16838"/>
          <w:pgMar w:left="1418" w:right="567" w:header="567" w:top="1134" w:footer="567" w:bottom="1134" w:gutter="0"/>
          <w:pgNumType w:fmt="decimal"/>
          <w:formProt w:val="false"/>
          <w:textDirection w:val="lrTb"/>
          <w:docGrid w:type="default" w:linePitch="360" w:charSpace="0"/>
        </w:sectPr>
        <w:pStyle w:val="Normal"/>
        <w:spacing w:lineRule="auto" w:line="276"/>
        <w:ind w:firstLine="709"/>
        <w:rPr>
          <w:szCs w:val="24"/>
        </w:rPr>
      </w:pPr>
      <w:r>
        <w:rPr>
          <w:szCs w:val="24"/>
        </w:rPr>
        <w:t>Схемой территориального планирования Челябинской области (утверждена постановлением Правительства Челябинской области от 30 апреля 2021 г. №172-п) планируются объекты</w:t>
      </w:r>
      <w:r>
        <w:rPr>
          <w:rFonts w:eastAsia="Times New Roman"/>
          <w:szCs w:val="24"/>
          <w:lang w:eastAsia="ru-RU"/>
        </w:rPr>
        <w:t xml:space="preserve"> в области автомобильного транспорта на территории </w:t>
      </w:r>
      <w:r>
        <w:rPr>
          <w:szCs w:val="24"/>
        </w:rPr>
        <w:t>Катенинского</w:t>
      </w:r>
      <w:r>
        <w:rPr/>
        <w:t xml:space="preserve"> сельского поселения, перечень планируемых объектов </w:t>
      </w:r>
      <w:r>
        <w:rPr>
          <w:rFonts w:eastAsia="Times New Roman"/>
          <w:szCs w:val="24"/>
          <w:lang w:eastAsia="ru-RU"/>
        </w:rPr>
        <w:t>приведен в таблице 3.7.1.</w:t>
      </w:r>
    </w:p>
    <w:p>
      <w:pPr>
        <w:pStyle w:val="Normal"/>
        <w:spacing w:lineRule="auto" w:line="276"/>
        <w:ind w:firstLine="709"/>
        <w:jc w:val="right"/>
        <w:rPr>
          <w:rFonts w:eastAsia="Times New Roman"/>
          <w:szCs w:val="24"/>
          <w:lang w:eastAsia="ru-RU"/>
        </w:rPr>
      </w:pPr>
      <w:r>
        <w:rPr>
          <w:rFonts w:eastAsia="Times New Roman"/>
          <w:szCs w:val="24"/>
          <w:lang w:eastAsia="ru-RU"/>
        </w:rPr>
        <w:t>Таблица 3.7.1</w:t>
      </w:r>
    </w:p>
    <w:p>
      <w:pPr>
        <w:pStyle w:val="Normal"/>
        <w:spacing w:lineRule="auto" w:line="276"/>
        <w:ind w:firstLine="709"/>
        <w:jc w:val="center"/>
        <w:rPr>
          <w:rFonts w:eastAsia="Times New Roman"/>
          <w:szCs w:val="24"/>
          <w:lang w:val="cs-CZ" w:eastAsia="ru-RU"/>
        </w:rPr>
      </w:pPr>
      <w:r>
        <w:rPr>
          <w:rFonts w:eastAsia="Times New Roman"/>
          <w:szCs w:val="24"/>
          <w:lang w:eastAsia="ru-RU"/>
        </w:rPr>
        <w:t>Перечень планируемых объектов в области автомобильного транспорта</w:t>
      </w:r>
    </w:p>
    <w:p>
      <w:pPr>
        <w:pStyle w:val="Normal"/>
        <w:spacing w:lineRule="auto" w:line="12"/>
        <w:rPr>
          <w:sz w:val="20"/>
          <w:szCs w:val="20"/>
        </w:rPr>
      </w:pPr>
      <w:r>
        <w:rPr>
          <w:sz w:val="20"/>
          <w:szCs w:val="20"/>
        </w:rPr>
      </w:r>
    </w:p>
    <w:tbl>
      <w:tblPr>
        <w:tblW w:w="5000" w:type="pct"/>
        <w:jc w:val="left"/>
        <w:tblInd w:w="-142" w:type="dxa"/>
        <w:tblCellMar>
          <w:top w:w="0" w:type="dxa"/>
          <w:left w:w="28" w:type="dxa"/>
          <w:bottom w:w="0" w:type="dxa"/>
          <w:right w:w="28" w:type="dxa"/>
        </w:tblCellMar>
        <w:tblLook w:firstRow="1" w:noVBand="1" w:lastRow="0" w:firstColumn="1" w:lastColumn="0" w:noHBand="0" w:val="04a0"/>
      </w:tblPr>
      <w:tblGrid>
        <w:gridCol w:w="569"/>
        <w:gridCol w:w="2234"/>
        <w:gridCol w:w="2520"/>
        <w:gridCol w:w="2801"/>
        <w:gridCol w:w="2101"/>
        <w:gridCol w:w="2240"/>
        <w:gridCol w:w="2104"/>
      </w:tblGrid>
      <w:tr>
        <w:trPr>
          <w:tblHeader w:val="true"/>
          <w:trHeight w:val="16" w:hRule="atLeast"/>
        </w:trPr>
        <w:tc>
          <w:tcPr>
            <w:tcW w:w="569"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sz w:val="20"/>
                <w:szCs w:val="20"/>
              </w:rPr>
              <w:t>№</w:t>
            </w:r>
          </w:p>
        </w:tc>
        <w:tc>
          <w:tcPr>
            <w:tcW w:w="2234" w:type="dxa"/>
            <w:tcBorders>
              <w:top w:val="single" w:sz="4" w:space="0" w:color="000000"/>
              <w:left w:val="single" w:sz="4" w:space="0" w:color="000000"/>
              <w:right w:val="single" w:sz="4" w:space="0" w:color="000000"/>
            </w:tcBorders>
          </w:tcPr>
          <w:p>
            <w:pPr>
              <w:pStyle w:val="Normal"/>
              <w:spacing w:lineRule="auto" w:line="240"/>
              <w:jc w:val="center"/>
              <w:rPr>
                <w:b/>
                <w:b/>
                <w:sz w:val="20"/>
                <w:szCs w:val="20"/>
              </w:rPr>
            </w:pPr>
            <w:r>
              <w:rPr>
                <w:b/>
                <w:bCs/>
                <w:sz w:val="20"/>
                <w:szCs w:val="20"/>
              </w:rPr>
              <w:t>Идентификационный номер</w:t>
            </w:r>
          </w:p>
        </w:tc>
        <w:tc>
          <w:tcPr>
            <w:tcW w:w="2520"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Наименование</w:t>
            </w:r>
          </w:p>
        </w:tc>
        <w:tc>
          <w:tcPr>
            <w:tcW w:w="2801"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Местоположение</w:t>
            </w:r>
          </w:p>
        </w:tc>
        <w:tc>
          <w:tcPr>
            <w:tcW w:w="2101"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Описание планируемых мероприятий</w:t>
            </w:r>
          </w:p>
        </w:tc>
        <w:tc>
          <w:tcPr>
            <w:tcW w:w="2240"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Arial Unicode MS"/>
                <w:b/>
                <w:b/>
                <w:sz w:val="20"/>
                <w:szCs w:val="20"/>
              </w:rPr>
            </w:pPr>
            <w:r>
              <w:rPr>
                <w:rFonts w:eastAsia="Arial Unicode MS"/>
                <w:b/>
                <w:sz w:val="20"/>
                <w:szCs w:val="20"/>
              </w:rPr>
              <w:t>Основные характеристики объекта</w:t>
            </w:r>
          </w:p>
        </w:tc>
        <w:tc>
          <w:tcPr>
            <w:tcW w:w="2104"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Arial Unicode MS"/>
                <w:b/>
                <w:b/>
                <w:sz w:val="20"/>
                <w:szCs w:val="20"/>
              </w:rPr>
            </w:pPr>
            <w:r>
              <w:rPr>
                <w:rFonts w:eastAsia="Times New Roman"/>
                <w:b/>
                <w:bCs/>
                <w:sz w:val="20"/>
                <w:szCs w:val="20"/>
                <w:lang w:eastAsia="ru-RU"/>
              </w:rPr>
              <w:t>Назначение</w:t>
            </w:r>
          </w:p>
        </w:tc>
      </w:tr>
    </w:tbl>
    <w:p>
      <w:pPr>
        <w:pStyle w:val="Normal"/>
        <w:spacing w:lineRule="auto" w:line="240"/>
        <w:rPr>
          <w:sz w:val="2"/>
          <w:szCs w:val="2"/>
        </w:rPr>
      </w:pPr>
      <w:r>
        <w:rPr>
          <w:sz w:val="2"/>
          <w:szCs w:val="2"/>
        </w:rPr>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527"/>
        <w:gridCol w:w="2235"/>
        <w:gridCol w:w="2515"/>
        <w:gridCol w:w="2794"/>
        <w:gridCol w:w="2095"/>
        <w:gridCol w:w="2218"/>
        <w:gridCol w:w="2185"/>
      </w:tblGrid>
      <w:tr>
        <w:trPr>
          <w:tblHeader w:val="true"/>
          <w:trHeight w:val="24" w:hRule="atLeast"/>
        </w:trPr>
        <w:tc>
          <w:tcPr>
            <w:tcW w:w="52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1</w:t>
            </w:r>
          </w:p>
        </w:tc>
        <w:tc>
          <w:tcPr>
            <w:tcW w:w="223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r>
          </w:p>
        </w:tc>
        <w:tc>
          <w:tcPr>
            <w:tcW w:w="251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2</w:t>
            </w:r>
          </w:p>
        </w:tc>
        <w:tc>
          <w:tcPr>
            <w:tcW w:w="279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3</w:t>
            </w:r>
          </w:p>
        </w:tc>
        <w:tc>
          <w:tcPr>
            <w:tcW w:w="209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4</w:t>
            </w:r>
          </w:p>
        </w:tc>
        <w:tc>
          <w:tcPr>
            <w:tcW w:w="221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5</w:t>
            </w:r>
          </w:p>
        </w:tc>
        <w:tc>
          <w:tcPr>
            <w:tcW w:w="218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Arial Unicode MS"/>
                <w:b/>
                <w:b/>
                <w:sz w:val="20"/>
                <w:szCs w:val="20"/>
              </w:rPr>
            </w:pPr>
            <w:r>
              <w:rPr>
                <w:rFonts w:eastAsia="Arial Unicode MS"/>
                <w:b/>
                <w:sz w:val="20"/>
                <w:szCs w:val="20"/>
              </w:rPr>
              <w:t>6</w:t>
            </w:r>
          </w:p>
        </w:tc>
      </w:tr>
      <w:tr>
        <w:trPr>
          <w:trHeight w:val="24" w:hRule="atLeast"/>
        </w:trPr>
        <w:tc>
          <w:tcPr>
            <w:tcW w:w="52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1</w:t>
            </w:r>
          </w:p>
        </w:tc>
        <w:tc>
          <w:tcPr>
            <w:tcW w:w="223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ИДС.2.1</w:t>
            </w:r>
          </w:p>
        </w:tc>
        <w:tc>
          <w:tcPr>
            <w:tcW w:w="251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sz w:val="20"/>
                <w:szCs w:val="20"/>
                <w:lang w:eastAsia="ru-RU"/>
              </w:rPr>
              <w:t xml:space="preserve">Транспортная развязка </w:t>
              <w:br/>
              <w:t>в разных уровнях</w:t>
            </w:r>
          </w:p>
        </w:tc>
        <w:tc>
          <w:tcPr>
            <w:tcW w:w="279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rFonts w:eastAsia="Times New Roman"/>
                <w:sz w:val="20"/>
                <w:szCs w:val="20"/>
                <w:lang w:eastAsia="ru-RU"/>
              </w:rPr>
              <w:t>Варненский муниципальный район, Катенинское сельское поселение</w:t>
            </w:r>
          </w:p>
        </w:tc>
        <w:tc>
          <w:tcPr>
            <w:tcW w:w="209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rFonts w:eastAsia="Times New Roman"/>
                <w:sz w:val="20"/>
                <w:szCs w:val="20"/>
                <w:lang w:eastAsia="ru-RU"/>
              </w:rPr>
              <w:t>1. Планируемый к размещению</w:t>
            </w:r>
          </w:p>
          <w:p>
            <w:pPr>
              <w:pStyle w:val="Normal"/>
              <w:spacing w:lineRule="auto" w:line="240"/>
              <w:jc w:val="left"/>
              <w:rPr>
                <w:rFonts w:eastAsia="Times New Roman"/>
                <w:sz w:val="20"/>
                <w:szCs w:val="20"/>
                <w:lang w:eastAsia="ru-RU"/>
              </w:rPr>
            </w:pPr>
            <w:r>
              <w:rPr>
                <w:rFonts w:eastAsia="Times New Roman"/>
                <w:sz w:val="20"/>
                <w:szCs w:val="20"/>
                <w:lang w:eastAsia="ru-RU"/>
              </w:rPr>
              <w:t>2. Срок реализации — 2033 г</w:t>
            </w:r>
          </w:p>
        </w:tc>
        <w:tc>
          <w:tcPr>
            <w:tcW w:w="221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rFonts w:eastAsia="Times New Roman"/>
                <w:sz w:val="20"/>
                <w:szCs w:val="20"/>
                <w:lang w:eastAsia="ru-RU"/>
              </w:rPr>
              <w:t>Тип развязки — полного типа;</w:t>
            </w:r>
          </w:p>
          <w:p>
            <w:pPr>
              <w:pStyle w:val="Normal"/>
              <w:spacing w:lineRule="auto" w:line="240"/>
              <w:jc w:val="left"/>
              <w:rPr>
                <w:rFonts w:eastAsia="Times New Roman"/>
                <w:sz w:val="20"/>
                <w:szCs w:val="20"/>
                <w:lang w:eastAsia="ru-RU"/>
              </w:rPr>
            </w:pPr>
            <w:r>
              <w:rPr>
                <w:rFonts w:eastAsia="Times New Roman"/>
                <w:sz w:val="20"/>
                <w:szCs w:val="20"/>
                <w:lang w:eastAsia="ru-RU"/>
              </w:rPr>
              <w:t>тип дорожной одежды – капитальный, период функционирования — круглогодично</w:t>
            </w:r>
          </w:p>
        </w:tc>
        <w:tc>
          <w:tcPr>
            <w:tcW w:w="218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rFonts w:eastAsia="Times New Roman"/>
                <w:sz w:val="20"/>
                <w:szCs w:val="20"/>
                <w:lang w:eastAsia="ru-RU"/>
              </w:rPr>
              <w:t>Организация транспортной инфраструктуры</w:t>
            </w:r>
          </w:p>
        </w:tc>
      </w:tr>
    </w:tbl>
    <w:p>
      <w:pPr>
        <w:sectPr>
          <w:headerReference w:type="default" r:id="rId90"/>
          <w:footerReference w:type="default" r:id="rId91"/>
          <w:type w:val="nextPage"/>
          <w:pgSz w:orient="landscape" w:w="16838" w:h="11906"/>
          <w:pgMar w:left="1134" w:right="1134" w:header="567" w:top="1418" w:footer="567" w:bottom="624" w:gutter="0"/>
          <w:pgNumType w:fmt="decimal"/>
          <w:formProt w:val="false"/>
          <w:textDirection w:val="lrTb"/>
          <w:docGrid w:type="default" w:linePitch="360" w:charSpace="0"/>
        </w:sectPr>
      </w:pPr>
    </w:p>
    <w:p>
      <w:pPr>
        <w:pStyle w:val="0212164"/>
        <w:rPr>
          <w:rFonts w:eastAsia="Times New Roman"/>
          <w:szCs w:val="24"/>
          <w:lang w:eastAsia="ru-RU"/>
        </w:rPr>
      </w:pPr>
      <w:bookmarkStart w:id="183" w:name="_Toc182210486"/>
      <w:bookmarkStart w:id="184" w:name="_Toc69297559"/>
      <w:r>
        <w:rPr/>
        <w:t>ГЛАВА 8. ИНЖЕНЕРНАЯ ИНФРАСТРУКТУРА</w:t>
      </w:r>
      <w:bookmarkEnd w:id="184"/>
      <w:r>
        <w:rPr/>
        <w:t xml:space="preserve"> И ТРУБОПРОВОДНЫЙ ТРАНСПОРТ</w:t>
      </w:r>
      <w:bookmarkEnd w:id="183"/>
    </w:p>
    <w:p>
      <w:pPr>
        <w:pStyle w:val="3"/>
        <w:spacing w:lineRule="auto" w:line="276" w:before="0" w:after="0"/>
        <w:rPr>
          <w:rFonts w:ascii="Times New Roman" w:hAnsi="Times New Roman"/>
          <w:sz w:val="24"/>
          <w:szCs w:val="24"/>
        </w:rPr>
      </w:pPr>
      <w:bookmarkStart w:id="185" w:name="_Toc182210487"/>
      <w:bookmarkStart w:id="186" w:name="_Toc67414998"/>
      <w:r>
        <w:rPr>
          <w:rFonts w:ascii="Times New Roman" w:hAnsi="Times New Roman"/>
          <w:sz w:val="24"/>
          <w:szCs w:val="24"/>
        </w:rPr>
        <w:t>8.1 Водоснабжение</w:t>
      </w:r>
      <w:bookmarkEnd w:id="185"/>
      <w:bookmarkEnd w:id="186"/>
    </w:p>
    <w:p>
      <w:pPr>
        <w:pStyle w:val="Normal"/>
        <w:spacing w:lineRule="auto" w:line="276" w:before="120" w:after="0"/>
        <w:ind w:firstLine="709"/>
        <w:jc w:val="left"/>
        <w:rPr>
          <w:b/>
          <w:b/>
        </w:rPr>
      </w:pPr>
      <w:r>
        <w:rPr>
          <w:b/>
        </w:rPr>
        <w:t>Анализ существующего состояния</w:t>
      </w:r>
    </w:p>
    <w:p>
      <w:pPr>
        <w:pStyle w:val="Normal"/>
        <w:spacing w:lineRule="auto" w:line="276"/>
        <w:ind w:firstLine="709"/>
        <w:rPr>
          <w:rFonts w:eastAsia="Times New Roman"/>
          <w:bCs/>
          <w:color w:val="000000"/>
          <w:szCs w:val="24"/>
          <w:lang w:eastAsia="ru-RU"/>
        </w:rPr>
      </w:pPr>
      <w:r>
        <w:rPr>
          <w:rFonts w:eastAsia="Times New Roman"/>
          <w:szCs w:val="24"/>
          <w:lang w:eastAsia="ru-RU"/>
        </w:rPr>
        <w:t xml:space="preserve">В настоящее время </w:t>
      </w:r>
      <w:r>
        <w:rPr>
          <w:rFonts w:eastAsia="Times New Roman"/>
          <w:bCs/>
          <w:color w:val="000000"/>
          <w:szCs w:val="24"/>
          <w:lang w:eastAsia="ru-RU"/>
        </w:rPr>
        <w:t xml:space="preserve">в качестве источника хозяйственно-питьевого водоснабжения населенных пунктов </w:t>
      </w:r>
      <w:r>
        <w:rPr>
          <w:rFonts w:eastAsia="Times New Roman"/>
          <w:szCs w:val="24"/>
          <w:lang w:eastAsia="ru-RU"/>
        </w:rPr>
        <w:t>Катенинского сельского поселения Варненского муниципального района Челябинской области</w:t>
      </w:r>
      <w:r>
        <w:rPr>
          <w:rFonts w:eastAsia="Times New Roman"/>
          <w:bCs/>
          <w:color w:val="000000"/>
          <w:szCs w:val="24"/>
          <w:lang w:eastAsia="ru-RU"/>
        </w:rPr>
        <w:t xml:space="preserve"> используются подземные воды, добыча которых осуществляется с помощью артезианских водозаборных скважин.</w:t>
      </w:r>
    </w:p>
    <w:p>
      <w:pPr>
        <w:pStyle w:val="Normal"/>
        <w:spacing w:lineRule="auto" w:line="276"/>
        <w:ind w:firstLine="709"/>
        <w:rPr>
          <w:rFonts w:eastAsia="Times New Roman"/>
          <w:bCs/>
          <w:color w:val="000000"/>
          <w:szCs w:val="24"/>
          <w:lang w:eastAsia="ru-RU"/>
        </w:rPr>
      </w:pPr>
      <w:r>
        <w:rPr>
          <w:rFonts w:eastAsia="Times New Roman"/>
          <w:bCs/>
          <w:color w:val="000000"/>
          <w:szCs w:val="24"/>
          <w:lang w:eastAsia="ru-RU"/>
        </w:rPr>
        <w:t>Подача воды потребителям осуществляется самотеком по водопроводным трубам. Давление в системе создается водонапорными башнями, куда скважинными насосами подается вода.</w:t>
      </w:r>
    </w:p>
    <w:p>
      <w:pPr>
        <w:pStyle w:val="Normal"/>
        <w:spacing w:lineRule="auto" w:line="276"/>
        <w:ind w:firstLine="709"/>
        <w:jc w:val="left"/>
        <w:rPr>
          <w:rFonts w:eastAsia="Times New Roman"/>
          <w:szCs w:val="24"/>
          <w:lang w:eastAsia="ru-RU"/>
        </w:rPr>
      </w:pPr>
      <w:r>
        <w:rPr>
          <w:rFonts w:eastAsia="Times New Roman"/>
          <w:szCs w:val="24"/>
          <w:lang w:eastAsia="ru-RU"/>
        </w:rPr>
        <w:t xml:space="preserve"> </w:t>
      </w:r>
      <w:r>
        <w:rPr>
          <w:rFonts w:eastAsia="Times New Roman"/>
          <w:szCs w:val="24"/>
          <w:lang w:eastAsia="ru-RU"/>
        </w:rPr>
        <w:t xml:space="preserve">Характеристики артезианских скважин представлены в таблице 1.8.1.1 </w:t>
      </w:r>
    </w:p>
    <w:p>
      <w:pPr>
        <w:pStyle w:val="Normal"/>
        <w:widowControl w:val="false"/>
        <w:tabs>
          <w:tab w:val="clear" w:pos="708"/>
          <w:tab w:val="left" w:pos="1276" w:leader="none"/>
        </w:tabs>
        <w:spacing w:lineRule="auto" w:line="276"/>
        <w:ind w:firstLine="709"/>
        <w:jc w:val="right"/>
        <w:rPr>
          <w:rFonts w:eastAsia="Times New Roman"/>
          <w:szCs w:val="24"/>
          <w:lang w:eastAsia="ru-RU"/>
        </w:rPr>
      </w:pPr>
      <w:r>
        <w:rPr>
          <w:rFonts w:eastAsia="Times New Roman"/>
          <w:szCs w:val="24"/>
          <w:lang w:eastAsia="ru-RU"/>
        </w:rPr>
        <w:t>Таблица 1.8.1</w:t>
      </w:r>
    </w:p>
    <w:p>
      <w:pPr>
        <w:pStyle w:val="Normal"/>
        <w:tabs>
          <w:tab w:val="clear" w:pos="708"/>
          <w:tab w:val="left" w:pos="9356" w:leader="none"/>
        </w:tabs>
        <w:spacing w:lineRule="auto" w:line="276"/>
        <w:ind w:right="403" w:hanging="0"/>
        <w:jc w:val="center"/>
        <w:rPr>
          <w:rFonts w:eastAsia="Times New Roman"/>
          <w:szCs w:val="24"/>
          <w:lang w:eastAsia="ru-RU"/>
        </w:rPr>
      </w:pPr>
      <w:r>
        <w:rPr>
          <w:rFonts w:eastAsia="Times New Roman"/>
          <w:szCs w:val="24"/>
          <w:lang w:eastAsia="ru-RU"/>
        </w:rPr>
        <w:t>Характеристика артезианских скважин</w:t>
      </w:r>
    </w:p>
    <w:tbl>
      <w:tblPr>
        <w:tblStyle w:val="TableNormal1"/>
        <w:tblW w:w="5000" w:type="pct"/>
        <w:jc w:val="left"/>
        <w:tblInd w:w="-108" w:type="dxa"/>
        <w:tblCellMar>
          <w:top w:w="0" w:type="dxa"/>
          <w:left w:w="108" w:type="dxa"/>
          <w:bottom w:w="0" w:type="dxa"/>
          <w:right w:w="108" w:type="dxa"/>
        </w:tblCellMar>
        <w:tblLook w:firstRow="1" w:noVBand="0" w:lastRow="1" w:firstColumn="1" w:lastColumn="1" w:noHBand="0" w:val="01e0"/>
      </w:tblPr>
      <w:tblGrid>
        <w:gridCol w:w="382"/>
        <w:gridCol w:w="2014"/>
        <w:gridCol w:w="1358"/>
        <w:gridCol w:w="2203"/>
        <w:gridCol w:w="1077"/>
        <w:gridCol w:w="1364"/>
        <w:gridCol w:w="1522"/>
      </w:tblGrid>
      <w:tr>
        <w:trPr>
          <w:tblHeader w:val="true"/>
          <w:trHeight w:val="617" w:hRule="atLeast"/>
        </w:trPr>
        <w:tc>
          <w:tcPr>
            <w:tcW w:w="382" w:type="dxa"/>
            <w:tcBorders>
              <w:top w:val="single" w:sz="4" w:space="0" w:color="000000"/>
              <w:left w:val="single" w:sz="4" w:space="0" w:color="000000"/>
              <w:right w:val="single" w:sz="4" w:space="0" w:color="000000"/>
            </w:tcBorders>
            <w:vAlign w:val="center"/>
          </w:tcPr>
          <w:p>
            <w:pPr>
              <w:pStyle w:val="Normal"/>
              <w:widowControl w:val="false"/>
              <w:spacing w:lineRule="auto" w:line="240"/>
              <w:ind w:left="-5" w:right="5" w:hanging="0"/>
              <w:jc w:val="center"/>
              <w:rPr>
                <w:rFonts w:eastAsia="Times New Roman"/>
                <w:b/>
                <w:b/>
                <w:sz w:val="20"/>
                <w:szCs w:val="20"/>
              </w:rPr>
            </w:pPr>
            <w:r>
              <w:rPr>
                <w:rFonts w:eastAsia="Times New Roman" w:cs="" w:cstheme="minorBidi" w:ascii="Calibri" w:hAnsi="Calibri"/>
                <w:b/>
                <w:sz w:val="20"/>
                <w:szCs w:val="20"/>
                <w:lang w:val="en-US" w:eastAsia="en-US"/>
              </w:rPr>
              <w:t>№</w:t>
            </w:r>
          </w:p>
        </w:tc>
        <w:tc>
          <w:tcPr>
            <w:tcW w:w="2014" w:type="dxa"/>
            <w:tcBorders>
              <w:top w:val="single" w:sz="4" w:space="0" w:color="000000"/>
              <w:left w:val="single" w:sz="4" w:space="0" w:color="000000"/>
              <w:right w:val="single" w:sz="4" w:space="0" w:color="000000"/>
            </w:tcBorders>
            <w:vAlign w:val="center"/>
          </w:tcPr>
          <w:p>
            <w:pPr>
              <w:pStyle w:val="Normal"/>
              <w:widowControl w:val="false"/>
              <w:spacing w:lineRule="auto" w:line="240"/>
              <w:ind w:right="5" w:hanging="0"/>
              <w:jc w:val="center"/>
              <w:rPr>
                <w:rFonts w:eastAsia="Times New Roman"/>
                <w:b/>
                <w:b/>
                <w:sz w:val="20"/>
                <w:szCs w:val="20"/>
              </w:rPr>
            </w:pPr>
            <w:r>
              <w:rPr>
                <w:rFonts w:eastAsia="Times New Roman" w:cs="" w:cstheme="minorBidi" w:ascii="Calibri" w:hAnsi="Calibri"/>
                <w:b/>
                <w:sz w:val="20"/>
                <w:szCs w:val="20"/>
                <w:lang w:val="en-US" w:eastAsia="en-US"/>
              </w:rPr>
              <w:t>Местонахождение</w:t>
            </w:r>
          </w:p>
        </w:tc>
        <w:tc>
          <w:tcPr>
            <w:tcW w:w="1358" w:type="dxa"/>
            <w:tcBorders>
              <w:top w:val="single" w:sz="4" w:space="0" w:color="000000"/>
              <w:left w:val="single" w:sz="4" w:space="0" w:color="000000"/>
              <w:right w:val="single" w:sz="4" w:space="0" w:color="000000"/>
            </w:tcBorders>
          </w:tcPr>
          <w:p>
            <w:pPr>
              <w:pStyle w:val="Normal"/>
              <w:widowControl w:val="false"/>
              <w:spacing w:lineRule="auto" w:line="240"/>
              <w:ind w:right="-15" w:hanging="0"/>
              <w:jc w:val="center"/>
              <w:rPr>
                <w:rFonts w:eastAsia="Times New Roman"/>
                <w:b/>
                <w:b/>
                <w:sz w:val="20"/>
                <w:szCs w:val="20"/>
              </w:rPr>
            </w:pPr>
            <w:r>
              <w:rPr>
                <w:rFonts w:eastAsia="Times New Roman" w:cs="" w:cstheme="minorBidi" w:ascii="Calibri" w:hAnsi="Calibri"/>
                <w:b/>
                <w:sz w:val="20"/>
                <w:szCs w:val="20"/>
                <w:lang w:val="en-US" w:eastAsia="en-US"/>
              </w:rPr>
              <w:t>Номер скважины</w:t>
            </w:r>
          </w:p>
        </w:tc>
        <w:tc>
          <w:tcPr>
            <w:tcW w:w="2203" w:type="dxa"/>
            <w:tcBorders>
              <w:top w:val="single" w:sz="4" w:space="0" w:color="000000"/>
              <w:left w:val="single" w:sz="4" w:space="0" w:color="000000"/>
              <w:right w:val="single" w:sz="4" w:space="0" w:color="000000"/>
            </w:tcBorders>
            <w:vAlign w:val="center"/>
          </w:tcPr>
          <w:p>
            <w:pPr>
              <w:pStyle w:val="Normal"/>
              <w:widowControl w:val="false"/>
              <w:spacing w:lineRule="auto" w:line="240"/>
              <w:ind w:right="-15" w:hanging="0"/>
              <w:jc w:val="center"/>
              <w:rPr>
                <w:rFonts w:eastAsia="Times New Roman"/>
                <w:b/>
                <w:b/>
                <w:sz w:val="20"/>
                <w:szCs w:val="20"/>
              </w:rPr>
            </w:pPr>
            <w:r>
              <w:rPr>
                <w:rFonts w:eastAsia="Times New Roman" w:cs="" w:cstheme="minorBidi" w:ascii="Calibri" w:hAnsi="Calibri"/>
                <w:b/>
                <w:sz w:val="20"/>
                <w:szCs w:val="20"/>
                <w:lang w:val="en-US" w:eastAsia="en-US"/>
              </w:rPr>
              <w:t>Производительность, м</w:t>
            </w:r>
            <w:r>
              <w:rPr>
                <w:rFonts w:eastAsia="Times New Roman" w:cs="" w:cstheme="minorBidi" w:ascii="Calibri" w:hAnsi="Calibri"/>
                <w:b/>
                <w:sz w:val="20"/>
                <w:szCs w:val="20"/>
                <w:vertAlign w:val="superscript"/>
                <w:lang w:val="en-US" w:eastAsia="en-US"/>
              </w:rPr>
              <w:t>3</w:t>
            </w:r>
            <w:r>
              <w:rPr>
                <w:rFonts w:eastAsia="Times New Roman" w:cs="" w:cstheme="minorBidi" w:ascii="Calibri" w:hAnsi="Calibri"/>
                <w:b/>
                <w:sz w:val="20"/>
                <w:szCs w:val="20"/>
                <w:lang w:val="en-US" w:eastAsia="en-US"/>
              </w:rPr>
              <w:t>/сут</w:t>
            </w:r>
          </w:p>
        </w:tc>
        <w:tc>
          <w:tcPr>
            <w:tcW w:w="1077" w:type="dxa"/>
            <w:tcBorders>
              <w:top w:val="single" w:sz="4" w:space="0" w:color="000000"/>
              <w:left w:val="single" w:sz="4" w:space="0" w:color="000000"/>
              <w:right w:val="single" w:sz="4" w:space="0" w:color="000000"/>
            </w:tcBorders>
            <w:vAlign w:val="center"/>
          </w:tcPr>
          <w:p>
            <w:pPr>
              <w:pStyle w:val="Normal"/>
              <w:widowControl w:val="false"/>
              <w:spacing w:lineRule="auto" w:line="240"/>
              <w:ind w:right="22" w:hanging="0"/>
              <w:jc w:val="center"/>
              <w:rPr>
                <w:rFonts w:eastAsia="Times New Roman"/>
                <w:b/>
                <w:b/>
                <w:sz w:val="20"/>
                <w:szCs w:val="20"/>
              </w:rPr>
            </w:pPr>
            <w:r>
              <w:rPr>
                <w:rFonts w:eastAsia="Times New Roman" w:cs="" w:cstheme="minorBidi" w:ascii="Calibri" w:hAnsi="Calibri"/>
                <w:b/>
                <w:sz w:val="20"/>
                <w:szCs w:val="20"/>
                <w:lang w:val="en-US" w:eastAsia="en-US"/>
              </w:rPr>
              <w:t>Глубина, м</w:t>
            </w:r>
          </w:p>
        </w:tc>
        <w:tc>
          <w:tcPr>
            <w:tcW w:w="1364" w:type="dxa"/>
            <w:tcBorders>
              <w:top w:val="single" w:sz="4" w:space="0" w:color="000000"/>
              <w:left w:val="single" w:sz="4" w:space="0" w:color="000000"/>
              <w:right w:val="single" w:sz="4" w:space="0" w:color="000000"/>
            </w:tcBorders>
            <w:vAlign w:val="center"/>
          </w:tcPr>
          <w:p>
            <w:pPr>
              <w:pStyle w:val="Normal"/>
              <w:widowControl w:val="false"/>
              <w:spacing w:lineRule="auto" w:line="240"/>
              <w:ind w:right="62" w:hanging="0"/>
              <w:jc w:val="center"/>
              <w:rPr>
                <w:rFonts w:eastAsia="Times New Roman"/>
                <w:b/>
                <w:b/>
                <w:sz w:val="20"/>
                <w:szCs w:val="20"/>
              </w:rPr>
            </w:pPr>
            <w:r>
              <w:rPr>
                <w:rFonts w:eastAsia="Times New Roman" w:cs="" w:cstheme="minorBidi" w:ascii="Calibri" w:hAnsi="Calibri"/>
                <w:b/>
                <w:sz w:val="20"/>
                <w:szCs w:val="20"/>
                <w:lang w:val="en-US" w:eastAsia="en-US"/>
              </w:rPr>
              <w:t>Марка насоса</w:t>
            </w:r>
          </w:p>
        </w:tc>
        <w:tc>
          <w:tcPr>
            <w:tcW w:w="1522" w:type="dxa"/>
            <w:tcBorders>
              <w:top w:val="single" w:sz="4" w:space="0" w:color="000000"/>
              <w:left w:val="single" w:sz="4" w:space="0" w:color="000000"/>
              <w:right w:val="single" w:sz="4" w:space="0" w:color="000000"/>
            </w:tcBorders>
            <w:vAlign w:val="center"/>
          </w:tcPr>
          <w:p>
            <w:pPr>
              <w:pStyle w:val="Normal"/>
              <w:widowControl w:val="false"/>
              <w:spacing w:lineRule="auto" w:line="240"/>
              <w:ind w:right="62" w:hanging="0"/>
              <w:jc w:val="center"/>
              <w:rPr>
                <w:rFonts w:eastAsia="Times New Roman"/>
                <w:b/>
                <w:b/>
                <w:sz w:val="20"/>
                <w:szCs w:val="20"/>
              </w:rPr>
            </w:pPr>
            <w:r>
              <w:rPr>
                <w:rFonts w:eastAsia="Times New Roman" w:cs="" w:cstheme="minorBidi" w:ascii="Calibri" w:hAnsi="Calibri"/>
                <w:b/>
                <w:sz w:val="20"/>
                <w:szCs w:val="20"/>
                <w:lang w:val="en-US" w:eastAsia="en-US"/>
              </w:rPr>
              <w:t>Год ввода в эксплуатацию</w:t>
            </w:r>
          </w:p>
        </w:tc>
      </w:tr>
    </w:tbl>
    <w:p>
      <w:pPr>
        <w:pStyle w:val="Normal"/>
        <w:tabs>
          <w:tab w:val="clear" w:pos="708"/>
          <w:tab w:val="left" w:pos="9356" w:leader="none"/>
        </w:tabs>
        <w:spacing w:lineRule="auto" w:line="12"/>
        <w:ind w:right="403" w:hanging="0"/>
        <w:jc w:val="left"/>
        <w:rPr>
          <w:rFonts w:eastAsia="Times New Roman"/>
        </w:rPr>
      </w:pPr>
      <w:r>
        <w:rPr>
          <w:rFonts w:eastAsia="Times New Roman"/>
        </w:rPr>
      </w:r>
    </w:p>
    <w:tbl>
      <w:tblPr>
        <w:tblStyle w:val="TableNormal1"/>
        <w:tblW w:w="5000" w:type="pct"/>
        <w:jc w:val="left"/>
        <w:tblInd w:w="-108" w:type="dxa"/>
        <w:tblCellMar>
          <w:top w:w="0" w:type="dxa"/>
          <w:left w:w="108" w:type="dxa"/>
          <w:bottom w:w="0" w:type="dxa"/>
          <w:right w:w="108" w:type="dxa"/>
        </w:tblCellMar>
        <w:tblLook w:firstRow="1" w:noVBand="0" w:lastRow="1" w:firstColumn="1" w:lastColumn="1" w:noHBand="0" w:val="01e0"/>
      </w:tblPr>
      <w:tblGrid>
        <w:gridCol w:w="382"/>
        <w:gridCol w:w="2014"/>
        <w:gridCol w:w="1358"/>
        <w:gridCol w:w="2203"/>
        <w:gridCol w:w="1077"/>
        <w:gridCol w:w="1364"/>
        <w:gridCol w:w="1522"/>
      </w:tblGrid>
      <w:tr>
        <w:trPr>
          <w:tblHeader w:val="true"/>
          <w:trHeight w:val="176" w:hRule="atLeast"/>
        </w:trPr>
        <w:tc>
          <w:tcPr>
            <w:tcW w:w="382"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ind w:left="-5" w:right="5" w:hanging="0"/>
              <w:jc w:val="center"/>
              <w:rPr>
                <w:rFonts w:eastAsia="Times New Roman"/>
                <w:b/>
                <w:b/>
                <w:sz w:val="20"/>
                <w:szCs w:val="20"/>
              </w:rPr>
            </w:pPr>
            <w:r>
              <w:rPr>
                <w:rFonts w:eastAsia="Times New Roman" w:cs="" w:cstheme="minorBidi" w:ascii="Calibri" w:hAnsi="Calibri"/>
                <w:b/>
                <w:sz w:val="20"/>
                <w:szCs w:val="20"/>
                <w:lang w:val="en-US" w:eastAsia="en-US"/>
              </w:rPr>
              <w:t>1</w:t>
            </w:r>
          </w:p>
        </w:tc>
        <w:tc>
          <w:tcPr>
            <w:tcW w:w="201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ind w:right="5" w:hanging="0"/>
              <w:jc w:val="center"/>
              <w:rPr>
                <w:rFonts w:eastAsia="Times New Roman"/>
                <w:b/>
                <w:b/>
                <w:sz w:val="20"/>
                <w:szCs w:val="20"/>
              </w:rPr>
            </w:pPr>
            <w:r>
              <w:rPr>
                <w:rFonts w:eastAsia="Times New Roman" w:cs="" w:cstheme="minorBidi" w:ascii="Calibri" w:hAnsi="Calibri"/>
                <w:b/>
                <w:sz w:val="20"/>
                <w:szCs w:val="20"/>
                <w:lang w:val="en-US" w:eastAsia="en-US"/>
              </w:rPr>
              <w:t>2</w:t>
            </w:r>
          </w:p>
        </w:tc>
        <w:tc>
          <w:tcPr>
            <w:tcW w:w="135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ind w:right="-15" w:hanging="0"/>
              <w:jc w:val="center"/>
              <w:rPr>
                <w:rFonts w:eastAsia="Times New Roman"/>
                <w:b/>
                <w:b/>
                <w:sz w:val="20"/>
                <w:szCs w:val="20"/>
              </w:rPr>
            </w:pPr>
            <w:r>
              <w:rPr>
                <w:rFonts w:eastAsia="Times New Roman" w:cs="" w:cstheme="minorBidi" w:ascii="Calibri" w:hAnsi="Calibri"/>
                <w:b/>
                <w:sz w:val="20"/>
                <w:szCs w:val="20"/>
                <w:lang w:val="en-US" w:eastAsia="en-US"/>
              </w:rPr>
              <w:t>3</w:t>
            </w:r>
          </w:p>
        </w:tc>
        <w:tc>
          <w:tcPr>
            <w:tcW w:w="2203"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ind w:right="-15" w:hanging="0"/>
              <w:jc w:val="center"/>
              <w:rPr>
                <w:rFonts w:eastAsia="Times New Roman"/>
                <w:b/>
                <w:b/>
                <w:sz w:val="20"/>
                <w:szCs w:val="20"/>
              </w:rPr>
            </w:pPr>
            <w:r>
              <w:rPr>
                <w:rFonts w:eastAsia="Times New Roman" w:cs="" w:cstheme="minorBidi" w:ascii="Calibri" w:hAnsi="Calibri"/>
                <w:b/>
                <w:sz w:val="20"/>
                <w:szCs w:val="20"/>
                <w:lang w:val="en-US" w:eastAsia="en-US"/>
              </w:rPr>
              <w:t>4</w:t>
            </w:r>
          </w:p>
        </w:tc>
        <w:tc>
          <w:tcPr>
            <w:tcW w:w="107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ind w:right="22" w:hanging="0"/>
              <w:jc w:val="center"/>
              <w:rPr>
                <w:rFonts w:eastAsia="Times New Roman"/>
                <w:b/>
                <w:b/>
                <w:sz w:val="20"/>
                <w:szCs w:val="20"/>
              </w:rPr>
            </w:pPr>
            <w:r>
              <w:rPr>
                <w:rFonts w:eastAsia="Times New Roman" w:cs="" w:cstheme="minorBidi" w:ascii="Calibri" w:hAnsi="Calibri"/>
                <w:b/>
                <w:sz w:val="20"/>
                <w:szCs w:val="20"/>
                <w:lang w:val="en-US" w:eastAsia="en-US"/>
              </w:rPr>
              <w:t>5</w:t>
            </w:r>
          </w:p>
        </w:tc>
        <w:tc>
          <w:tcPr>
            <w:tcW w:w="136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ind w:right="62" w:hanging="0"/>
              <w:jc w:val="center"/>
              <w:rPr>
                <w:rFonts w:eastAsia="Times New Roman"/>
                <w:b/>
                <w:b/>
                <w:sz w:val="20"/>
                <w:szCs w:val="20"/>
              </w:rPr>
            </w:pPr>
            <w:r>
              <w:rPr>
                <w:rFonts w:eastAsia="Times New Roman" w:cs="" w:cstheme="minorBidi" w:ascii="Calibri" w:hAnsi="Calibri"/>
                <w:b/>
                <w:sz w:val="20"/>
                <w:szCs w:val="20"/>
                <w:lang w:val="en-US" w:eastAsia="en-US"/>
              </w:rPr>
              <w:t>6</w:t>
            </w:r>
          </w:p>
        </w:tc>
        <w:tc>
          <w:tcPr>
            <w:tcW w:w="1522"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ind w:right="62" w:hanging="0"/>
              <w:jc w:val="center"/>
              <w:rPr>
                <w:rFonts w:eastAsia="Times New Roman"/>
                <w:b/>
                <w:b/>
                <w:sz w:val="20"/>
                <w:szCs w:val="20"/>
              </w:rPr>
            </w:pPr>
            <w:r>
              <w:rPr>
                <w:rFonts w:eastAsia="Times New Roman" w:cs="" w:cstheme="minorBidi" w:ascii="Calibri" w:hAnsi="Calibri"/>
                <w:b/>
                <w:sz w:val="20"/>
                <w:szCs w:val="20"/>
                <w:lang w:val="en-US" w:eastAsia="en-US"/>
              </w:rPr>
              <w:t>7</w:t>
            </w:r>
          </w:p>
        </w:tc>
      </w:tr>
      <w:tr>
        <w:trPr>
          <w:trHeight w:val="20" w:hRule="atLeast"/>
        </w:trPr>
        <w:tc>
          <w:tcPr>
            <w:tcW w:w="382"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jc w:val="center"/>
              <w:rPr>
                <w:rFonts w:eastAsia="Times New Roman"/>
                <w:sz w:val="20"/>
                <w:szCs w:val="20"/>
              </w:rPr>
            </w:pPr>
            <w:r>
              <w:rPr>
                <w:rFonts w:eastAsia="Times New Roman" w:cs="" w:cstheme="minorBidi" w:ascii="Calibri" w:hAnsi="Calibri"/>
                <w:sz w:val="20"/>
                <w:szCs w:val="20"/>
                <w:lang w:val="en-US" w:eastAsia="en-US"/>
              </w:rPr>
              <w:t>1</w:t>
            </w:r>
          </w:p>
        </w:tc>
        <w:tc>
          <w:tcPr>
            <w:tcW w:w="201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ind w:left="78" w:hanging="0"/>
              <w:jc w:val="left"/>
              <w:rPr>
                <w:rFonts w:eastAsia="Times New Roman"/>
                <w:sz w:val="20"/>
                <w:szCs w:val="20"/>
              </w:rPr>
            </w:pPr>
            <w:r>
              <w:rPr>
                <w:rFonts w:eastAsia="Times New Roman" w:cs="" w:cstheme="minorBidi" w:ascii="Calibri" w:hAnsi="Calibri"/>
                <w:sz w:val="20"/>
                <w:szCs w:val="20"/>
                <w:lang w:val="en-US" w:eastAsia="ru-RU"/>
              </w:rPr>
              <w:t>с. Катенино</w:t>
            </w:r>
          </w:p>
        </w:tc>
        <w:tc>
          <w:tcPr>
            <w:tcW w:w="135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jc w:val="center"/>
              <w:rPr>
                <w:rFonts w:eastAsia="Times New Roman"/>
                <w:sz w:val="20"/>
                <w:szCs w:val="20"/>
              </w:rPr>
            </w:pPr>
            <w:r>
              <w:rPr>
                <w:rFonts w:eastAsia="Times New Roman" w:cs="" w:cstheme="minorBidi" w:ascii="Calibri" w:hAnsi="Calibri"/>
                <w:sz w:val="20"/>
                <w:szCs w:val="20"/>
                <w:lang w:val="en-US" w:eastAsia="en-US"/>
              </w:rPr>
              <w:t>5787</w:t>
            </w:r>
          </w:p>
        </w:tc>
        <w:tc>
          <w:tcPr>
            <w:tcW w:w="2203"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jc w:val="center"/>
              <w:rPr>
                <w:rFonts w:eastAsia="Times New Roman"/>
                <w:sz w:val="20"/>
                <w:szCs w:val="20"/>
              </w:rPr>
            </w:pPr>
            <w:r>
              <w:rPr>
                <w:rFonts w:eastAsia="Times New Roman" w:cs="" w:cstheme="minorBidi" w:ascii="Calibri" w:hAnsi="Calibri"/>
                <w:sz w:val="20"/>
                <w:szCs w:val="20"/>
                <w:lang w:val="en-US" w:eastAsia="en-US"/>
              </w:rPr>
              <w:t>412,8</w:t>
            </w:r>
          </w:p>
        </w:tc>
        <w:tc>
          <w:tcPr>
            <w:tcW w:w="107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jc w:val="center"/>
              <w:rPr>
                <w:rFonts w:eastAsia="Times New Roman"/>
                <w:sz w:val="20"/>
                <w:szCs w:val="20"/>
              </w:rPr>
            </w:pPr>
            <w:r>
              <w:rPr>
                <w:rFonts w:eastAsia="Times New Roman" w:cs="" w:cstheme="minorBidi" w:ascii="Calibri" w:hAnsi="Calibri"/>
                <w:sz w:val="20"/>
                <w:szCs w:val="20"/>
                <w:lang w:val="en-US" w:eastAsia="en-US"/>
              </w:rPr>
              <w:t>32</w:t>
            </w:r>
          </w:p>
        </w:tc>
        <w:tc>
          <w:tcPr>
            <w:tcW w:w="136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jc w:val="center"/>
              <w:rPr>
                <w:rFonts w:eastAsia="Times New Roman"/>
                <w:sz w:val="20"/>
                <w:szCs w:val="20"/>
              </w:rPr>
            </w:pPr>
            <w:r>
              <w:rPr>
                <w:rFonts w:eastAsia="Times New Roman" w:cs="" w:cstheme="minorBidi" w:ascii="Calibri" w:hAnsi="Calibri"/>
                <w:sz w:val="20"/>
                <w:szCs w:val="20"/>
                <w:lang w:val="en-US" w:eastAsia="en-US"/>
              </w:rPr>
              <w:t>ЭЦВ-6-10-80</w:t>
            </w:r>
          </w:p>
        </w:tc>
        <w:tc>
          <w:tcPr>
            <w:tcW w:w="1522"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jc w:val="center"/>
              <w:rPr>
                <w:rFonts w:eastAsia="Times New Roman"/>
                <w:sz w:val="20"/>
                <w:szCs w:val="20"/>
              </w:rPr>
            </w:pPr>
            <w:r>
              <w:rPr>
                <w:rFonts w:eastAsia="Times New Roman" w:cs="" w:cstheme="minorBidi" w:ascii="Calibri" w:hAnsi="Calibri"/>
                <w:sz w:val="20"/>
                <w:szCs w:val="20"/>
                <w:lang w:val="en-US" w:eastAsia="en-US"/>
              </w:rPr>
              <w:t>1988</w:t>
            </w:r>
          </w:p>
        </w:tc>
      </w:tr>
      <w:tr>
        <w:trPr>
          <w:trHeight w:val="20" w:hRule="atLeast"/>
        </w:trPr>
        <w:tc>
          <w:tcPr>
            <w:tcW w:w="382"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jc w:val="center"/>
              <w:rPr>
                <w:rFonts w:eastAsia="Times New Roman"/>
                <w:sz w:val="20"/>
                <w:szCs w:val="20"/>
              </w:rPr>
            </w:pPr>
            <w:r>
              <w:rPr>
                <w:rFonts w:eastAsia="Times New Roman" w:cs="" w:cstheme="minorBidi" w:ascii="Calibri" w:hAnsi="Calibri"/>
                <w:sz w:val="20"/>
                <w:szCs w:val="20"/>
                <w:lang w:val="en-US" w:eastAsia="en-US"/>
              </w:rPr>
              <w:t>2</w:t>
            </w:r>
          </w:p>
        </w:tc>
        <w:tc>
          <w:tcPr>
            <w:tcW w:w="201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ind w:left="78" w:hanging="0"/>
              <w:jc w:val="left"/>
              <w:rPr>
                <w:rFonts w:eastAsia="Times New Roman"/>
                <w:sz w:val="20"/>
                <w:szCs w:val="20"/>
              </w:rPr>
            </w:pPr>
            <w:r>
              <w:rPr>
                <w:rFonts w:eastAsia="Times New Roman" w:cs="" w:cstheme="minorBidi" w:ascii="Calibri" w:hAnsi="Calibri"/>
                <w:sz w:val="20"/>
                <w:szCs w:val="20"/>
                <w:lang w:val="en-US" w:eastAsia="ru-RU"/>
              </w:rPr>
              <w:t>п. Караоба</w:t>
            </w:r>
          </w:p>
        </w:tc>
        <w:tc>
          <w:tcPr>
            <w:tcW w:w="135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jc w:val="center"/>
              <w:rPr>
                <w:rFonts w:eastAsia="Times New Roman"/>
                <w:sz w:val="20"/>
                <w:szCs w:val="20"/>
              </w:rPr>
            </w:pPr>
            <w:r>
              <w:rPr>
                <w:rFonts w:eastAsia="Times New Roman" w:cs="" w:cstheme="minorBidi" w:ascii="Calibri" w:hAnsi="Calibri"/>
                <w:sz w:val="20"/>
                <w:szCs w:val="20"/>
                <w:lang w:val="en-US" w:eastAsia="en-US"/>
              </w:rPr>
              <w:t>3726</w:t>
            </w:r>
          </w:p>
        </w:tc>
        <w:tc>
          <w:tcPr>
            <w:tcW w:w="2203"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jc w:val="center"/>
              <w:rPr>
                <w:rFonts w:eastAsia="Times New Roman"/>
                <w:sz w:val="20"/>
                <w:szCs w:val="20"/>
              </w:rPr>
            </w:pPr>
            <w:r>
              <w:rPr>
                <w:rFonts w:eastAsia="Times New Roman" w:cs="" w:cstheme="minorBidi" w:ascii="Calibri" w:hAnsi="Calibri"/>
                <w:sz w:val="20"/>
                <w:szCs w:val="20"/>
                <w:lang w:val="en-US" w:eastAsia="en-US"/>
              </w:rPr>
              <w:t>69,6</w:t>
            </w:r>
          </w:p>
        </w:tc>
        <w:tc>
          <w:tcPr>
            <w:tcW w:w="107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jc w:val="center"/>
              <w:rPr>
                <w:rFonts w:eastAsia="Times New Roman"/>
                <w:sz w:val="20"/>
                <w:szCs w:val="20"/>
              </w:rPr>
            </w:pPr>
            <w:r>
              <w:rPr>
                <w:rFonts w:eastAsia="Times New Roman" w:cs="" w:cstheme="minorBidi" w:ascii="Calibri" w:hAnsi="Calibri"/>
                <w:sz w:val="20"/>
                <w:szCs w:val="20"/>
                <w:lang w:val="en-US" w:eastAsia="en-US"/>
              </w:rPr>
              <w:t>32</w:t>
            </w:r>
          </w:p>
        </w:tc>
        <w:tc>
          <w:tcPr>
            <w:tcW w:w="136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jc w:val="center"/>
              <w:rPr>
                <w:rFonts w:eastAsia="Times New Roman"/>
                <w:sz w:val="20"/>
                <w:szCs w:val="20"/>
              </w:rPr>
            </w:pPr>
            <w:r>
              <w:rPr>
                <w:rFonts w:eastAsia="Times New Roman" w:cs="" w:cstheme="minorBidi" w:ascii="Calibri" w:hAnsi="Calibri"/>
                <w:sz w:val="20"/>
                <w:szCs w:val="20"/>
                <w:lang w:val="en-US" w:eastAsia="en-US"/>
              </w:rPr>
              <w:t>ЭЦВ-6-10-80</w:t>
            </w:r>
          </w:p>
        </w:tc>
        <w:tc>
          <w:tcPr>
            <w:tcW w:w="1522"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jc w:val="center"/>
              <w:rPr>
                <w:rFonts w:eastAsia="Times New Roman"/>
                <w:sz w:val="20"/>
                <w:szCs w:val="20"/>
              </w:rPr>
            </w:pPr>
            <w:r>
              <w:rPr>
                <w:rFonts w:eastAsia="Times New Roman" w:cs="" w:cstheme="minorBidi" w:ascii="Calibri" w:hAnsi="Calibri"/>
                <w:sz w:val="20"/>
                <w:szCs w:val="20"/>
                <w:lang w:val="en-US" w:eastAsia="en-US"/>
              </w:rPr>
              <w:t>1978</w:t>
            </w:r>
          </w:p>
        </w:tc>
      </w:tr>
      <w:tr>
        <w:trPr>
          <w:trHeight w:val="20" w:hRule="atLeast"/>
        </w:trPr>
        <w:tc>
          <w:tcPr>
            <w:tcW w:w="382"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jc w:val="center"/>
              <w:rPr>
                <w:rFonts w:eastAsia="Times New Roman"/>
                <w:sz w:val="20"/>
                <w:szCs w:val="20"/>
              </w:rPr>
            </w:pPr>
            <w:r>
              <w:rPr>
                <w:rFonts w:eastAsia="Times New Roman" w:cs="" w:cstheme="minorBidi" w:ascii="Calibri" w:hAnsi="Calibri"/>
                <w:sz w:val="20"/>
                <w:szCs w:val="20"/>
                <w:lang w:val="en-US" w:eastAsia="en-US"/>
              </w:rPr>
              <w:t>3</w:t>
            </w:r>
          </w:p>
        </w:tc>
        <w:tc>
          <w:tcPr>
            <w:tcW w:w="201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ind w:left="78" w:hanging="0"/>
              <w:jc w:val="left"/>
              <w:rPr>
                <w:rFonts w:eastAsia="Times New Roman"/>
                <w:sz w:val="20"/>
                <w:szCs w:val="20"/>
              </w:rPr>
            </w:pPr>
            <w:r>
              <w:rPr>
                <w:rFonts w:eastAsia="Times New Roman" w:cs="" w:cstheme="minorBidi" w:ascii="Calibri" w:hAnsi="Calibri"/>
                <w:sz w:val="20"/>
                <w:szCs w:val="20"/>
                <w:lang w:val="en-US" w:eastAsia="en-US"/>
              </w:rPr>
              <w:t>п. Комсомольский</w:t>
            </w:r>
          </w:p>
        </w:tc>
        <w:tc>
          <w:tcPr>
            <w:tcW w:w="135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jc w:val="center"/>
              <w:rPr>
                <w:rFonts w:eastAsia="Times New Roman"/>
                <w:sz w:val="20"/>
                <w:szCs w:val="20"/>
              </w:rPr>
            </w:pPr>
            <w:r>
              <w:rPr>
                <w:rFonts w:eastAsia="Times New Roman" w:cs="" w:cstheme="minorBidi" w:ascii="Calibri" w:hAnsi="Calibri"/>
                <w:sz w:val="20"/>
                <w:szCs w:val="20"/>
                <w:lang w:val="en-US" w:eastAsia="en-US"/>
              </w:rPr>
              <w:t>1143-68</w:t>
            </w:r>
          </w:p>
        </w:tc>
        <w:tc>
          <w:tcPr>
            <w:tcW w:w="2203"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jc w:val="center"/>
              <w:rPr>
                <w:rFonts w:eastAsia="Times New Roman"/>
                <w:sz w:val="20"/>
                <w:szCs w:val="20"/>
              </w:rPr>
            </w:pPr>
            <w:r>
              <w:rPr>
                <w:rFonts w:eastAsia="Times New Roman" w:cs="" w:cstheme="minorBidi" w:ascii="Calibri" w:hAnsi="Calibri"/>
                <w:sz w:val="20"/>
                <w:szCs w:val="20"/>
                <w:lang w:val="en-US" w:eastAsia="en-US"/>
              </w:rPr>
              <w:t>62,4</w:t>
            </w:r>
          </w:p>
        </w:tc>
        <w:tc>
          <w:tcPr>
            <w:tcW w:w="107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jc w:val="center"/>
              <w:rPr>
                <w:rFonts w:eastAsia="Times New Roman"/>
                <w:sz w:val="20"/>
                <w:szCs w:val="20"/>
              </w:rPr>
            </w:pPr>
            <w:r>
              <w:rPr>
                <w:rFonts w:eastAsia="Times New Roman" w:cs="" w:cstheme="minorBidi" w:ascii="Calibri" w:hAnsi="Calibri"/>
                <w:sz w:val="20"/>
                <w:szCs w:val="20"/>
                <w:lang w:val="en-US" w:eastAsia="en-US"/>
              </w:rPr>
              <w:t>62</w:t>
            </w:r>
          </w:p>
        </w:tc>
        <w:tc>
          <w:tcPr>
            <w:tcW w:w="136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jc w:val="center"/>
              <w:rPr>
                <w:rFonts w:eastAsia="Times New Roman"/>
                <w:sz w:val="20"/>
                <w:szCs w:val="20"/>
              </w:rPr>
            </w:pPr>
            <w:r>
              <w:rPr>
                <w:rFonts w:eastAsia="Times New Roman" w:cs="" w:cstheme="minorBidi" w:ascii="Calibri" w:hAnsi="Calibri"/>
                <w:sz w:val="20"/>
                <w:szCs w:val="20"/>
                <w:lang w:val="en-US" w:eastAsia="en-US"/>
              </w:rPr>
              <w:t>ЭЦВ-6-10-80</w:t>
            </w:r>
          </w:p>
        </w:tc>
        <w:tc>
          <w:tcPr>
            <w:tcW w:w="1522"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76"/>
              <w:jc w:val="center"/>
              <w:rPr>
                <w:rFonts w:eastAsia="Times New Roman"/>
                <w:sz w:val="20"/>
                <w:szCs w:val="20"/>
              </w:rPr>
            </w:pPr>
            <w:r>
              <w:rPr>
                <w:rFonts w:eastAsia="Times New Roman" w:cs="" w:cstheme="minorBidi" w:ascii="Calibri" w:hAnsi="Calibri"/>
                <w:sz w:val="20"/>
                <w:szCs w:val="20"/>
                <w:lang w:val="en-US" w:eastAsia="en-US"/>
              </w:rPr>
              <w:t>1966</w:t>
            </w:r>
          </w:p>
        </w:tc>
      </w:tr>
    </w:tbl>
    <w:p>
      <w:pPr>
        <w:pStyle w:val="Normal"/>
        <w:spacing w:lineRule="auto" w:line="276" w:before="120" w:after="0"/>
        <w:ind w:firstLine="709"/>
        <w:rPr>
          <w:rFonts w:eastAsia="Times New Roman"/>
          <w:bCs/>
          <w:color w:val="000000"/>
          <w:szCs w:val="24"/>
          <w:lang w:eastAsia="ru-RU"/>
        </w:rPr>
      </w:pPr>
      <w:r>
        <w:rPr>
          <w:rFonts w:eastAsia="Times New Roman"/>
          <w:bCs/>
          <w:color w:val="000000"/>
          <w:szCs w:val="24"/>
          <w:lang w:eastAsia="ru-RU"/>
        </w:rPr>
        <w:t>Водопроводная сеть жилого фонда представляет собой смешанную тупиково-кольцевую систему водопроводных труб. Общая протяженность сетей водоснабжения составляет 13,1 км, трубопровод выполнен из стальных и полиэтиленовых труб, диаметром от 50 мм. до 100 мм. Глубина прокладки водопровода составляет 1,8-2,9 м. Износ стальных водопроводных сетей составляет 100 %.</w:t>
      </w:r>
    </w:p>
    <w:p>
      <w:pPr>
        <w:pStyle w:val="Normal"/>
        <w:spacing w:lineRule="auto" w:line="276"/>
        <w:ind w:firstLine="709"/>
        <w:rPr>
          <w:rFonts w:eastAsia="Times New Roman"/>
          <w:bCs/>
          <w:color w:val="000000"/>
          <w:szCs w:val="24"/>
          <w:lang w:eastAsia="ru-RU"/>
        </w:rPr>
      </w:pPr>
      <w:r>
        <w:rPr>
          <w:rFonts w:eastAsia="Times New Roman"/>
          <w:bCs/>
          <w:color w:val="000000"/>
          <w:szCs w:val="24"/>
          <w:lang w:eastAsia="ru-RU"/>
        </w:rPr>
        <w:t>Балансодержателем систем водоснабжения является администрация Катенинского сельского поселения. Обслуживание системы водоснабжения производится ООО «Жилком».</w:t>
      </w:r>
    </w:p>
    <w:p>
      <w:pPr>
        <w:pStyle w:val="Normal"/>
        <w:spacing w:lineRule="auto" w:line="276"/>
        <w:ind w:firstLine="709"/>
        <w:rPr>
          <w:rFonts w:eastAsia="Times New Roman"/>
          <w:bCs/>
          <w:color w:val="000000"/>
          <w:szCs w:val="24"/>
          <w:lang w:eastAsia="ru-RU"/>
        </w:rPr>
      </w:pPr>
      <w:r>
        <w:rPr>
          <w:rFonts w:eastAsia="Times New Roman"/>
          <w:bCs/>
          <w:color w:val="000000"/>
          <w:szCs w:val="24"/>
          <w:lang w:eastAsia="ru-RU"/>
        </w:rPr>
        <w:t>Также на территории Катенинского сельского поселения располагаются водоводы для организации водоснабжения АО «Михеевский ГОК»:</w:t>
      </w:r>
    </w:p>
    <w:p>
      <w:pPr>
        <w:pStyle w:val="Normal"/>
        <w:numPr>
          <w:ilvl w:val="0"/>
          <w:numId w:val="15"/>
        </w:numPr>
        <w:tabs>
          <w:tab w:val="clear" w:pos="708"/>
          <w:tab w:val="left" w:pos="1069" w:leader="none"/>
        </w:tabs>
        <w:spacing w:lineRule="auto" w:line="276" w:before="0" w:after="200"/>
        <w:ind w:left="709" w:hanging="283"/>
        <w:contextualSpacing/>
        <w:jc w:val="left"/>
        <w:rPr>
          <w:rFonts w:eastAsia="Times New Roman"/>
          <w:bCs/>
          <w:color w:val="000000"/>
          <w:szCs w:val="24"/>
          <w:lang w:eastAsia="ru-RU"/>
        </w:rPr>
      </w:pPr>
      <w:r>
        <w:rPr>
          <w:rFonts w:eastAsia="Times New Roman"/>
          <w:bCs/>
          <w:color w:val="000000"/>
          <w:szCs w:val="24"/>
          <w:lang w:eastAsia="ru-RU"/>
        </w:rPr>
        <w:t>водовод, диаметром 1020 мм, от гидроузла на реке Средний Тогузак от п. Казановка (Казановское сельское поселение);</w:t>
      </w:r>
    </w:p>
    <w:p>
      <w:pPr>
        <w:pStyle w:val="Normal"/>
        <w:numPr>
          <w:ilvl w:val="0"/>
          <w:numId w:val="15"/>
        </w:numPr>
        <w:tabs>
          <w:tab w:val="clear" w:pos="708"/>
          <w:tab w:val="left" w:pos="1069" w:leader="none"/>
        </w:tabs>
        <w:spacing w:lineRule="auto" w:line="276" w:before="0" w:after="0"/>
        <w:ind w:left="709" w:hanging="284"/>
        <w:contextualSpacing/>
        <w:jc w:val="left"/>
        <w:rPr>
          <w:rFonts w:eastAsia="Times New Roman"/>
          <w:bCs/>
          <w:color w:val="000000"/>
          <w:szCs w:val="24"/>
          <w:lang w:eastAsia="ru-RU"/>
        </w:rPr>
      </w:pPr>
      <w:r>
        <w:rPr>
          <w:rFonts w:eastAsia="Times New Roman"/>
          <w:bCs/>
          <w:color w:val="000000"/>
          <w:szCs w:val="24"/>
          <w:lang w:eastAsia="ru-RU"/>
        </w:rPr>
        <w:t>водовод от с. Катенино из гидротехнического сооружения на р. Караталаят.</w:t>
      </w:r>
    </w:p>
    <w:p>
      <w:pPr>
        <w:pStyle w:val="Normal"/>
        <w:spacing w:lineRule="auto" w:line="276"/>
        <w:ind w:firstLine="709"/>
        <w:rPr>
          <w:rFonts w:eastAsia="Times New Roman"/>
          <w:b/>
          <w:b/>
          <w:szCs w:val="24"/>
          <w:lang w:eastAsia="ru-RU"/>
        </w:rPr>
      </w:pPr>
      <w:r>
        <w:rPr>
          <w:rFonts w:eastAsia="Times New Roman"/>
          <w:b/>
          <w:szCs w:val="24"/>
          <w:lang w:eastAsia="ru-RU"/>
        </w:rPr>
        <w:t>Информация об основных проблемах и ограничениях</w:t>
      </w:r>
    </w:p>
    <w:p>
      <w:pPr>
        <w:pStyle w:val="Normal"/>
        <w:spacing w:lineRule="auto" w:line="276" w:before="0" w:after="0"/>
        <w:ind w:firstLine="709"/>
        <w:contextualSpacing/>
        <w:rPr>
          <w:rFonts w:eastAsia="Times New Roman"/>
          <w:szCs w:val="24"/>
          <w:lang w:eastAsia="ru-RU"/>
        </w:rPr>
      </w:pPr>
      <w:r>
        <w:rPr>
          <w:rFonts w:eastAsia="Times New Roman"/>
          <w:szCs w:val="24"/>
          <w:lang w:eastAsia="ru-RU"/>
        </w:rPr>
        <w:t>В настоящее время основной проблемой в системе водоснабжении сельского поселения является неудовлетворительное состояние стальных водопроводных сетей.</w:t>
      </w:r>
    </w:p>
    <w:p>
      <w:pPr>
        <w:pStyle w:val="Normal"/>
        <w:spacing w:lineRule="auto" w:line="276"/>
        <w:ind w:firstLine="709"/>
        <w:rPr>
          <w:rFonts w:eastAsia="Times New Roman"/>
          <w:b/>
          <w:b/>
          <w:szCs w:val="24"/>
          <w:lang w:eastAsia="ru-RU"/>
        </w:rPr>
      </w:pPr>
      <w:r>
        <w:rPr>
          <w:rFonts w:eastAsia="Times New Roman"/>
          <w:b/>
          <w:szCs w:val="24"/>
          <w:lang w:eastAsia="ru-RU"/>
        </w:rPr>
        <w:t>Проектные предложения</w:t>
      </w:r>
    </w:p>
    <w:p>
      <w:pPr>
        <w:pStyle w:val="Normal"/>
        <w:spacing w:lineRule="auto" w:line="276" w:before="0" w:after="0"/>
        <w:ind w:firstLine="709"/>
        <w:contextualSpacing/>
        <w:rPr>
          <w:rFonts w:eastAsia="Times New Roman"/>
          <w:szCs w:val="24"/>
          <w:lang w:eastAsia="ru-RU"/>
        </w:rPr>
      </w:pPr>
      <w:r>
        <w:rPr>
          <w:rFonts w:eastAsia="Times New Roman"/>
          <w:szCs w:val="24"/>
          <w:lang w:eastAsia="ru-RU"/>
        </w:rPr>
        <w:t xml:space="preserve">Генеральным планом предлагается ряд мероприятий по строительству, реконструкции и развитию объектов централизованной системы водоснабжения, которые позволят обеспечить: </w:t>
      </w:r>
    </w:p>
    <w:p>
      <w:pPr>
        <w:pStyle w:val="Normal"/>
        <w:numPr>
          <w:ilvl w:val="0"/>
          <w:numId w:val="16"/>
        </w:numPr>
        <w:spacing w:lineRule="auto" w:line="276" w:before="0" w:after="200"/>
        <w:ind w:left="0" w:firstLine="426"/>
        <w:contextualSpacing/>
        <w:jc w:val="left"/>
        <w:rPr>
          <w:rFonts w:eastAsia="Times New Roman"/>
          <w:szCs w:val="24"/>
          <w:lang w:eastAsia="ru-RU"/>
        </w:rPr>
      </w:pPr>
      <w:r>
        <w:rPr>
          <w:rFonts w:eastAsia="Times New Roman"/>
          <w:szCs w:val="24"/>
          <w:lang w:eastAsia="ru-RU"/>
        </w:rPr>
        <w:t>бесперебойное снабжение сельского поселения водой, отвечающей требованиям нормативов качества;</w:t>
      </w:r>
    </w:p>
    <w:p>
      <w:pPr>
        <w:pStyle w:val="Normal"/>
        <w:numPr>
          <w:ilvl w:val="0"/>
          <w:numId w:val="16"/>
        </w:numPr>
        <w:spacing w:lineRule="auto" w:line="276" w:before="0" w:after="200"/>
        <w:ind w:left="0" w:firstLine="426"/>
        <w:contextualSpacing/>
        <w:jc w:val="left"/>
        <w:rPr>
          <w:rFonts w:eastAsia="Times New Roman"/>
          <w:szCs w:val="24"/>
          <w:lang w:eastAsia="ru-RU"/>
        </w:rPr>
      </w:pPr>
      <w:r>
        <w:rPr>
          <w:rFonts w:eastAsia="Times New Roman"/>
          <w:szCs w:val="24"/>
          <w:lang w:eastAsia="ru-RU"/>
        </w:rPr>
        <w:t>повышение энергетической эффективности оборудования;</w:t>
      </w:r>
    </w:p>
    <w:p>
      <w:pPr>
        <w:pStyle w:val="Normal"/>
        <w:numPr>
          <w:ilvl w:val="0"/>
          <w:numId w:val="16"/>
        </w:numPr>
        <w:spacing w:lineRule="auto" w:line="276" w:before="0" w:after="0"/>
        <w:ind w:left="0" w:firstLine="425"/>
        <w:contextualSpacing/>
        <w:jc w:val="left"/>
        <w:rPr>
          <w:rFonts w:eastAsia="Times New Roman"/>
          <w:szCs w:val="24"/>
          <w:lang w:eastAsia="ru-RU"/>
        </w:rPr>
      </w:pPr>
      <w:r>
        <w:rPr>
          <w:rFonts w:eastAsia="Times New Roman"/>
          <w:szCs w:val="24"/>
          <w:lang w:eastAsia="ru-RU"/>
        </w:rPr>
        <w:t>контроль и автоматическое регулирование процесса водоснабжения.</w:t>
      </w:r>
    </w:p>
    <w:p>
      <w:pPr>
        <w:sectPr>
          <w:headerReference w:type="default" r:id="rId92"/>
          <w:footerReference w:type="default" r:id="rId93"/>
          <w:type w:val="nextPage"/>
          <w:pgSz w:w="11906" w:h="16838"/>
          <w:pgMar w:left="1418" w:right="567" w:header="567" w:top="1134" w:footer="567" w:bottom="1134" w:gutter="0"/>
          <w:pgNumType w:fmt="decimal"/>
          <w:formProt w:val="false"/>
          <w:textDirection w:val="lrTb"/>
          <w:docGrid w:type="default" w:linePitch="299" w:charSpace="0"/>
        </w:sectPr>
        <w:pStyle w:val="Normal"/>
        <w:spacing w:lineRule="auto" w:line="276" w:before="0" w:after="0"/>
        <w:ind w:firstLine="709"/>
        <w:contextualSpacing/>
        <w:rPr>
          <w:rFonts w:eastAsia="Times New Roman"/>
          <w:szCs w:val="24"/>
          <w:lang w:eastAsia="ru-RU"/>
        </w:rPr>
      </w:pPr>
      <w:r>
        <w:rPr>
          <w:rFonts w:eastAsia="Times New Roman"/>
          <w:szCs w:val="24"/>
          <w:lang w:eastAsia="ru-RU"/>
        </w:rPr>
        <w:t>Перечень планируемых мероприятий местного значения по развитию системы водоснабжения представлен в таблице 1.8.1.2</w:t>
      </w:r>
    </w:p>
    <w:p>
      <w:pPr>
        <w:pStyle w:val="Normal"/>
        <w:spacing w:lineRule="auto" w:line="276" w:before="120" w:after="120"/>
        <w:jc w:val="right"/>
        <w:rPr>
          <w:rFonts w:eastAsia="Times New Roman"/>
          <w:iCs/>
          <w:color w:val="000000"/>
          <w:szCs w:val="24"/>
          <w:lang w:eastAsia="ru-RU"/>
        </w:rPr>
      </w:pPr>
      <w:r>
        <w:rPr>
          <w:rFonts w:eastAsia="Times New Roman"/>
          <w:iCs/>
          <w:color w:val="000000"/>
          <w:szCs w:val="24"/>
          <w:lang w:eastAsia="ru-RU"/>
        </w:rPr>
        <w:t xml:space="preserve">Таблица </w:t>
      </w:r>
      <w:r>
        <w:rPr>
          <w:rFonts w:eastAsia="Times New Roman"/>
          <w:szCs w:val="24"/>
          <w:lang w:eastAsia="ru-RU"/>
        </w:rPr>
        <w:t>1.8.1.2</w:t>
      </w:r>
    </w:p>
    <w:p>
      <w:pPr>
        <w:pStyle w:val="Normal"/>
        <w:spacing w:lineRule="auto" w:line="276" w:before="120" w:after="0"/>
        <w:ind w:right="-2" w:hanging="0"/>
        <w:contextualSpacing/>
        <w:jc w:val="center"/>
        <w:rPr>
          <w:rFonts w:eastAsia="Times New Roman"/>
          <w:iCs/>
          <w:color w:val="000000"/>
          <w:szCs w:val="24"/>
          <w:lang w:eastAsia="ru-RU"/>
        </w:rPr>
      </w:pPr>
      <w:r>
        <w:rPr>
          <w:rFonts w:eastAsia="Times New Roman"/>
          <w:iCs/>
          <w:color w:val="000000"/>
          <w:szCs w:val="24"/>
          <w:lang w:eastAsia="ru-RU"/>
        </w:rPr>
        <w:t>Перечень мероприятий местного значения по развитию системы водоснабжения</w:t>
      </w:r>
    </w:p>
    <w:tbl>
      <w:tblPr>
        <w:tblW w:w="5000" w:type="pct"/>
        <w:jc w:val="left"/>
        <w:tblInd w:w="-10" w:type="dxa"/>
        <w:tblCellMar>
          <w:top w:w="0" w:type="dxa"/>
          <w:left w:w="5" w:type="dxa"/>
          <w:bottom w:w="0" w:type="dxa"/>
          <w:right w:w="5" w:type="dxa"/>
        </w:tblCellMar>
        <w:tblLook w:firstRow="1" w:noVBand="1" w:lastRow="0" w:firstColumn="1" w:lastColumn="0" w:noHBand="0" w:val="04a0"/>
      </w:tblPr>
      <w:tblGrid>
        <w:gridCol w:w="433"/>
        <w:gridCol w:w="700"/>
        <w:gridCol w:w="1419"/>
        <w:gridCol w:w="426"/>
        <w:gridCol w:w="1557"/>
        <w:gridCol w:w="1703"/>
        <w:gridCol w:w="1845"/>
        <w:gridCol w:w="851"/>
        <w:gridCol w:w="2829"/>
        <w:gridCol w:w="2805"/>
      </w:tblGrid>
      <w:tr>
        <w:trPr>
          <w:trHeight w:val="1855" w:hRule="atLeast"/>
          <w:cantSplit w:val="true"/>
        </w:trPr>
        <w:tc>
          <w:tcPr>
            <w:tcW w:w="433"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sz w:val="20"/>
                <w:szCs w:val="24"/>
                <w:lang w:eastAsia="ru-RU"/>
              </w:rPr>
            </w:pPr>
            <w:r>
              <w:rPr>
                <w:rFonts w:eastAsia="Times New Roman"/>
                <w:b/>
                <w:bCs/>
                <w:sz w:val="20"/>
                <w:szCs w:val="24"/>
                <w:lang w:eastAsia="ru-RU"/>
              </w:rPr>
              <w:t>№</w:t>
            </w:r>
          </w:p>
        </w:tc>
        <w:tc>
          <w:tcPr>
            <w:tcW w:w="700"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color w:val="000000"/>
                <w:sz w:val="20"/>
                <w:szCs w:val="24"/>
                <w:lang w:eastAsia="ru-RU"/>
              </w:rPr>
            </w:pPr>
            <w:r>
              <w:rPr>
                <w:rFonts w:eastAsia="Times New Roman"/>
                <w:b/>
                <w:bCs/>
                <w:color w:val="000000"/>
                <w:sz w:val="20"/>
                <w:szCs w:val="24"/>
                <w:lang w:eastAsia="ru-RU"/>
              </w:rPr>
              <w:t xml:space="preserve">№ </w:t>
            </w:r>
            <w:r>
              <w:rPr>
                <w:rFonts w:eastAsia="Times New Roman"/>
                <w:b/>
                <w:bCs/>
                <w:color w:val="000000"/>
                <w:sz w:val="20"/>
                <w:szCs w:val="24"/>
                <w:lang w:eastAsia="ru-RU"/>
              </w:rPr>
              <w:t>на карте</w:t>
            </w:r>
          </w:p>
        </w:tc>
        <w:tc>
          <w:tcPr>
            <w:tcW w:w="1419"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color w:val="000000"/>
                <w:sz w:val="20"/>
                <w:szCs w:val="24"/>
                <w:lang w:eastAsia="ru-RU"/>
              </w:rPr>
            </w:pPr>
            <w:r>
              <w:rPr>
                <w:rFonts w:eastAsia="Times New Roman"/>
                <w:b/>
                <w:bCs/>
                <w:sz w:val="20"/>
                <w:szCs w:val="24"/>
                <w:lang w:eastAsia="ru-RU"/>
              </w:rPr>
              <w:t>Наименование объекта</w:t>
            </w:r>
          </w:p>
        </w:tc>
        <w:tc>
          <w:tcPr>
            <w:tcW w:w="426" w:type="dxa"/>
            <w:tcBorders>
              <w:top w:val="single" w:sz="4" w:space="0" w:color="000000"/>
              <w:left w:val="single" w:sz="4" w:space="0" w:color="000000"/>
              <w:right w:val="single" w:sz="4" w:space="0" w:color="000000"/>
            </w:tcBorders>
            <w:textDirection w:val="btLr"/>
            <w:vAlign w:val="center"/>
          </w:tcPr>
          <w:p>
            <w:pPr>
              <w:pStyle w:val="Normal"/>
              <w:spacing w:lineRule="auto" w:line="240"/>
              <w:ind w:left="113" w:right="113" w:hanging="0"/>
              <w:jc w:val="center"/>
              <w:rPr>
                <w:rFonts w:eastAsia="Times New Roman"/>
                <w:b/>
                <w:b/>
                <w:bCs/>
                <w:color w:val="000000"/>
                <w:sz w:val="20"/>
                <w:szCs w:val="24"/>
                <w:lang w:eastAsia="ru-RU"/>
              </w:rPr>
            </w:pPr>
            <w:r>
              <w:rPr>
                <w:rFonts w:eastAsia="Times New Roman"/>
                <w:b/>
                <w:bCs/>
                <w:sz w:val="20"/>
                <w:szCs w:val="24"/>
                <w:lang w:eastAsia="ru-RU"/>
              </w:rPr>
              <w:t>Статус *</w:t>
            </w:r>
          </w:p>
        </w:tc>
        <w:tc>
          <w:tcPr>
            <w:tcW w:w="1557"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color w:val="000000"/>
                <w:sz w:val="20"/>
                <w:szCs w:val="24"/>
                <w:lang w:eastAsia="ru-RU"/>
              </w:rPr>
            </w:pPr>
            <w:r>
              <w:rPr>
                <w:rFonts w:eastAsia="Times New Roman"/>
                <w:b/>
                <w:sz w:val="20"/>
                <w:szCs w:val="24"/>
                <w:lang w:eastAsia="ru-RU"/>
              </w:rPr>
              <w:t>Местоположение</w:t>
            </w:r>
          </w:p>
        </w:tc>
        <w:tc>
          <w:tcPr>
            <w:tcW w:w="1703"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color w:val="000000"/>
                <w:sz w:val="20"/>
                <w:szCs w:val="24"/>
                <w:lang w:eastAsia="ru-RU"/>
              </w:rPr>
            </w:pPr>
            <w:r>
              <w:rPr>
                <w:rFonts w:eastAsia="Times New Roman"/>
                <w:b/>
                <w:bCs/>
                <w:sz w:val="20"/>
                <w:szCs w:val="24"/>
                <w:lang w:eastAsia="ru-RU"/>
              </w:rPr>
              <w:t>Основные характеристики **</w:t>
            </w:r>
          </w:p>
        </w:tc>
        <w:tc>
          <w:tcPr>
            <w:tcW w:w="1845"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color w:val="000000"/>
                <w:sz w:val="20"/>
                <w:szCs w:val="24"/>
                <w:lang w:eastAsia="ru-RU"/>
              </w:rPr>
            </w:pPr>
            <w:r>
              <w:rPr>
                <w:rFonts w:eastAsia="Times New Roman"/>
                <w:b/>
                <w:bCs/>
                <w:sz w:val="20"/>
                <w:szCs w:val="24"/>
                <w:lang w:eastAsia="ru-RU"/>
              </w:rPr>
              <w:t>Назначение</w:t>
            </w:r>
          </w:p>
        </w:tc>
        <w:tc>
          <w:tcPr>
            <w:tcW w:w="851" w:type="dxa"/>
            <w:tcBorders>
              <w:top w:val="single" w:sz="4" w:space="0" w:color="000000"/>
              <w:left w:val="single" w:sz="4" w:space="0" w:color="000000"/>
              <w:right w:val="single" w:sz="4" w:space="0" w:color="000000"/>
            </w:tcBorders>
            <w:textDirection w:val="btLr"/>
            <w:vAlign w:val="center"/>
          </w:tcPr>
          <w:p>
            <w:pPr>
              <w:pStyle w:val="Normal"/>
              <w:spacing w:lineRule="auto" w:line="240"/>
              <w:ind w:left="113" w:right="113" w:hanging="0"/>
              <w:jc w:val="center"/>
              <w:rPr>
                <w:rFonts w:eastAsia="Times New Roman"/>
                <w:b/>
                <w:b/>
                <w:bCs/>
                <w:color w:val="000000"/>
                <w:sz w:val="20"/>
                <w:szCs w:val="24"/>
                <w:lang w:eastAsia="ru-RU"/>
              </w:rPr>
            </w:pPr>
            <w:r>
              <w:rPr>
                <w:rFonts w:eastAsia="Times New Roman"/>
                <w:b/>
                <w:bCs/>
                <w:sz w:val="20"/>
                <w:szCs w:val="24"/>
                <w:lang w:eastAsia="ru-RU"/>
              </w:rPr>
              <w:t>Планируемый срок реализации</w:t>
            </w:r>
          </w:p>
        </w:tc>
        <w:tc>
          <w:tcPr>
            <w:tcW w:w="2829"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color w:val="000000"/>
                <w:sz w:val="20"/>
                <w:szCs w:val="24"/>
                <w:lang w:eastAsia="ru-RU"/>
              </w:rPr>
            </w:pPr>
            <w:r>
              <w:rPr>
                <w:rFonts w:eastAsia="Times New Roman"/>
                <w:b/>
                <w:sz w:val="20"/>
                <w:szCs w:val="24"/>
                <w:lang w:eastAsia="ru-RU"/>
              </w:rPr>
              <w:t>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p>
        </w:tc>
        <w:tc>
          <w:tcPr>
            <w:tcW w:w="2805"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sz w:val="20"/>
                <w:szCs w:val="24"/>
                <w:lang w:eastAsia="ru-RU"/>
              </w:rPr>
            </w:pPr>
            <w:r>
              <w:rPr>
                <w:rFonts w:eastAsia="Times New Roman"/>
                <w:b/>
                <w:sz w:val="20"/>
                <w:szCs w:val="24"/>
                <w:lang w:eastAsia="ru-RU"/>
              </w:rPr>
              <w:t>Наименование документов стратегического планирования, национальных проектов, инвестиционных программ субъектов естественных монополий, организаций коммунального комплекса, решений органов местного самоуправления, иных главных распорядителей средств соответствующих бюджетов, предусматривающих создание объекта</w:t>
            </w:r>
          </w:p>
        </w:tc>
      </w:tr>
    </w:tbl>
    <w:p>
      <w:pPr>
        <w:pStyle w:val="Normal"/>
        <w:tabs>
          <w:tab w:val="clear" w:pos="708"/>
          <w:tab w:val="left" w:pos="14317" w:leader="none"/>
        </w:tabs>
        <w:spacing w:lineRule="auto" w:line="9" w:before="0" w:after="0"/>
        <w:ind w:right="255" w:hanging="0"/>
        <w:contextualSpacing/>
        <w:jc w:val="center"/>
        <w:rPr>
          <w:rFonts w:eastAsia="Times New Roman"/>
          <w:szCs w:val="24"/>
          <w:lang w:eastAsia="ru-RU"/>
        </w:rPr>
      </w:pPr>
      <w:r>
        <w:rPr>
          <w:rFonts w:eastAsia="Times New Roman"/>
          <w:szCs w:val="24"/>
          <w:lang w:eastAsia="ru-RU"/>
        </w:rPr>
      </w:r>
    </w:p>
    <w:tbl>
      <w:tblPr>
        <w:tblW w:w="14596" w:type="dxa"/>
        <w:jc w:val="left"/>
        <w:tblInd w:w="-108" w:type="dxa"/>
        <w:tblCellMar>
          <w:top w:w="0" w:type="dxa"/>
          <w:left w:w="108" w:type="dxa"/>
          <w:bottom w:w="0" w:type="dxa"/>
          <w:right w:w="108" w:type="dxa"/>
        </w:tblCellMar>
        <w:tblLook w:firstRow="1" w:noVBand="1" w:lastRow="0" w:firstColumn="1" w:lastColumn="0" w:noHBand="0" w:val="04a0"/>
      </w:tblPr>
      <w:tblGrid>
        <w:gridCol w:w="421"/>
        <w:gridCol w:w="708"/>
        <w:gridCol w:w="1418"/>
        <w:gridCol w:w="424"/>
        <w:gridCol w:w="1561"/>
        <w:gridCol w:w="1700"/>
        <w:gridCol w:w="1843"/>
        <w:gridCol w:w="851"/>
        <w:gridCol w:w="2692"/>
        <w:gridCol w:w="2976"/>
      </w:tblGrid>
      <w:tr>
        <w:trPr>
          <w:trHeight w:val="20" w:hRule="atLeast"/>
        </w:trPr>
        <w:tc>
          <w:tcPr>
            <w:tcW w:w="14594" w:type="dxa"/>
            <w:gridSpan w:val="10"/>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b/>
                <w:b/>
                <w:bCs/>
                <w:color w:val="000000"/>
                <w:sz w:val="20"/>
                <w:szCs w:val="20"/>
                <w:lang w:eastAsia="ru-RU"/>
              </w:rPr>
            </w:pPr>
            <w:r>
              <w:rPr>
                <w:rFonts w:eastAsia="Times New Roman"/>
                <w:b/>
                <w:bCs/>
                <w:color w:val="000000"/>
                <w:sz w:val="20"/>
                <w:szCs w:val="20"/>
                <w:lang w:eastAsia="ru-RU"/>
              </w:rPr>
              <w:t>Объекты водоснабжения</w:t>
            </w:r>
          </w:p>
        </w:tc>
      </w:tr>
      <w:tr>
        <w:trPr>
          <w:trHeight w:val="20" w:hRule="atLeast"/>
        </w:trPr>
        <w:tc>
          <w:tcPr>
            <w:tcW w:w="42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1</w:t>
            </w:r>
          </w:p>
        </w:tc>
        <w:tc>
          <w:tcPr>
            <w:tcW w:w="708" w:type="dxa"/>
            <w:tcBorders>
              <w:top w:val="single" w:sz="4" w:space="0" w:color="000000"/>
              <w:left w:val="single" w:sz="4" w:space="0" w:color="000000"/>
              <w:bottom w:val="single" w:sz="4" w:space="0" w:color="000000"/>
              <w:right w:val="single" w:sz="4" w:space="0" w:color="000000"/>
            </w:tcBorders>
          </w:tcPr>
          <w:p>
            <w:pPr>
              <w:pStyle w:val="Normal"/>
              <w:spacing w:lineRule="auto" w:line="240"/>
              <w:ind w:hanging="6"/>
              <w:jc w:val="center"/>
              <w:rPr>
                <w:rFonts w:eastAsia="Times New Roman"/>
                <w:iCs/>
                <w:color w:val="000000"/>
                <w:sz w:val="20"/>
                <w:szCs w:val="20"/>
                <w:lang w:eastAsia="ru-RU"/>
              </w:rPr>
            </w:pPr>
            <w:r>
              <w:rPr>
                <w:rFonts w:eastAsia="Times New Roman"/>
                <w:iCs/>
                <w:color w:val="000000"/>
                <w:sz w:val="20"/>
                <w:szCs w:val="20"/>
                <w:lang w:eastAsia="ru-RU"/>
              </w:rPr>
              <w:t>В.6.1</w:t>
            </w:r>
          </w:p>
        </w:tc>
        <w:tc>
          <w:tcPr>
            <w:tcW w:w="141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Артезианская скважина***</w:t>
            </w:r>
          </w:p>
        </w:tc>
        <w:tc>
          <w:tcPr>
            <w:tcW w:w="42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iCs/>
                <w:color w:val="000000"/>
                <w:sz w:val="20"/>
                <w:szCs w:val="20"/>
                <w:lang w:eastAsia="ru-RU"/>
              </w:rPr>
              <w:t>С</w:t>
            </w:r>
          </w:p>
        </w:tc>
        <w:tc>
          <w:tcPr>
            <w:tcW w:w="156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п. Красноармейский</w:t>
            </w:r>
          </w:p>
        </w:tc>
        <w:tc>
          <w:tcPr>
            <w:tcW w:w="170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Количество – 1 единица; производительность – 70 м</w:t>
            </w:r>
            <w:r>
              <w:rPr>
                <w:rFonts w:eastAsia="Times New Roman"/>
                <w:sz w:val="20"/>
                <w:szCs w:val="20"/>
                <w:vertAlign w:val="superscript"/>
                <w:lang w:eastAsia="ru-RU"/>
              </w:rPr>
              <w:t>3</w:t>
            </w:r>
            <w:r>
              <w:rPr>
                <w:rFonts w:eastAsia="Times New Roman"/>
                <w:sz w:val="20"/>
                <w:szCs w:val="20"/>
                <w:lang w:eastAsia="ru-RU"/>
              </w:rPr>
              <w:t>/сут.</w:t>
            </w:r>
          </w:p>
        </w:tc>
        <w:tc>
          <w:tcPr>
            <w:tcW w:w="184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Обеспечение водой перспективных потребителей</w:t>
            </w:r>
          </w:p>
        </w:tc>
        <w:tc>
          <w:tcPr>
            <w:tcW w:w="85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до 2035 года</w:t>
            </w:r>
          </w:p>
        </w:tc>
        <w:tc>
          <w:tcPr>
            <w:tcW w:w="2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Граница первого пояса ЗСО не менее 50 м, согласно СанПиН 2.1.4.1110-02 «Зоны санитарной охраны источников водоснабжения и водопроводов питьевого назначения», введенными в действие постановлением Главного государственного санитарного врача Российской Федерации от 14.03.2002 № 10</w:t>
            </w:r>
          </w:p>
        </w:tc>
        <w:tc>
          <w:tcPr>
            <w:tcW w:w="297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w:t>
            </w:r>
          </w:p>
        </w:tc>
      </w:tr>
      <w:tr>
        <w:trPr>
          <w:trHeight w:val="20" w:hRule="atLeast"/>
        </w:trPr>
        <w:tc>
          <w:tcPr>
            <w:tcW w:w="14594" w:type="dxa"/>
            <w:gridSpan w:val="10"/>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b/>
                <w:b/>
                <w:color w:val="000000"/>
                <w:sz w:val="20"/>
                <w:szCs w:val="20"/>
                <w:lang w:eastAsia="ru-RU"/>
              </w:rPr>
            </w:pPr>
            <w:r>
              <w:rPr>
                <w:rFonts w:eastAsia="Times New Roman"/>
                <w:b/>
                <w:bCs/>
                <w:color w:val="000000"/>
                <w:sz w:val="20"/>
                <w:szCs w:val="20"/>
                <w:lang w:eastAsia="ru-RU"/>
              </w:rPr>
              <w:t>Сети водоснабжения</w:t>
            </w:r>
          </w:p>
        </w:tc>
      </w:tr>
      <w:tr>
        <w:trPr>
          <w:trHeight w:val="20" w:hRule="atLeast"/>
        </w:trPr>
        <w:tc>
          <w:tcPr>
            <w:tcW w:w="42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2</w:t>
            </w:r>
          </w:p>
        </w:tc>
        <w:tc>
          <w:tcPr>
            <w:tcW w:w="708" w:type="dxa"/>
            <w:tcBorders>
              <w:top w:val="single" w:sz="4" w:space="0" w:color="000000"/>
              <w:left w:val="single" w:sz="4" w:space="0" w:color="000000"/>
              <w:bottom w:val="single" w:sz="4" w:space="0" w:color="000000"/>
              <w:right w:val="single" w:sz="4" w:space="0" w:color="000000"/>
            </w:tcBorders>
          </w:tcPr>
          <w:p>
            <w:pPr>
              <w:pStyle w:val="Normal"/>
              <w:spacing w:lineRule="auto" w:line="240"/>
              <w:ind w:hanging="6"/>
              <w:jc w:val="center"/>
              <w:rPr>
                <w:rFonts w:eastAsia="Times New Roman"/>
                <w:iCs/>
                <w:color w:val="000000"/>
                <w:sz w:val="20"/>
                <w:szCs w:val="20"/>
                <w:lang w:eastAsia="ru-RU"/>
              </w:rPr>
            </w:pPr>
            <w:r>
              <w:rPr>
                <w:rFonts w:eastAsia="Times New Roman"/>
                <w:iCs/>
                <w:color w:val="000000"/>
                <w:sz w:val="20"/>
                <w:szCs w:val="20"/>
                <w:lang w:eastAsia="ru-RU"/>
              </w:rPr>
              <w:t>ВС.2.1</w:t>
            </w:r>
          </w:p>
        </w:tc>
        <w:tc>
          <w:tcPr>
            <w:tcW w:w="141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Водопровод</w:t>
            </w:r>
          </w:p>
        </w:tc>
        <w:tc>
          <w:tcPr>
            <w:tcW w:w="42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Р</w:t>
            </w:r>
          </w:p>
        </w:tc>
        <w:tc>
          <w:tcPr>
            <w:tcW w:w="156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с. Катенино</w:t>
            </w:r>
          </w:p>
        </w:tc>
        <w:tc>
          <w:tcPr>
            <w:tcW w:w="170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Протяженность –0,450 км</w:t>
            </w:r>
          </w:p>
        </w:tc>
        <w:tc>
          <w:tcPr>
            <w:tcW w:w="184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rFonts w:eastAsia="Times New Roman"/>
                <w:sz w:val="20"/>
                <w:szCs w:val="20"/>
                <w:lang w:eastAsia="ru-RU"/>
              </w:rPr>
              <w:t>Повышение надежности подачи воды</w:t>
            </w:r>
          </w:p>
        </w:tc>
        <w:tc>
          <w:tcPr>
            <w:tcW w:w="85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до 2035 года</w:t>
            </w:r>
          </w:p>
        </w:tc>
        <w:tc>
          <w:tcPr>
            <w:tcW w:w="2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w:t>
            </w:r>
          </w:p>
        </w:tc>
        <w:tc>
          <w:tcPr>
            <w:tcW w:w="297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Схема территориального планирования Варненского муниципального района Челябинской области.</w:t>
            </w:r>
          </w:p>
        </w:tc>
      </w:tr>
      <w:tr>
        <w:trPr>
          <w:trHeight w:val="20" w:hRule="atLeast"/>
        </w:trPr>
        <w:tc>
          <w:tcPr>
            <w:tcW w:w="42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3</w:t>
            </w:r>
          </w:p>
        </w:tc>
        <w:tc>
          <w:tcPr>
            <w:tcW w:w="708" w:type="dxa"/>
            <w:tcBorders>
              <w:top w:val="single" w:sz="4" w:space="0" w:color="000000"/>
              <w:left w:val="single" w:sz="4" w:space="0" w:color="000000"/>
              <w:bottom w:val="single" w:sz="4" w:space="0" w:color="000000"/>
              <w:right w:val="single" w:sz="4" w:space="0" w:color="000000"/>
            </w:tcBorders>
          </w:tcPr>
          <w:p>
            <w:pPr>
              <w:pStyle w:val="Normal"/>
              <w:spacing w:lineRule="auto" w:line="240"/>
              <w:ind w:hanging="6"/>
              <w:jc w:val="center"/>
              <w:rPr>
                <w:rFonts w:eastAsia="Times New Roman"/>
                <w:iCs/>
                <w:color w:val="000000"/>
                <w:sz w:val="20"/>
                <w:szCs w:val="20"/>
                <w:lang w:eastAsia="ru-RU"/>
              </w:rPr>
            </w:pPr>
            <w:r>
              <w:rPr>
                <w:rFonts w:eastAsia="Times New Roman"/>
                <w:iCs/>
                <w:color w:val="000000"/>
                <w:sz w:val="20"/>
                <w:szCs w:val="20"/>
                <w:lang w:eastAsia="ru-RU"/>
              </w:rPr>
              <w:t>ВС.2.2</w:t>
            </w:r>
          </w:p>
        </w:tc>
        <w:tc>
          <w:tcPr>
            <w:tcW w:w="141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Водопровод</w:t>
            </w:r>
          </w:p>
        </w:tc>
        <w:tc>
          <w:tcPr>
            <w:tcW w:w="42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Р</w:t>
            </w:r>
          </w:p>
        </w:tc>
        <w:tc>
          <w:tcPr>
            <w:tcW w:w="156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sz w:val="20"/>
                <w:szCs w:val="20"/>
                <w:lang w:eastAsia="ru-RU"/>
              </w:rPr>
              <w:t>с. Караоба</w:t>
            </w:r>
          </w:p>
        </w:tc>
        <w:tc>
          <w:tcPr>
            <w:tcW w:w="170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Протяженность –0,620 км</w:t>
            </w:r>
          </w:p>
        </w:tc>
        <w:tc>
          <w:tcPr>
            <w:tcW w:w="184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rFonts w:eastAsia="Times New Roman"/>
                <w:sz w:val="20"/>
                <w:szCs w:val="20"/>
                <w:lang w:eastAsia="ru-RU"/>
              </w:rPr>
              <w:t>Повышение надежности подачи воды</w:t>
            </w:r>
          </w:p>
        </w:tc>
        <w:tc>
          <w:tcPr>
            <w:tcW w:w="85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до 2035 года</w:t>
            </w:r>
          </w:p>
        </w:tc>
        <w:tc>
          <w:tcPr>
            <w:tcW w:w="2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w:t>
            </w:r>
          </w:p>
        </w:tc>
        <w:tc>
          <w:tcPr>
            <w:tcW w:w="297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Схема территориального планирования Варненского муниципального района Челябинской области.</w:t>
            </w:r>
          </w:p>
        </w:tc>
      </w:tr>
      <w:tr>
        <w:trPr>
          <w:trHeight w:val="20" w:hRule="atLeast"/>
        </w:trPr>
        <w:tc>
          <w:tcPr>
            <w:tcW w:w="42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4</w:t>
            </w:r>
          </w:p>
        </w:tc>
        <w:tc>
          <w:tcPr>
            <w:tcW w:w="708" w:type="dxa"/>
            <w:tcBorders>
              <w:top w:val="single" w:sz="4" w:space="0" w:color="000000"/>
              <w:left w:val="single" w:sz="4" w:space="0" w:color="000000"/>
              <w:bottom w:val="single" w:sz="4" w:space="0" w:color="000000"/>
              <w:right w:val="single" w:sz="4" w:space="0" w:color="000000"/>
            </w:tcBorders>
          </w:tcPr>
          <w:p>
            <w:pPr>
              <w:pStyle w:val="Normal"/>
              <w:spacing w:lineRule="auto" w:line="240"/>
              <w:ind w:hanging="6"/>
              <w:jc w:val="center"/>
              <w:rPr>
                <w:rFonts w:eastAsia="Times New Roman"/>
                <w:iCs/>
                <w:color w:val="000000"/>
                <w:sz w:val="20"/>
                <w:szCs w:val="20"/>
                <w:lang w:eastAsia="ru-RU"/>
              </w:rPr>
            </w:pPr>
            <w:r>
              <w:rPr>
                <w:rFonts w:eastAsia="Times New Roman"/>
                <w:iCs/>
                <w:color w:val="000000"/>
                <w:sz w:val="20"/>
                <w:szCs w:val="20"/>
                <w:lang w:eastAsia="ru-RU"/>
              </w:rPr>
              <w:t>ВС.2.3</w:t>
            </w:r>
          </w:p>
        </w:tc>
        <w:tc>
          <w:tcPr>
            <w:tcW w:w="141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Водопровод</w:t>
            </w:r>
          </w:p>
        </w:tc>
        <w:tc>
          <w:tcPr>
            <w:tcW w:w="42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Р</w:t>
            </w:r>
          </w:p>
        </w:tc>
        <w:tc>
          <w:tcPr>
            <w:tcW w:w="156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 xml:space="preserve">п. Комсомольский </w:t>
            </w:r>
          </w:p>
        </w:tc>
        <w:tc>
          <w:tcPr>
            <w:tcW w:w="170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Протяженность –1,0 км</w:t>
            </w:r>
          </w:p>
        </w:tc>
        <w:tc>
          <w:tcPr>
            <w:tcW w:w="184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Повышение надежности подачи воды</w:t>
            </w:r>
          </w:p>
        </w:tc>
        <w:tc>
          <w:tcPr>
            <w:tcW w:w="85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до 2035 года</w:t>
            </w:r>
          </w:p>
        </w:tc>
        <w:tc>
          <w:tcPr>
            <w:tcW w:w="2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w:t>
            </w:r>
          </w:p>
        </w:tc>
        <w:tc>
          <w:tcPr>
            <w:tcW w:w="297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Схема территориального планирования Варненского муниципального района Челябинской области.</w:t>
            </w:r>
          </w:p>
        </w:tc>
      </w:tr>
      <w:tr>
        <w:trPr>
          <w:trHeight w:val="20" w:hRule="atLeast"/>
        </w:trPr>
        <w:tc>
          <w:tcPr>
            <w:tcW w:w="42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5</w:t>
            </w:r>
          </w:p>
        </w:tc>
        <w:tc>
          <w:tcPr>
            <w:tcW w:w="708" w:type="dxa"/>
            <w:tcBorders>
              <w:top w:val="single" w:sz="4" w:space="0" w:color="000000"/>
              <w:left w:val="single" w:sz="4" w:space="0" w:color="000000"/>
              <w:bottom w:val="single" w:sz="4" w:space="0" w:color="000000"/>
              <w:right w:val="single" w:sz="4" w:space="0" w:color="000000"/>
            </w:tcBorders>
          </w:tcPr>
          <w:p>
            <w:pPr>
              <w:pStyle w:val="Normal"/>
              <w:spacing w:lineRule="auto" w:line="240"/>
              <w:ind w:hanging="6"/>
              <w:jc w:val="center"/>
              <w:rPr>
                <w:rFonts w:eastAsia="Times New Roman"/>
                <w:iCs/>
                <w:color w:val="000000"/>
                <w:sz w:val="20"/>
                <w:szCs w:val="20"/>
                <w:lang w:eastAsia="ru-RU"/>
              </w:rPr>
            </w:pPr>
            <w:r>
              <w:rPr>
                <w:rFonts w:eastAsia="Times New Roman"/>
                <w:iCs/>
                <w:color w:val="000000"/>
                <w:sz w:val="20"/>
                <w:szCs w:val="20"/>
                <w:lang w:eastAsia="ru-RU"/>
              </w:rPr>
              <w:t>ВС.2.4</w:t>
            </w:r>
          </w:p>
        </w:tc>
        <w:tc>
          <w:tcPr>
            <w:tcW w:w="141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Водопровод</w:t>
            </w:r>
          </w:p>
        </w:tc>
        <w:tc>
          <w:tcPr>
            <w:tcW w:w="42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С</w:t>
            </w:r>
          </w:p>
        </w:tc>
        <w:tc>
          <w:tcPr>
            <w:tcW w:w="156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с. Катенино</w:t>
            </w:r>
          </w:p>
        </w:tc>
        <w:tc>
          <w:tcPr>
            <w:tcW w:w="170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Протяженность –3,027 км</w:t>
            </w:r>
          </w:p>
        </w:tc>
        <w:tc>
          <w:tcPr>
            <w:tcW w:w="184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Подключение новых потребителей</w:t>
            </w:r>
          </w:p>
        </w:tc>
        <w:tc>
          <w:tcPr>
            <w:tcW w:w="85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до 2035 года</w:t>
            </w:r>
          </w:p>
        </w:tc>
        <w:tc>
          <w:tcPr>
            <w:tcW w:w="2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w:t>
            </w:r>
          </w:p>
        </w:tc>
        <w:tc>
          <w:tcPr>
            <w:tcW w:w="297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Схема территориального планирования Варненского муниципального района Челябинской области.</w:t>
            </w:r>
          </w:p>
        </w:tc>
      </w:tr>
      <w:tr>
        <w:trPr>
          <w:trHeight w:val="20" w:hRule="atLeast"/>
        </w:trPr>
        <w:tc>
          <w:tcPr>
            <w:tcW w:w="42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6</w:t>
            </w:r>
          </w:p>
        </w:tc>
        <w:tc>
          <w:tcPr>
            <w:tcW w:w="708" w:type="dxa"/>
            <w:tcBorders>
              <w:top w:val="single" w:sz="4" w:space="0" w:color="000000"/>
              <w:left w:val="single" w:sz="4" w:space="0" w:color="000000"/>
              <w:bottom w:val="single" w:sz="4" w:space="0" w:color="000000"/>
              <w:right w:val="single" w:sz="4" w:space="0" w:color="000000"/>
            </w:tcBorders>
          </w:tcPr>
          <w:p>
            <w:pPr>
              <w:pStyle w:val="Normal"/>
              <w:spacing w:lineRule="auto" w:line="240"/>
              <w:ind w:hanging="6"/>
              <w:jc w:val="center"/>
              <w:rPr>
                <w:rFonts w:eastAsia="Times New Roman"/>
                <w:iCs/>
                <w:color w:val="000000"/>
                <w:sz w:val="20"/>
                <w:szCs w:val="20"/>
                <w:lang w:eastAsia="ru-RU"/>
              </w:rPr>
            </w:pPr>
            <w:r>
              <w:rPr>
                <w:rFonts w:eastAsia="Times New Roman"/>
                <w:iCs/>
                <w:color w:val="000000"/>
                <w:sz w:val="20"/>
                <w:szCs w:val="20"/>
                <w:lang w:eastAsia="ru-RU"/>
              </w:rPr>
              <w:t>ВС.2.5</w:t>
            </w:r>
          </w:p>
        </w:tc>
        <w:tc>
          <w:tcPr>
            <w:tcW w:w="141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Водопровод</w:t>
            </w:r>
          </w:p>
        </w:tc>
        <w:tc>
          <w:tcPr>
            <w:tcW w:w="42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С</w:t>
            </w:r>
          </w:p>
        </w:tc>
        <w:tc>
          <w:tcPr>
            <w:tcW w:w="156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sz w:val="20"/>
                <w:szCs w:val="20"/>
                <w:lang w:eastAsia="ru-RU"/>
              </w:rPr>
              <w:t>с. Караоба</w:t>
            </w:r>
          </w:p>
        </w:tc>
        <w:tc>
          <w:tcPr>
            <w:tcW w:w="170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Протяженность –0,120 км</w:t>
            </w:r>
          </w:p>
        </w:tc>
        <w:tc>
          <w:tcPr>
            <w:tcW w:w="184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Подключение новых потребителей</w:t>
            </w:r>
          </w:p>
        </w:tc>
        <w:tc>
          <w:tcPr>
            <w:tcW w:w="85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до 2035 года</w:t>
            </w:r>
          </w:p>
        </w:tc>
        <w:tc>
          <w:tcPr>
            <w:tcW w:w="2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w:t>
            </w:r>
          </w:p>
        </w:tc>
        <w:tc>
          <w:tcPr>
            <w:tcW w:w="297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Схема территориального планирования Варненского муниципального района Челябинской области.</w:t>
            </w:r>
          </w:p>
        </w:tc>
      </w:tr>
      <w:tr>
        <w:trPr>
          <w:trHeight w:val="20" w:hRule="atLeast"/>
        </w:trPr>
        <w:tc>
          <w:tcPr>
            <w:tcW w:w="42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7</w:t>
            </w:r>
          </w:p>
        </w:tc>
        <w:tc>
          <w:tcPr>
            <w:tcW w:w="708" w:type="dxa"/>
            <w:tcBorders>
              <w:top w:val="single" w:sz="4" w:space="0" w:color="000000"/>
              <w:left w:val="single" w:sz="4" w:space="0" w:color="000000"/>
              <w:bottom w:val="single" w:sz="4" w:space="0" w:color="000000"/>
              <w:right w:val="single" w:sz="4" w:space="0" w:color="000000"/>
            </w:tcBorders>
          </w:tcPr>
          <w:p>
            <w:pPr>
              <w:pStyle w:val="Normal"/>
              <w:spacing w:lineRule="auto" w:line="240"/>
              <w:ind w:hanging="6"/>
              <w:jc w:val="center"/>
              <w:rPr>
                <w:rFonts w:eastAsia="Times New Roman"/>
                <w:iCs/>
                <w:color w:val="000000"/>
                <w:sz w:val="20"/>
                <w:szCs w:val="20"/>
                <w:lang w:eastAsia="ru-RU"/>
              </w:rPr>
            </w:pPr>
            <w:r>
              <w:rPr>
                <w:rFonts w:eastAsia="Times New Roman"/>
                <w:iCs/>
                <w:color w:val="000000"/>
                <w:sz w:val="20"/>
                <w:szCs w:val="20"/>
                <w:lang w:eastAsia="ru-RU"/>
              </w:rPr>
              <w:t>ВС.2.6</w:t>
            </w:r>
          </w:p>
        </w:tc>
        <w:tc>
          <w:tcPr>
            <w:tcW w:w="141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Водопровод</w:t>
            </w:r>
          </w:p>
        </w:tc>
        <w:tc>
          <w:tcPr>
            <w:tcW w:w="42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С</w:t>
            </w:r>
          </w:p>
        </w:tc>
        <w:tc>
          <w:tcPr>
            <w:tcW w:w="156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 xml:space="preserve">п. Комсомольский </w:t>
            </w:r>
          </w:p>
        </w:tc>
        <w:tc>
          <w:tcPr>
            <w:tcW w:w="170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Протяженность –1,672 км</w:t>
            </w:r>
          </w:p>
        </w:tc>
        <w:tc>
          <w:tcPr>
            <w:tcW w:w="184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Подключение новых потребителей</w:t>
            </w:r>
          </w:p>
        </w:tc>
        <w:tc>
          <w:tcPr>
            <w:tcW w:w="85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до 2035 года</w:t>
            </w:r>
          </w:p>
        </w:tc>
        <w:tc>
          <w:tcPr>
            <w:tcW w:w="2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w:t>
            </w:r>
          </w:p>
        </w:tc>
        <w:tc>
          <w:tcPr>
            <w:tcW w:w="297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Схема территориального планирования Варненского муниципального района Челябинской области.</w:t>
            </w:r>
          </w:p>
        </w:tc>
      </w:tr>
      <w:tr>
        <w:trPr>
          <w:trHeight w:val="20" w:hRule="atLeast"/>
        </w:trPr>
        <w:tc>
          <w:tcPr>
            <w:tcW w:w="42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8</w:t>
            </w:r>
          </w:p>
        </w:tc>
        <w:tc>
          <w:tcPr>
            <w:tcW w:w="708" w:type="dxa"/>
            <w:tcBorders>
              <w:top w:val="single" w:sz="4" w:space="0" w:color="000000"/>
              <w:left w:val="single" w:sz="4" w:space="0" w:color="000000"/>
              <w:bottom w:val="single" w:sz="4" w:space="0" w:color="000000"/>
              <w:right w:val="single" w:sz="4" w:space="0" w:color="000000"/>
            </w:tcBorders>
          </w:tcPr>
          <w:p>
            <w:pPr>
              <w:pStyle w:val="Normal"/>
              <w:spacing w:lineRule="auto" w:line="240"/>
              <w:ind w:hanging="6"/>
              <w:jc w:val="center"/>
              <w:rPr>
                <w:rFonts w:eastAsia="Times New Roman"/>
                <w:iCs/>
                <w:color w:val="000000"/>
                <w:sz w:val="20"/>
                <w:szCs w:val="20"/>
                <w:lang w:eastAsia="ru-RU"/>
              </w:rPr>
            </w:pPr>
            <w:r>
              <w:rPr>
                <w:rFonts w:eastAsia="Times New Roman"/>
                <w:iCs/>
                <w:color w:val="000000"/>
                <w:sz w:val="20"/>
                <w:szCs w:val="20"/>
                <w:lang w:eastAsia="ru-RU"/>
              </w:rPr>
              <w:t>ВС.2.7</w:t>
            </w:r>
          </w:p>
        </w:tc>
        <w:tc>
          <w:tcPr>
            <w:tcW w:w="141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Водопровод</w:t>
            </w:r>
          </w:p>
        </w:tc>
        <w:tc>
          <w:tcPr>
            <w:tcW w:w="42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С</w:t>
            </w:r>
          </w:p>
        </w:tc>
        <w:tc>
          <w:tcPr>
            <w:tcW w:w="156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п. Красноармейский</w:t>
            </w:r>
          </w:p>
        </w:tc>
        <w:tc>
          <w:tcPr>
            <w:tcW w:w="170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Протяженность –2,532 км</w:t>
            </w:r>
          </w:p>
        </w:tc>
        <w:tc>
          <w:tcPr>
            <w:tcW w:w="184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Подключение новых потребителей</w:t>
            </w:r>
          </w:p>
        </w:tc>
        <w:tc>
          <w:tcPr>
            <w:tcW w:w="85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до 2035 года</w:t>
            </w:r>
          </w:p>
        </w:tc>
        <w:tc>
          <w:tcPr>
            <w:tcW w:w="2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w:t>
            </w:r>
          </w:p>
        </w:tc>
        <w:tc>
          <w:tcPr>
            <w:tcW w:w="297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Схема территориального планирования Варненского муниципального района Челябинской области.</w:t>
            </w:r>
          </w:p>
        </w:tc>
      </w:tr>
    </w:tbl>
    <w:p>
      <w:pPr>
        <w:pStyle w:val="Normal"/>
        <w:spacing w:lineRule="auto" w:line="240"/>
        <w:jc w:val="left"/>
        <w:rPr>
          <w:rFonts w:eastAsia="Times New Roman"/>
          <w:sz w:val="20"/>
          <w:szCs w:val="20"/>
          <w:lang w:eastAsia="ru-RU"/>
        </w:rPr>
      </w:pPr>
      <w:r>
        <w:rPr>
          <w:rFonts w:eastAsia="Times New Roman"/>
          <w:sz w:val="20"/>
          <w:szCs w:val="20"/>
          <w:lang w:eastAsia="ru-RU"/>
        </w:rPr>
        <w:t>Примечания:</w:t>
      </w:r>
    </w:p>
    <w:p>
      <w:pPr>
        <w:pStyle w:val="Normal"/>
        <w:spacing w:lineRule="auto" w:line="240"/>
        <w:jc w:val="left"/>
        <w:rPr>
          <w:rFonts w:eastAsia="Times New Roman"/>
          <w:sz w:val="20"/>
          <w:szCs w:val="20"/>
          <w:lang w:eastAsia="ru-RU"/>
        </w:rPr>
      </w:pPr>
      <w:r>
        <w:rPr>
          <w:rFonts w:eastAsia="Times New Roman"/>
          <w:sz w:val="20"/>
          <w:szCs w:val="20"/>
          <w:lang w:eastAsia="ru-RU"/>
        </w:rPr>
        <w:t>* С — строительство, Р — реконструкция;</w:t>
      </w:r>
    </w:p>
    <w:p>
      <w:pPr>
        <w:pStyle w:val="Normal"/>
        <w:spacing w:lineRule="auto" w:line="240"/>
        <w:jc w:val="left"/>
        <w:rPr>
          <w:rFonts w:eastAsia="Times New Roman"/>
          <w:sz w:val="20"/>
          <w:szCs w:val="20"/>
          <w:lang w:eastAsia="ru-RU"/>
        </w:rPr>
      </w:pPr>
      <w:r>
        <w:rPr>
          <w:rFonts w:eastAsia="Times New Roman"/>
          <w:sz w:val="20"/>
          <w:szCs w:val="20"/>
          <w:lang w:eastAsia="ru-RU"/>
        </w:rPr>
        <w:t xml:space="preserve">** Мощности и характеристики объектов водоснабжения необходимо уточнить при рабочем проектировании; </w:t>
      </w:r>
    </w:p>
    <w:p>
      <w:pPr>
        <w:sectPr>
          <w:headerReference w:type="default" r:id="rId94"/>
          <w:footerReference w:type="default" r:id="rId95"/>
          <w:type w:val="nextPage"/>
          <w:pgSz w:orient="landscape" w:w="16838" w:h="11906"/>
          <w:pgMar w:left="1134" w:right="1134" w:header="567" w:top="1418" w:footer="567" w:bottom="624" w:gutter="0"/>
          <w:pgNumType w:fmt="decimal"/>
          <w:formProt w:val="false"/>
          <w:textDirection w:val="lrTb"/>
          <w:docGrid w:type="default" w:linePitch="100" w:charSpace="0"/>
        </w:sectPr>
        <w:pStyle w:val="Normal"/>
        <w:spacing w:lineRule="auto" w:line="240"/>
        <w:jc w:val="left"/>
        <w:rPr>
          <w:rFonts w:eastAsia="Times New Roman"/>
          <w:sz w:val="20"/>
          <w:szCs w:val="20"/>
          <w:lang w:eastAsia="ru-RU"/>
        </w:rPr>
      </w:pPr>
      <w:r>
        <w:rPr>
          <w:rFonts w:eastAsia="Times New Roman"/>
          <w:sz w:val="20"/>
          <w:szCs w:val="20"/>
          <w:lang w:eastAsia="ru-RU"/>
        </w:rPr>
        <w:t xml:space="preserve">*** Мероприятия местного значения муниципального района носят рекомендательный характер и могут быть предложены для внесения в схему территориального планирования Варненского муниципального района Челябинской области. </w:t>
      </w:r>
    </w:p>
    <w:p>
      <w:pPr>
        <w:pStyle w:val="Normal"/>
        <w:spacing w:lineRule="auto" w:line="240"/>
        <w:jc w:val="left"/>
        <w:rPr>
          <w:rFonts w:eastAsia="Times New Roman"/>
          <w:sz w:val="20"/>
          <w:szCs w:val="20"/>
          <w:lang w:eastAsia="ru-RU"/>
        </w:rPr>
      </w:pPr>
      <w:r>
        <w:rPr>
          <w:rFonts w:eastAsia="Times New Roman"/>
          <w:sz w:val="20"/>
          <w:szCs w:val="20"/>
          <w:lang w:eastAsia="ru-RU"/>
        </w:rPr>
      </w:r>
    </w:p>
    <w:p>
      <w:pPr>
        <w:pStyle w:val="Normal"/>
        <w:spacing w:lineRule="auto" w:line="276"/>
        <w:ind w:firstLine="709"/>
        <w:jc w:val="left"/>
        <w:rPr>
          <w:rFonts w:eastAsia="Times New Roman"/>
          <w:b/>
          <w:b/>
          <w:szCs w:val="24"/>
          <w:lang w:eastAsia="ru-RU"/>
        </w:rPr>
      </w:pPr>
      <w:r>
        <w:rPr>
          <w:rFonts w:eastAsia="Times New Roman"/>
          <w:b/>
          <w:szCs w:val="24"/>
          <w:lang w:eastAsia="ru-RU"/>
        </w:rPr>
        <w:t>Расчет водопотребления</w:t>
      </w:r>
    </w:p>
    <w:p>
      <w:pPr>
        <w:pStyle w:val="Normal"/>
        <w:tabs>
          <w:tab w:val="clear" w:pos="708"/>
          <w:tab w:val="left" w:pos="142" w:leader="none"/>
        </w:tabs>
        <w:spacing w:lineRule="auto" w:line="276"/>
        <w:ind w:firstLine="709"/>
        <w:rPr>
          <w:rFonts w:eastAsia="Times New Roman"/>
          <w:szCs w:val="24"/>
          <w:lang w:eastAsia="ru-RU"/>
        </w:rPr>
      </w:pPr>
      <w:r>
        <w:rPr>
          <w:rFonts w:eastAsia="Times New Roman"/>
          <w:szCs w:val="24"/>
          <w:lang w:eastAsia="ru-RU"/>
        </w:rPr>
        <w:t>Расчетный (средний за год) суточный расход воды на хозяйственно-питьевые нужды в муниципальном образовании определен в соответствии с таблицей 1 СП 31.13330.2021 «Свод правил. Водоснабжение. Наружные сети и сооружения. СНиП 2.04.02-84*», где удельное водопотребление включает расходы воды на хозяйственно-питьевые и бытовые нужды в общественных зданиях. Расчетный расход воды в сутки наибольшего водопотребления определен при коэффициенте суточной неравномерности К</w:t>
      </w:r>
      <w:r>
        <w:rPr>
          <w:rFonts w:eastAsia="Times New Roman"/>
          <w:szCs w:val="24"/>
          <w:vertAlign w:val="subscript"/>
          <w:lang w:eastAsia="ru-RU"/>
        </w:rPr>
        <w:t>сут.max</w:t>
      </w:r>
      <w:r>
        <w:rPr>
          <w:rFonts w:eastAsia="Times New Roman"/>
          <w:szCs w:val="24"/>
          <w:lang w:eastAsia="ru-RU"/>
        </w:rPr>
        <w:t>=1,2.</w:t>
      </w:r>
    </w:p>
    <w:p>
      <w:pPr>
        <w:pStyle w:val="Normal"/>
        <w:tabs>
          <w:tab w:val="clear" w:pos="708"/>
          <w:tab w:val="left" w:pos="142" w:leader="none"/>
        </w:tabs>
        <w:spacing w:lineRule="auto" w:line="276" w:before="0" w:after="200"/>
        <w:ind w:right="-2" w:firstLine="709"/>
        <w:contextualSpacing/>
        <w:rPr>
          <w:rFonts w:eastAsia="Times New Roman"/>
          <w:szCs w:val="24"/>
          <w:lang w:eastAsia="ru-RU"/>
        </w:rPr>
      </w:pPr>
      <w:r>
        <w:rPr>
          <w:rFonts w:eastAsia="Times New Roman"/>
          <w:szCs w:val="24"/>
          <w:lang w:eastAsia="ru-RU"/>
        </w:rPr>
        <w:t>В связи с отсутствием данных о площадях по видам благоустройства, в соответствии с примечанием 1 таблицы 3 СП 31.13330.2021 «Свод правил. Водоснабжение. Наружные сети и сооружения. СНиП 2.04.02-84*» — удельное среднесуточное за поливочный сезон потребление воды на поливку в расчете на одного жителя принято 50 л/сутки с учетом климатических условий, мощности источника водоснабжения, степени благоустройства населенного пункта. Количество поливок принято — 1 раз в сутки.</w:t>
      </w:r>
    </w:p>
    <w:p>
      <w:pPr>
        <w:sectPr>
          <w:headerReference w:type="default" r:id="rId96"/>
          <w:footerReference w:type="default" r:id="rId97"/>
          <w:type w:val="nextPage"/>
          <w:pgSz w:w="11906" w:h="16838"/>
          <w:pgMar w:left="1418" w:right="567" w:header="567" w:top="1134" w:footer="567" w:bottom="1134" w:gutter="0"/>
          <w:pgNumType w:fmt="decimal"/>
          <w:formProt w:val="false"/>
          <w:textDirection w:val="lrTb"/>
          <w:docGrid w:type="default" w:linePitch="100" w:charSpace="0"/>
        </w:sectPr>
        <w:pStyle w:val="Normal"/>
        <w:spacing w:lineRule="auto" w:line="276" w:before="0" w:after="200"/>
        <w:ind w:right="-2" w:firstLine="709"/>
        <w:contextualSpacing/>
        <w:rPr>
          <w:rFonts w:eastAsia="Times New Roman"/>
          <w:szCs w:val="24"/>
          <w:lang w:eastAsia="ru-RU"/>
        </w:rPr>
      </w:pPr>
      <w:r>
        <w:rPr>
          <w:rFonts w:eastAsia="Times New Roman"/>
          <w:szCs w:val="24"/>
          <w:lang w:eastAsia="ru-RU"/>
        </w:rPr>
        <w:t>Расчет расходов водопотребления Катенинского сельского поселения представлен в таблице 1.8.1.3</w:t>
      </w:r>
    </w:p>
    <w:p>
      <w:pPr>
        <w:pStyle w:val="Normal"/>
        <w:spacing w:lineRule="auto" w:line="276"/>
        <w:ind w:right="-2" w:firstLine="709"/>
        <w:jc w:val="right"/>
        <w:rPr>
          <w:rFonts w:eastAsia="Times New Roman"/>
          <w:iCs/>
          <w:color w:val="000000"/>
          <w:szCs w:val="24"/>
          <w:lang w:eastAsia="ru-RU"/>
        </w:rPr>
      </w:pPr>
      <w:r>
        <w:rPr>
          <w:rFonts w:eastAsia="Times New Roman"/>
          <w:iCs/>
          <w:color w:val="000000"/>
          <w:szCs w:val="24"/>
          <w:lang w:eastAsia="ru-RU"/>
        </w:rPr>
        <w:t xml:space="preserve">Таблица </w:t>
      </w:r>
      <w:r>
        <w:rPr>
          <w:rFonts w:eastAsia="Times New Roman"/>
          <w:szCs w:val="24"/>
          <w:lang w:eastAsia="ru-RU"/>
        </w:rPr>
        <w:t>1.8.1.3</w:t>
      </w:r>
    </w:p>
    <w:p>
      <w:pPr>
        <w:pStyle w:val="Normal"/>
        <w:spacing w:lineRule="auto" w:line="276"/>
        <w:ind w:right="-2" w:firstLine="709"/>
        <w:jc w:val="center"/>
        <w:rPr>
          <w:rFonts w:eastAsia="Times New Roman"/>
          <w:szCs w:val="24"/>
          <w:lang w:eastAsia="ru-RU"/>
        </w:rPr>
      </w:pPr>
      <w:r>
        <w:rPr>
          <w:rFonts w:eastAsia="Times New Roman"/>
          <w:iCs/>
          <w:color w:val="000000"/>
          <w:szCs w:val="24"/>
          <w:lang w:eastAsia="ru-RU"/>
        </w:rPr>
        <w:t xml:space="preserve">Расчет расходов водопотребления </w:t>
      </w:r>
    </w:p>
    <w:tbl>
      <w:tblPr>
        <w:tblStyle w:val="1ff9"/>
        <w:tblW w:w="5000" w:type="pct"/>
        <w:jc w:val="left"/>
        <w:tblInd w:w="-108" w:type="dxa"/>
        <w:tblCellMar>
          <w:top w:w="0" w:type="dxa"/>
          <w:left w:w="108" w:type="dxa"/>
          <w:bottom w:w="0" w:type="dxa"/>
          <w:right w:w="108" w:type="dxa"/>
        </w:tblCellMar>
        <w:tblLook w:firstRow="1" w:noVBand="1" w:lastRow="0" w:firstColumn="1" w:lastColumn="0" w:noHBand="0" w:val="04a0"/>
      </w:tblPr>
      <w:tblGrid>
        <w:gridCol w:w="422"/>
        <w:gridCol w:w="1842"/>
        <w:gridCol w:w="708"/>
        <w:gridCol w:w="712"/>
        <w:gridCol w:w="851"/>
        <w:gridCol w:w="708"/>
        <w:gridCol w:w="994"/>
        <w:gridCol w:w="854"/>
        <w:gridCol w:w="851"/>
        <w:gridCol w:w="993"/>
        <w:gridCol w:w="994"/>
        <w:gridCol w:w="992"/>
        <w:gridCol w:w="865"/>
        <w:gridCol w:w="977"/>
        <w:gridCol w:w="865"/>
        <w:gridCol w:w="938"/>
      </w:tblGrid>
      <w:tr>
        <w:trPr>
          <w:tblHeader w:val="true"/>
        </w:trPr>
        <w:tc>
          <w:tcPr>
            <w:tcW w:w="422" w:type="dxa"/>
            <w:vMerge w:val="restart"/>
            <w:tcBorders>
              <w:bottom w:val="nil"/>
            </w:tcBorders>
            <w:vAlign w:val="center"/>
          </w:tcPr>
          <w:p>
            <w:pPr>
              <w:pStyle w:val="Normal"/>
              <w:spacing w:lineRule="auto" w:line="240"/>
              <w:jc w:val="center"/>
              <w:rPr>
                <w:rFonts w:eastAsia="Times New Roman"/>
                <w:b/>
                <w:b/>
                <w:sz w:val="20"/>
                <w:szCs w:val="24"/>
                <w:lang w:eastAsia="ru-RU"/>
              </w:rPr>
            </w:pPr>
            <w:r>
              <w:rPr>
                <w:rFonts w:eastAsia="Times New Roman"/>
                <w:b/>
                <w:sz w:val="20"/>
                <w:szCs w:val="24"/>
                <w:lang w:eastAsia="ru-RU"/>
              </w:rPr>
              <w:t>№</w:t>
            </w:r>
          </w:p>
        </w:tc>
        <w:tc>
          <w:tcPr>
            <w:tcW w:w="1842" w:type="dxa"/>
            <w:vMerge w:val="restart"/>
            <w:tcBorders>
              <w:bottom w:val="nil"/>
            </w:tcBorders>
            <w:vAlign w:val="center"/>
          </w:tcPr>
          <w:p>
            <w:pPr>
              <w:pStyle w:val="Normal"/>
              <w:spacing w:lineRule="auto" w:line="240"/>
              <w:jc w:val="center"/>
              <w:rPr>
                <w:rFonts w:eastAsia="Times New Roman"/>
                <w:b/>
                <w:b/>
                <w:sz w:val="20"/>
                <w:szCs w:val="24"/>
                <w:lang w:eastAsia="ru-RU"/>
              </w:rPr>
            </w:pPr>
            <w:r>
              <w:rPr>
                <w:rFonts w:eastAsia="Times New Roman"/>
                <w:b/>
                <w:sz w:val="20"/>
                <w:szCs w:val="24"/>
                <w:lang w:eastAsia="ru-RU"/>
              </w:rPr>
              <w:t>Наименование муниципального образования</w:t>
            </w:r>
          </w:p>
        </w:tc>
        <w:tc>
          <w:tcPr>
            <w:tcW w:w="1420" w:type="dxa"/>
            <w:gridSpan w:val="2"/>
            <w:tcBorders/>
            <w:vAlign w:val="center"/>
          </w:tcPr>
          <w:p>
            <w:pPr>
              <w:pStyle w:val="Normal"/>
              <w:spacing w:lineRule="auto" w:line="240"/>
              <w:jc w:val="center"/>
              <w:rPr>
                <w:rFonts w:eastAsia="Times New Roman"/>
                <w:b/>
                <w:b/>
                <w:sz w:val="20"/>
                <w:szCs w:val="24"/>
                <w:lang w:eastAsia="ru-RU"/>
              </w:rPr>
            </w:pPr>
            <w:r>
              <w:rPr>
                <w:rFonts w:eastAsia="Times New Roman"/>
                <w:b/>
                <w:sz w:val="20"/>
                <w:szCs w:val="24"/>
                <w:lang w:eastAsia="ru-RU"/>
              </w:rPr>
              <w:t>Население, человек</w:t>
            </w:r>
          </w:p>
        </w:tc>
        <w:tc>
          <w:tcPr>
            <w:tcW w:w="1559" w:type="dxa"/>
            <w:gridSpan w:val="2"/>
            <w:tcBorders/>
            <w:vAlign w:val="center"/>
          </w:tcPr>
          <w:p>
            <w:pPr>
              <w:pStyle w:val="Normal"/>
              <w:spacing w:lineRule="auto" w:line="240"/>
              <w:jc w:val="center"/>
              <w:rPr>
                <w:rFonts w:eastAsia="Times New Roman"/>
                <w:b/>
                <w:b/>
                <w:sz w:val="20"/>
                <w:szCs w:val="24"/>
                <w:lang w:eastAsia="ru-RU"/>
              </w:rPr>
            </w:pPr>
            <w:r>
              <w:rPr>
                <w:rFonts w:eastAsia="Times New Roman"/>
                <w:b/>
                <w:sz w:val="20"/>
                <w:szCs w:val="24"/>
                <w:lang w:eastAsia="ru-RU"/>
              </w:rPr>
              <w:t>Удельное водопотребление, л/сут/чел.</w:t>
            </w:r>
          </w:p>
        </w:tc>
        <w:tc>
          <w:tcPr>
            <w:tcW w:w="9323" w:type="dxa"/>
            <w:gridSpan w:val="10"/>
            <w:tcBorders/>
            <w:vAlign w:val="center"/>
          </w:tcPr>
          <w:p>
            <w:pPr>
              <w:pStyle w:val="Normal"/>
              <w:spacing w:lineRule="auto" w:line="240"/>
              <w:jc w:val="center"/>
              <w:rPr>
                <w:rFonts w:eastAsia="Times New Roman"/>
                <w:b/>
                <w:b/>
                <w:sz w:val="20"/>
                <w:szCs w:val="24"/>
                <w:lang w:eastAsia="ru-RU"/>
              </w:rPr>
            </w:pPr>
            <w:r>
              <w:rPr>
                <w:rFonts w:eastAsia="Times New Roman"/>
                <w:b/>
                <w:sz w:val="20"/>
                <w:szCs w:val="24"/>
                <w:lang w:eastAsia="ru-RU"/>
              </w:rPr>
              <w:t>Расчетный расход, м</w:t>
            </w:r>
            <w:r>
              <w:rPr>
                <w:rFonts w:eastAsia="Times New Roman"/>
                <w:b/>
                <w:sz w:val="20"/>
                <w:szCs w:val="24"/>
                <w:vertAlign w:val="superscript"/>
                <w:lang w:eastAsia="ru-RU"/>
              </w:rPr>
              <w:t>3</w:t>
            </w:r>
            <w:r>
              <w:rPr>
                <w:rFonts w:eastAsia="Times New Roman"/>
                <w:b/>
                <w:sz w:val="20"/>
                <w:szCs w:val="24"/>
                <w:lang w:eastAsia="ru-RU"/>
              </w:rPr>
              <w:t>/сут</w:t>
            </w:r>
          </w:p>
        </w:tc>
      </w:tr>
      <w:tr>
        <w:trPr>
          <w:tblHeader w:val="true"/>
          <w:trHeight w:val="341" w:hRule="atLeast"/>
        </w:trPr>
        <w:tc>
          <w:tcPr>
            <w:tcW w:w="422" w:type="dxa"/>
            <w:vMerge w:val="continue"/>
            <w:tcBorders>
              <w:bottom w:val="nil"/>
            </w:tcBorders>
            <w:vAlign w:val="center"/>
          </w:tcPr>
          <w:p>
            <w:pPr>
              <w:pStyle w:val="Normal"/>
              <w:spacing w:lineRule="auto" w:line="240"/>
              <w:jc w:val="left"/>
              <w:rPr>
                <w:rFonts w:eastAsia="Times New Roman"/>
                <w:b/>
                <w:b/>
                <w:sz w:val="20"/>
                <w:szCs w:val="24"/>
                <w:lang w:eastAsia="ru-RU"/>
              </w:rPr>
            </w:pPr>
            <w:r>
              <w:rPr>
                <w:rFonts w:eastAsia="Times New Roman"/>
                <w:b/>
                <w:sz w:val="20"/>
                <w:szCs w:val="24"/>
                <w:lang w:eastAsia="ru-RU"/>
              </w:rPr>
            </w:r>
          </w:p>
        </w:tc>
        <w:tc>
          <w:tcPr>
            <w:tcW w:w="1842" w:type="dxa"/>
            <w:vMerge w:val="continue"/>
            <w:tcBorders>
              <w:bottom w:val="nil"/>
            </w:tcBorders>
            <w:vAlign w:val="center"/>
          </w:tcPr>
          <w:p>
            <w:pPr>
              <w:pStyle w:val="Normal"/>
              <w:spacing w:lineRule="auto" w:line="240"/>
              <w:jc w:val="left"/>
              <w:rPr>
                <w:rFonts w:eastAsia="Times New Roman"/>
                <w:b/>
                <w:b/>
                <w:sz w:val="20"/>
                <w:szCs w:val="24"/>
                <w:lang w:eastAsia="ru-RU"/>
              </w:rPr>
            </w:pPr>
            <w:r>
              <w:rPr>
                <w:rFonts w:eastAsia="Times New Roman"/>
                <w:b/>
                <w:sz w:val="20"/>
                <w:szCs w:val="24"/>
                <w:lang w:eastAsia="ru-RU"/>
              </w:rPr>
            </w:r>
          </w:p>
        </w:tc>
        <w:tc>
          <w:tcPr>
            <w:tcW w:w="708" w:type="dxa"/>
            <w:vMerge w:val="restart"/>
            <w:tcBorders>
              <w:bottom w:val="nil"/>
            </w:tcBorders>
            <w:textDirection w:val="btLr"/>
            <w:vAlign w:val="center"/>
          </w:tcPr>
          <w:p>
            <w:pPr>
              <w:pStyle w:val="Normal"/>
              <w:spacing w:lineRule="auto" w:line="240"/>
              <w:jc w:val="center"/>
              <w:rPr>
                <w:rFonts w:eastAsia="Times New Roman"/>
                <w:b/>
                <w:b/>
                <w:sz w:val="20"/>
                <w:szCs w:val="24"/>
                <w:lang w:eastAsia="ru-RU"/>
              </w:rPr>
            </w:pPr>
            <w:r>
              <w:rPr>
                <w:rFonts w:eastAsia="Times New Roman"/>
                <w:b/>
                <w:sz w:val="20"/>
                <w:szCs w:val="24"/>
                <w:lang w:eastAsia="ru-RU"/>
              </w:rPr>
              <w:t>первая очередь</w:t>
            </w:r>
          </w:p>
        </w:tc>
        <w:tc>
          <w:tcPr>
            <w:tcW w:w="712" w:type="dxa"/>
            <w:vMerge w:val="restart"/>
            <w:tcBorders>
              <w:bottom w:val="nil"/>
            </w:tcBorders>
            <w:textDirection w:val="btLr"/>
            <w:vAlign w:val="center"/>
          </w:tcPr>
          <w:p>
            <w:pPr>
              <w:pStyle w:val="Normal"/>
              <w:spacing w:lineRule="auto" w:line="240"/>
              <w:jc w:val="center"/>
              <w:rPr>
                <w:rFonts w:eastAsia="Times New Roman"/>
                <w:b/>
                <w:b/>
                <w:sz w:val="20"/>
                <w:szCs w:val="24"/>
                <w:lang w:eastAsia="ru-RU"/>
              </w:rPr>
            </w:pPr>
            <w:r>
              <w:rPr>
                <w:rFonts w:eastAsia="Times New Roman"/>
                <w:b/>
                <w:sz w:val="20"/>
                <w:szCs w:val="24"/>
                <w:lang w:eastAsia="ru-RU"/>
              </w:rPr>
              <w:t>расчетный срок</w:t>
            </w:r>
          </w:p>
        </w:tc>
        <w:tc>
          <w:tcPr>
            <w:tcW w:w="851" w:type="dxa"/>
            <w:vMerge w:val="restart"/>
            <w:tcBorders>
              <w:bottom w:val="nil"/>
            </w:tcBorders>
            <w:textDirection w:val="btLr"/>
            <w:vAlign w:val="center"/>
          </w:tcPr>
          <w:p>
            <w:pPr>
              <w:pStyle w:val="Normal"/>
              <w:spacing w:lineRule="auto" w:line="240"/>
              <w:jc w:val="center"/>
              <w:rPr>
                <w:rFonts w:eastAsia="Times New Roman"/>
                <w:b/>
                <w:b/>
                <w:sz w:val="20"/>
                <w:szCs w:val="24"/>
                <w:lang w:eastAsia="ru-RU"/>
              </w:rPr>
            </w:pPr>
            <w:r>
              <w:rPr>
                <w:rFonts w:eastAsia="Times New Roman"/>
                <w:b/>
                <w:sz w:val="20"/>
                <w:szCs w:val="24"/>
                <w:lang w:eastAsia="ru-RU"/>
              </w:rPr>
              <w:t>первая очередь</w:t>
            </w:r>
          </w:p>
        </w:tc>
        <w:tc>
          <w:tcPr>
            <w:tcW w:w="708" w:type="dxa"/>
            <w:vMerge w:val="restart"/>
            <w:tcBorders>
              <w:bottom w:val="nil"/>
            </w:tcBorders>
            <w:textDirection w:val="btLr"/>
            <w:vAlign w:val="center"/>
          </w:tcPr>
          <w:p>
            <w:pPr>
              <w:pStyle w:val="Normal"/>
              <w:spacing w:lineRule="auto" w:line="240"/>
              <w:jc w:val="center"/>
              <w:rPr>
                <w:rFonts w:eastAsia="Times New Roman"/>
                <w:b/>
                <w:b/>
                <w:sz w:val="20"/>
                <w:szCs w:val="24"/>
                <w:lang w:eastAsia="ru-RU"/>
              </w:rPr>
            </w:pPr>
            <w:r>
              <w:rPr>
                <w:rFonts w:eastAsia="Times New Roman"/>
                <w:b/>
                <w:sz w:val="20"/>
                <w:szCs w:val="24"/>
                <w:lang w:eastAsia="ru-RU"/>
              </w:rPr>
              <w:t>расчетный срок</w:t>
            </w:r>
          </w:p>
        </w:tc>
        <w:tc>
          <w:tcPr>
            <w:tcW w:w="4686" w:type="dxa"/>
            <w:gridSpan w:val="5"/>
            <w:tcBorders/>
            <w:vAlign w:val="center"/>
          </w:tcPr>
          <w:p>
            <w:pPr>
              <w:pStyle w:val="Normal"/>
              <w:spacing w:lineRule="auto" w:line="240"/>
              <w:jc w:val="center"/>
              <w:rPr>
                <w:rFonts w:eastAsia="Times New Roman"/>
                <w:b/>
                <w:b/>
                <w:sz w:val="20"/>
                <w:szCs w:val="24"/>
                <w:lang w:eastAsia="ru-RU"/>
              </w:rPr>
            </w:pPr>
            <w:r>
              <w:rPr>
                <w:rFonts w:eastAsia="Times New Roman"/>
                <w:b/>
                <w:sz w:val="20"/>
                <w:szCs w:val="24"/>
                <w:lang w:eastAsia="ru-RU"/>
              </w:rPr>
              <w:t>первая очередь</w:t>
            </w:r>
          </w:p>
        </w:tc>
        <w:tc>
          <w:tcPr>
            <w:tcW w:w="4637" w:type="dxa"/>
            <w:gridSpan w:val="5"/>
            <w:tcBorders/>
            <w:vAlign w:val="center"/>
          </w:tcPr>
          <w:p>
            <w:pPr>
              <w:pStyle w:val="Normal"/>
              <w:spacing w:lineRule="auto" w:line="240"/>
              <w:ind w:left="113" w:right="113" w:hanging="0"/>
              <w:jc w:val="center"/>
              <w:rPr>
                <w:rFonts w:eastAsia="Times New Roman"/>
                <w:b/>
                <w:b/>
                <w:sz w:val="20"/>
                <w:szCs w:val="24"/>
                <w:lang w:eastAsia="ru-RU"/>
              </w:rPr>
            </w:pPr>
            <w:r>
              <w:rPr>
                <w:rFonts w:eastAsia="Times New Roman"/>
                <w:b/>
                <w:sz w:val="20"/>
                <w:szCs w:val="24"/>
                <w:lang w:eastAsia="ru-RU"/>
              </w:rPr>
              <w:t>расчетный срок</w:t>
            </w:r>
          </w:p>
        </w:tc>
      </w:tr>
      <w:tr>
        <w:trPr>
          <w:tblHeader w:val="true"/>
          <w:trHeight w:val="2449" w:hRule="atLeast"/>
        </w:trPr>
        <w:tc>
          <w:tcPr>
            <w:tcW w:w="422" w:type="dxa"/>
            <w:vMerge w:val="continue"/>
            <w:tcBorders>
              <w:bottom w:val="nil"/>
            </w:tcBorders>
            <w:vAlign w:val="center"/>
          </w:tcPr>
          <w:p>
            <w:pPr>
              <w:pStyle w:val="Normal"/>
              <w:spacing w:lineRule="auto" w:line="240"/>
              <w:jc w:val="left"/>
              <w:rPr>
                <w:rFonts w:eastAsia="Times New Roman"/>
                <w:b/>
                <w:b/>
                <w:sz w:val="20"/>
                <w:szCs w:val="24"/>
                <w:lang w:eastAsia="ru-RU"/>
              </w:rPr>
            </w:pPr>
            <w:r>
              <w:rPr>
                <w:rFonts w:eastAsia="Times New Roman"/>
                <w:b/>
                <w:sz w:val="20"/>
                <w:szCs w:val="24"/>
                <w:lang w:eastAsia="ru-RU"/>
              </w:rPr>
            </w:r>
          </w:p>
        </w:tc>
        <w:tc>
          <w:tcPr>
            <w:tcW w:w="1842" w:type="dxa"/>
            <w:vMerge w:val="continue"/>
            <w:tcBorders>
              <w:bottom w:val="nil"/>
            </w:tcBorders>
            <w:vAlign w:val="center"/>
          </w:tcPr>
          <w:p>
            <w:pPr>
              <w:pStyle w:val="Normal"/>
              <w:spacing w:lineRule="auto" w:line="240"/>
              <w:jc w:val="left"/>
              <w:rPr>
                <w:rFonts w:eastAsia="Times New Roman"/>
                <w:b/>
                <w:b/>
                <w:sz w:val="20"/>
                <w:szCs w:val="24"/>
                <w:lang w:eastAsia="ru-RU"/>
              </w:rPr>
            </w:pPr>
            <w:r>
              <w:rPr>
                <w:rFonts w:eastAsia="Times New Roman"/>
                <w:b/>
                <w:sz w:val="20"/>
                <w:szCs w:val="24"/>
                <w:lang w:eastAsia="ru-RU"/>
              </w:rPr>
            </w:r>
          </w:p>
        </w:tc>
        <w:tc>
          <w:tcPr>
            <w:tcW w:w="708" w:type="dxa"/>
            <w:vMerge w:val="continue"/>
            <w:tcBorders>
              <w:bottom w:val="nil"/>
            </w:tcBorders>
            <w:vAlign w:val="center"/>
          </w:tcPr>
          <w:p>
            <w:pPr>
              <w:pStyle w:val="Normal"/>
              <w:spacing w:lineRule="auto" w:line="240"/>
              <w:jc w:val="left"/>
              <w:rPr>
                <w:rFonts w:eastAsia="Times New Roman"/>
                <w:b/>
                <w:b/>
                <w:sz w:val="20"/>
                <w:szCs w:val="24"/>
                <w:lang w:eastAsia="ru-RU"/>
              </w:rPr>
            </w:pPr>
            <w:r>
              <w:rPr>
                <w:rFonts w:eastAsia="Times New Roman"/>
                <w:b/>
                <w:sz w:val="20"/>
                <w:szCs w:val="24"/>
                <w:lang w:eastAsia="ru-RU"/>
              </w:rPr>
            </w:r>
          </w:p>
        </w:tc>
        <w:tc>
          <w:tcPr>
            <w:tcW w:w="712" w:type="dxa"/>
            <w:vMerge w:val="continue"/>
            <w:tcBorders>
              <w:bottom w:val="nil"/>
            </w:tcBorders>
            <w:vAlign w:val="center"/>
          </w:tcPr>
          <w:p>
            <w:pPr>
              <w:pStyle w:val="Normal"/>
              <w:spacing w:lineRule="auto" w:line="240"/>
              <w:jc w:val="left"/>
              <w:rPr>
                <w:rFonts w:eastAsia="Times New Roman"/>
                <w:b/>
                <w:b/>
                <w:sz w:val="20"/>
                <w:szCs w:val="24"/>
                <w:lang w:eastAsia="ru-RU"/>
              </w:rPr>
            </w:pPr>
            <w:r>
              <w:rPr>
                <w:rFonts w:eastAsia="Times New Roman"/>
                <w:b/>
                <w:sz w:val="20"/>
                <w:szCs w:val="24"/>
                <w:lang w:eastAsia="ru-RU"/>
              </w:rPr>
            </w:r>
          </w:p>
        </w:tc>
        <w:tc>
          <w:tcPr>
            <w:tcW w:w="851" w:type="dxa"/>
            <w:vMerge w:val="continue"/>
            <w:tcBorders>
              <w:bottom w:val="nil"/>
            </w:tcBorders>
            <w:vAlign w:val="center"/>
          </w:tcPr>
          <w:p>
            <w:pPr>
              <w:pStyle w:val="Normal"/>
              <w:spacing w:lineRule="auto" w:line="240"/>
              <w:jc w:val="left"/>
              <w:rPr>
                <w:rFonts w:eastAsia="Times New Roman"/>
                <w:b/>
                <w:b/>
                <w:sz w:val="20"/>
                <w:szCs w:val="24"/>
                <w:lang w:eastAsia="ru-RU"/>
              </w:rPr>
            </w:pPr>
            <w:r>
              <w:rPr>
                <w:rFonts w:eastAsia="Times New Roman"/>
                <w:b/>
                <w:sz w:val="20"/>
                <w:szCs w:val="24"/>
                <w:lang w:eastAsia="ru-RU"/>
              </w:rPr>
            </w:r>
          </w:p>
        </w:tc>
        <w:tc>
          <w:tcPr>
            <w:tcW w:w="708" w:type="dxa"/>
            <w:vMerge w:val="continue"/>
            <w:tcBorders>
              <w:bottom w:val="nil"/>
            </w:tcBorders>
            <w:vAlign w:val="center"/>
          </w:tcPr>
          <w:p>
            <w:pPr>
              <w:pStyle w:val="Normal"/>
              <w:spacing w:lineRule="auto" w:line="240"/>
              <w:jc w:val="left"/>
              <w:rPr>
                <w:rFonts w:eastAsia="Times New Roman"/>
                <w:b/>
                <w:b/>
                <w:sz w:val="20"/>
                <w:szCs w:val="24"/>
                <w:lang w:eastAsia="ru-RU"/>
              </w:rPr>
            </w:pPr>
            <w:r>
              <w:rPr>
                <w:rFonts w:eastAsia="Times New Roman"/>
                <w:b/>
                <w:sz w:val="20"/>
                <w:szCs w:val="24"/>
                <w:lang w:eastAsia="ru-RU"/>
              </w:rPr>
            </w:r>
          </w:p>
        </w:tc>
        <w:tc>
          <w:tcPr>
            <w:tcW w:w="994" w:type="dxa"/>
            <w:tcBorders>
              <w:bottom w:val="nil"/>
            </w:tcBorders>
            <w:textDirection w:val="btLr"/>
            <w:vAlign w:val="center"/>
          </w:tcPr>
          <w:p>
            <w:pPr>
              <w:pStyle w:val="Normal"/>
              <w:spacing w:lineRule="auto" w:line="240"/>
              <w:jc w:val="center"/>
              <w:rPr>
                <w:rFonts w:eastAsia="Times New Roman"/>
                <w:b/>
                <w:b/>
                <w:sz w:val="20"/>
                <w:szCs w:val="24"/>
                <w:lang w:eastAsia="ru-RU"/>
              </w:rPr>
            </w:pPr>
            <w:r>
              <w:rPr>
                <w:rFonts w:eastAsia="Times New Roman"/>
                <w:b/>
                <w:bCs/>
                <w:sz w:val="20"/>
                <w:szCs w:val="24"/>
                <w:lang w:eastAsia="ru-RU"/>
              </w:rPr>
              <w:t>хозяйственно-питьевые нужды</w:t>
            </w:r>
          </w:p>
        </w:tc>
        <w:tc>
          <w:tcPr>
            <w:tcW w:w="854" w:type="dxa"/>
            <w:tcBorders>
              <w:bottom w:val="nil"/>
            </w:tcBorders>
            <w:textDirection w:val="btLr"/>
            <w:vAlign w:val="center"/>
          </w:tcPr>
          <w:p>
            <w:pPr>
              <w:pStyle w:val="Normal"/>
              <w:spacing w:lineRule="auto" w:line="240"/>
              <w:jc w:val="center"/>
              <w:rPr>
                <w:rFonts w:eastAsia="Times New Roman"/>
                <w:b/>
                <w:b/>
                <w:sz w:val="20"/>
                <w:szCs w:val="24"/>
                <w:lang w:eastAsia="ru-RU"/>
              </w:rPr>
            </w:pPr>
            <w:r>
              <w:rPr>
                <w:rFonts w:eastAsia="Times New Roman"/>
                <w:b/>
                <w:bCs/>
                <w:sz w:val="20"/>
                <w:szCs w:val="24"/>
                <w:lang w:eastAsia="ru-RU"/>
              </w:rPr>
              <w:t>неучтенные расходы</w:t>
            </w:r>
          </w:p>
        </w:tc>
        <w:tc>
          <w:tcPr>
            <w:tcW w:w="851" w:type="dxa"/>
            <w:tcBorders>
              <w:bottom w:val="nil"/>
            </w:tcBorders>
            <w:textDirection w:val="btLr"/>
            <w:vAlign w:val="center"/>
          </w:tcPr>
          <w:p>
            <w:pPr>
              <w:pStyle w:val="Normal"/>
              <w:spacing w:lineRule="auto" w:line="240"/>
              <w:jc w:val="center"/>
              <w:rPr>
                <w:rFonts w:eastAsia="Times New Roman"/>
                <w:b/>
                <w:b/>
                <w:sz w:val="20"/>
                <w:szCs w:val="24"/>
                <w:lang w:eastAsia="ru-RU"/>
              </w:rPr>
            </w:pPr>
            <w:r>
              <w:rPr>
                <w:rFonts w:eastAsia="Times New Roman"/>
                <w:b/>
                <w:bCs/>
                <w:sz w:val="20"/>
                <w:szCs w:val="24"/>
                <w:lang w:eastAsia="ru-RU"/>
              </w:rPr>
              <w:t>производственные нужды</w:t>
            </w:r>
          </w:p>
        </w:tc>
        <w:tc>
          <w:tcPr>
            <w:tcW w:w="993" w:type="dxa"/>
            <w:tcBorders>
              <w:bottom w:val="nil"/>
            </w:tcBorders>
            <w:textDirection w:val="btLr"/>
            <w:vAlign w:val="center"/>
          </w:tcPr>
          <w:p>
            <w:pPr>
              <w:pStyle w:val="Normal"/>
              <w:spacing w:lineRule="auto" w:line="240"/>
              <w:jc w:val="center"/>
              <w:rPr>
                <w:rFonts w:eastAsia="Times New Roman"/>
                <w:b/>
                <w:b/>
                <w:sz w:val="20"/>
                <w:szCs w:val="24"/>
                <w:lang w:eastAsia="ru-RU"/>
              </w:rPr>
            </w:pPr>
            <w:r>
              <w:rPr>
                <w:rFonts w:eastAsia="Times New Roman"/>
                <w:b/>
                <w:bCs/>
                <w:sz w:val="20"/>
                <w:szCs w:val="24"/>
                <w:lang w:eastAsia="ru-RU"/>
              </w:rPr>
              <w:t>полив</w:t>
            </w:r>
          </w:p>
        </w:tc>
        <w:tc>
          <w:tcPr>
            <w:tcW w:w="994" w:type="dxa"/>
            <w:tcBorders>
              <w:bottom w:val="nil"/>
            </w:tcBorders>
            <w:textDirection w:val="btLr"/>
            <w:vAlign w:val="center"/>
          </w:tcPr>
          <w:p>
            <w:pPr>
              <w:pStyle w:val="Normal"/>
              <w:spacing w:lineRule="auto" w:line="240"/>
              <w:jc w:val="center"/>
              <w:rPr>
                <w:rFonts w:eastAsia="Times New Roman"/>
                <w:b/>
                <w:b/>
                <w:bCs/>
                <w:sz w:val="20"/>
                <w:szCs w:val="24"/>
                <w:lang w:eastAsia="ru-RU"/>
              </w:rPr>
            </w:pPr>
            <w:r>
              <w:rPr>
                <w:rFonts w:eastAsia="Times New Roman"/>
                <w:b/>
                <w:bCs/>
                <w:sz w:val="20"/>
                <w:szCs w:val="24"/>
                <w:lang w:eastAsia="ru-RU"/>
              </w:rPr>
              <w:t>всего</w:t>
            </w:r>
          </w:p>
        </w:tc>
        <w:tc>
          <w:tcPr>
            <w:tcW w:w="992" w:type="dxa"/>
            <w:tcBorders>
              <w:bottom w:val="nil"/>
            </w:tcBorders>
            <w:textDirection w:val="btLr"/>
            <w:vAlign w:val="center"/>
          </w:tcPr>
          <w:p>
            <w:pPr>
              <w:pStyle w:val="Normal"/>
              <w:spacing w:lineRule="auto" w:line="240"/>
              <w:jc w:val="center"/>
              <w:rPr>
                <w:rFonts w:eastAsia="Times New Roman"/>
                <w:b/>
                <w:b/>
                <w:sz w:val="20"/>
                <w:szCs w:val="24"/>
                <w:lang w:eastAsia="ru-RU"/>
              </w:rPr>
            </w:pPr>
            <w:r>
              <w:rPr>
                <w:rFonts w:eastAsia="Times New Roman"/>
                <w:b/>
                <w:bCs/>
                <w:sz w:val="20"/>
                <w:szCs w:val="24"/>
                <w:lang w:eastAsia="ru-RU"/>
              </w:rPr>
              <w:t>хозяйственно-питьевые нужды</w:t>
            </w:r>
          </w:p>
        </w:tc>
        <w:tc>
          <w:tcPr>
            <w:tcW w:w="865" w:type="dxa"/>
            <w:tcBorders>
              <w:bottom w:val="nil"/>
            </w:tcBorders>
            <w:textDirection w:val="btLr"/>
            <w:vAlign w:val="center"/>
          </w:tcPr>
          <w:p>
            <w:pPr>
              <w:pStyle w:val="Normal"/>
              <w:spacing w:lineRule="auto" w:line="240"/>
              <w:jc w:val="center"/>
              <w:rPr>
                <w:rFonts w:eastAsia="Times New Roman"/>
                <w:b/>
                <w:b/>
                <w:sz w:val="20"/>
                <w:szCs w:val="24"/>
                <w:lang w:eastAsia="ru-RU"/>
              </w:rPr>
            </w:pPr>
            <w:r>
              <w:rPr>
                <w:rFonts w:eastAsia="Times New Roman"/>
                <w:b/>
                <w:bCs/>
                <w:sz w:val="20"/>
                <w:szCs w:val="24"/>
                <w:lang w:eastAsia="ru-RU"/>
              </w:rPr>
              <w:t>неучтенные расходы</w:t>
            </w:r>
          </w:p>
        </w:tc>
        <w:tc>
          <w:tcPr>
            <w:tcW w:w="977" w:type="dxa"/>
            <w:tcBorders>
              <w:bottom w:val="nil"/>
            </w:tcBorders>
            <w:textDirection w:val="btLr"/>
            <w:vAlign w:val="center"/>
          </w:tcPr>
          <w:p>
            <w:pPr>
              <w:pStyle w:val="Normal"/>
              <w:spacing w:lineRule="auto" w:line="240"/>
              <w:jc w:val="center"/>
              <w:rPr>
                <w:rFonts w:eastAsia="Times New Roman"/>
                <w:b/>
                <w:b/>
                <w:sz w:val="20"/>
                <w:szCs w:val="24"/>
                <w:lang w:eastAsia="ru-RU"/>
              </w:rPr>
            </w:pPr>
            <w:r>
              <w:rPr>
                <w:rFonts w:eastAsia="Times New Roman"/>
                <w:b/>
                <w:bCs/>
                <w:sz w:val="20"/>
                <w:szCs w:val="24"/>
                <w:lang w:eastAsia="ru-RU"/>
              </w:rPr>
              <w:t>производственные нужды</w:t>
            </w:r>
          </w:p>
        </w:tc>
        <w:tc>
          <w:tcPr>
            <w:tcW w:w="865" w:type="dxa"/>
            <w:tcBorders>
              <w:bottom w:val="nil"/>
            </w:tcBorders>
            <w:textDirection w:val="btLr"/>
            <w:vAlign w:val="center"/>
          </w:tcPr>
          <w:p>
            <w:pPr>
              <w:pStyle w:val="Normal"/>
              <w:spacing w:lineRule="auto" w:line="240"/>
              <w:jc w:val="center"/>
              <w:rPr>
                <w:rFonts w:eastAsia="Times New Roman"/>
                <w:b/>
                <w:b/>
                <w:sz w:val="20"/>
                <w:szCs w:val="24"/>
                <w:lang w:eastAsia="ru-RU"/>
              </w:rPr>
            </w:pPr>
            <w:r>
              <w:rPr>
                <w:rFonts w:eastAsia="Times New Roman"/>
                <w:b/>
                <w:bCs/>
                <w:sz w:val="20"/>
                <w:szCs w:val="24"/>
                <w:lang w:eastAsia="ru-RU"/>
              </w:rPr>
              <w:t>полив</w:t>
            </w:r>
          </w:p>
        </w:tc>
        <w:tc>
          <w:tcPr>
            <w:tcW w:w="938" w:type="dxa"/>
            <w:tcBorders>
              <w:bottom w:val="nil"/>
            </w:tcBorders>
            <w:textDirection w:val="btLr"/>
            <w:vAlign w:val="center"/>
          </w:tcPr>
          <w:p>
            <w:pPr>
              <w:pStyle w:val="Normal"/>
              <w:spacing w:lineRule="auto" w:line="240"/>
              <w:jc w:val="center"/>
              <w:rPr>
                <w:rFonts w:eastAsia="Times New Roman"/>
                <w:b/>
                <w:b/>
                <w:bCs/>
                <w:sz w:val="20"/>
                <w:szCs w:val="24"/>
                <w:lang w:eastAsia="ru-RU"/>
              </w:rPr>
            </w:pPr>
            <w:r>
              <w:rPr>
                <w:rFonts w:eastAsia="Times New Roman"/>
                <w:b/>
                <w:bCs/>
                <w:sz w:val="20"/>
                <w:szCs w:val="24"/>
                <w:lang w:eastAsia="ru-RU"/>
              </w:rPr>
              <w:t>всего</w:t>
            </w:r>
          </w:p>
        </w:tc>
      </w:tr>
    </w:tbl>
    <w:p>
      <w:pPr>
        <w:pStyle w:val="Normal"/>
        <w:spacing w:lineRule="auto" w:line="240"/>
        <w:jc w:val="left"/>
        <w:rPr>
          <w:rFonts w:eastAsia="Calibri" w:eastAsiaTheme="minorHAnsi"/>
          <w:sz w:val="2"/>
          <w:szCs w:val="2"/>
          <w:lang w:eastAsia="ru-RU"/>
        </w:rPr>
      </w:pPr>
      <w:r>
        <w:rPr>
          <w:rFonts w:eastAsia="Calibri" w:eastAsiaTheme="minorHAnsi"/>
          <w:sz w:val="2"/>
          <w:szCs w:val="2"/>
          <w:lang w:eastAsia="ru-RU"/>
        </w:rPr>
      </w:r>
    </w:p>
    <w:tbl>
      <w:tblPr>
        <w:tblStyle w:val="2f9"/>
        <w:tblW w:w="5000" w:type="pct"/>
        <w:jc w:val="left"/>
        <w:tblInd w:w="-108" w:type="dxa"/>
        <w:tblCellMar>
          <w:top w:w="0" w:type="dxa"/>
          <w:left w:w="108" w:type="dxa"/>
          <w:bottom w:w="0" w:type="dxa"/>
          <w:right w:w="108" w:type="dxa"/>
        </w:tblCellMar>
        <w:tblLook w:firstRow="1" w:noVBand="1" w:lastRow="0" w:firstColumn="1" w:lastColumn="0" w:noHBand="0" w:val="04a0"/>
      </w:tblPr>
      <w:tblGrid>
        <w:gridCol w:w="444"/>
        <w:gridCol w:w="1748"/>
        <w:gridCol w:w="778"/>
        <w:gridCol w:w="711"/>
        <w:gridCol w:w="853"/>
        <w:gridCol w:w="763"/>
        <w:gridCol w:w="941"/>
        <w:gridCol w:w="851"/>
        <w:gridCol w:w="851"/>
        <w:gridCol w:w="994"/>
        <w:gridCol w:w="993"/>
        <w:gridCol w:w="993"/>
        <w:gridCol w:w="852"/>
        <w:gridCol w:w="991"/>
        <w:gridCol w:w="851"/>
        <w:gridCol w:w="952"/>
      </w:tblGrid>
      <w:tr>
        <w:trPr>
          <w:tblHeader w:val="true"/>
        </w:trPr>
        <w:tc>
          <w:tcPr>
            <w:tcW w:w="444"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1</w:t>
            </w:r>
          </w:p>
        </w:tc>
        <w:tc>
          <w:tcPr>
            <w:tcW w:w="1748"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2</w:t>
            </w:r>
          </w:p>
        </w:tc>
        <w:tc>
          <w:tcPr>
            <w:tcW w:w="778"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3</w:t>
            </w:r>
          </w:p>
        </w:tc>
        <w:tc>
          <w:tcPr>
            <w:tcW w:w="711"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4</w:t>
            </w:r>
          </w:p>
        </w:tc>
        <w:tc>
          <w:tcPr>
            <w:tcW w:w="853"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5</w:t>
            </w:r>
          </w:p>
        </w:tc>
        <w:tc>
          <w:tcPr>
            <w:tcW w:w="763"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6</w:t>
            </w:r>
          </w:p>
        </w:tc>
        <w:tc>
          <w:tcPr>
            <w:tcW w:w="941"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7</w:t>
            </w:r>
          </w:p>
        </w:tc>
        <w:tc>
          <w:tcPr>
            <w:tcW w:w="851"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8</w:t>
            </w:r>
          </w:p>
        </w:tc>
        <w:tc>
          <w:tcPr>
            <w:tcW w:w="851"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9</w:t>
            </w:r>
          </w:p>
        </w:tc>
        <w:tc>
          <w:tcPr>
            <w:tcW w:w="994"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10</w:t>
            </w:r>
          </w:p>
        </w:tc>
        <w:tc>
          <w:tcPr>
            <w:tcW w:w="993"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11</w:t>
            </w:r>
          </w:p>
        </w:tc>
        <w:tc>
          <w:tcPr>
            <w:tcW w:w="993"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12</w:t>
            </w:r>
          </w:p>
        </w:tc>
        <w:tc>
          <w:tcPr>
            <w:tcW w:w="852"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13</w:t>
            </w:r>
          </w:p>
        </w:tc>
        <w:tc>
          <w:tcPr>
            <w:tcW w:w="991"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14</w:t>
            </w:r>
          </w:p>
        </w:tc>
        <w:tc>
          <w:tcPr>
            <w:tcW w:w="851"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15</w:t>
            </w:r>
          </w:p>
        </w:tc>
        <w:tc>
          <w:tcPr>
            <w:tcW w:w="952"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16</w:t>
            </w:r>
          </w:p>
        </w:tc>
      </w:tr>
      <w:tr>
        <w:trPr/>
        <w:tc>
          <w:tcPr>
            <w:tcW w:w="444" w:type="dxa"/>
            <w:tcBorders/>
          </w:tcPr>
          <w:p>
            <w:pPr>
              <w:pStyle w:val="Normal"/>
              <w:spacing w:lineRule="auto" w:line="240"/>
              <w:jc w:val="center"/>
              <w:rPr>
                <w:rFonts w:eastAsia="Times New Roman"/>
                <w:sz w:val="20"/>
                <w:szCs w:val="20"/>
                <w:lang w:eastAsia="ru-RU"/>
              </w:rPr>
            </w:pPr>
            <w:r>
              <w:rPr>
                <w:rFonts w:eastAsia="Times New Roman"/>
                <w:sz w:val="20"/>
                <w:szCs w:val="20"/>
                <w:lang w:eastAsia="ru-RU"/>
              </w:rPr>
              <w:t>1</w:t>
            </w:r>
          </w:p>
        </w:tc>
        <w:tc>
          <w:tcPr>
            <w:tcW w:w="1748" w:type="dxa"/>
            <w:tcBorders/>
          </w:tcPr>
          <w:p>
            <w:pPr>
              <w:pStyle w:val="Normal"/>
              <w:spacing w:lineRule="auto" w:line="240"/>
              <w:jc w:val="left"/>
              <w:rPr>
                <w:rFonts w:eastAsia="Times New Roman"/>
                <w:bCs/>
                <w:color w:val="000000"/>
                <w:sz w:val="20"/>
                <w:szCs w:val="20"/>
                <w:lang w:eastAsia="ru-RU"/>
              </w:rPr>
            </w:pPr>
            <w:r>
              <w:rPr>
                <w:rFonts w:eastAsia="Times New Roman"/>
                <w:sz w:val="20"/>
                <w:szCs w:val="20"/>
                <w:lang w:eastAsia="en-US"/>
              </w:rPr>
              <w:t>с. Катенино</w:t>
            </w:r>
          </w:p>
        </w:tc>
        <w:tc>
          <w:tcPr>
            <w:tcW w:w="778" w:type="dxa"/>
            <w:tcBorders/>
          </w:tcPr>
          <w:p>
            <w:pPr>
              <w:pStyle w:val="Normal"/>
              <w:spacing w:lineRule="auto" w:line="240"/>
              <w:jc w:val="center"/>
              <w:rPr>
                <w:rFonts w:eastAsia="Times New Roman"/>
                <w:color w:val="000000"/>
                <w:sz w:val="20"/>
                <w:szCs w:val="20"/>
              </w:rPr>
            </w:pPr>
            <w:r>
              <w:rPr>
                <w:rFonts w:eastAsia="Times New Roman"/>
                <w:sz w:val="20"/>
                <w:szCs w:val="20"/>
                <w:lang w:eastAsia="en-US"/>
              </w:rPr>
              <w:t>914</w:t>
            </w:r>
          </w:p>
        </w:tc>
        <w:tc>
          <w:tcPr>
            <w:tcW w:w="711" w:type="dxa"/>
            <w:tcBorders/>
          </w:tcPr>
          <w:p>
            <w:pPr>
              <w:pStyle w:val="Normal"/>
              <w:spacing w:lineRule="auto" w:line="240"/>
              <w:jc w:val="center"/>
              <w:rPr>
                <w:rFonts w:eastAsia="Times New Roman"/>
                <w:color w:val="000000"/>
                <w:sz w:val="20"/>
                <w:szCs w:val="20"/>
              </w:rPr>
            </w:pPr>
            <w:r>
              <w:rPr>
                <w:rFonts w:eastAsia="Times New Roman"/>
                <w:sz w:val="20"/>
                <w:szCs w:val="20"/>
                <w:lang w:eastAsia="en-US"/>
              </w:rPr>
              <w:t>930</w:t>
            </w:r>
          </w:p>
        </w:tc>
        <w:tc>
          <w:tcPr>
            <w:tcW w:w="853"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165</w:t>
            </w:r>
          </w:p>
        </w:tc>
        <w:tc>
          <w:tcPr>
            <w:tcW w:w="763"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165</w:t>
            </w:r>
          </w:p>
        </w:tc>
        <w:tc>
          <w:tcPr>
            <w:tcW w:w="941"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180,97</w:t>
            </w:r>
          </w:p>
        </w:tc>
        <w:tc>
          <w:tcPr>
            <w:tcW w:w="851"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9,05</w:t>
            </w:r>
          </w:p>
        </w:tc>
        <w:tc>
          <w:tcPr>
            <w:tcW w:w="851"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18,10</w:t>
            </w:r>
          </w:p>
        </w:tc>
        <w:tc>
          <w:tcPr>
            <w:tcW w:w="994"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45,70</w:t>
            </w:r>
          </w:p>
        </w:tc>
        <w:tc>
          <w:tcPr>
            <w:tcW w:w="993"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253,82</w:t>
            </w:r>
          </w:p>
        </w:tc>
        <w:tc>
          <w:tcPr>
            <w:tcW w:w="993"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184,14</w:t>
            </w:r>
          </w:p>
        </w:tc>
        <w:tc>
          <w:tcPr>
            <w:tcW w:w="852"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9,21</w:t>
            </w:r>
          </w:p>
        </w:tc>
        <w:tc>
          <w:tcPr>
            <w:tcW w:w="991"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27,62</w:t>
            </w:r>
          </w:p>
        </w:tc>
        <w:tc>
          <w:tcPr>
            <w:tcW w:w="851"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46,50</w:t>
            </w:r>
          </w:p>
        </w:tc>
        <w:tc>
          <w:tcPr>
            <w:tcW w:w="952"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267,47</w:t>
            </w:r>
          </w:p>
        </w:tc>
      </w:tr>
      <w:tr>
        <w:trPr/>
        <w:tc>
          <w:tcPr>
            <w:tcW w:w="444" w:type="dxa"/>
            <w:tcBorders/>
          </w:tcPr>
          <w:p>
            <w:pPr>
              <w:pStyle w:val="Normal"/>
              <w:spacing w:lineRule="auto" w:line="240"/>
              <w:jc w:val="center"/>
              <w:rPr>
                <w:rFonts w:eastAsia="Times New Roman"/>
                <w:sz w:val="20"/>
                <w:szCs w:val="20"/>
              </w:rPr>
            </w:pPr>
            <w:r>
              <w:rPr>
                <w:rFonts w:eastAsia="Times New Roman"/>
                <w:sz w:val="20"/>
                <w:szCs w:val="20"/>
                <w:lang w:eastAsia="en-US"/>
              </w:rPr>
              <w:t>2</w:t>
            </w:r>
          </w:p>
        </w:tc>
        <w:tc>
          <w:tcPr>
            <w:tcW w:w="1748" w:type="dxa"/>
            <w:tcBorders/>
          </w:tcPr>
          <w:p>
            <w:pPr>
              <w:pStyle w:val="Normal"/>
              <w:spacing w:lineRule="auto" w:line="240"/>
              <w:ind w:right="-138" w:hanging="0"/>
              <w:jc w:val="left"/>
              <w:rPr>
                <w:rFonts w:eastAsia="Times New Roman"/>
                <w:bCs/>
                <w:sz w:val="20"/>
                <w:szCs w:val="24"/>
              </w:rPr>
            </w:pPr>
            <w:r>
              <w:rPr>
                <w:rFonts w:eastAsia="Times New Roman"/>
                <w:sz w:val="20"/>
                <w:szCs w:val="20"/>
                <w:lang w:eastAsia="en-US"/>
              </w:rPr>
              <w:t>п. Караоба</w:t>
            </w:r>
          </w:p>
        </w:tc>
        <w:tc>
          <w:tcPr>
            <w:tcW w:w="778" w:type="dxa"/>
            <w:tcBorders/>
          </w:tcPr>
          <w:p>
            <w:pPr>
              <w:pStyle w:val="Normal"/>
              <w:spacing w:lineRule="auto" w:line="240"/>
              <w:jc w:val="center"/>
              <w:rPr>
                <w:rFonts w:eastAsia="Times New Roman"/>
                <w:color w:val="000000"/>
                <w:sz w:val="20"/>
                <w:szCs w:val="20"/>
              </w:rPr>
            </w:pPr>
            <w:r>
              <w:rPr>
                <w:rFonts w:eastAsia="Times New Roman"/>
                <w:sz w:val="20"/>
                <w:szCs w:val="20"/>
                <w:lang w:eastAsia="en-US"/>
              </w:rPr>
              <w:t>130</w:t>
            </w:r>
          </w:p>
        </w:tc>
        <w:tc>
          <w:tcPr>
            <w:tcW w:w="711" w:type="dxa"/>
            <w:tcBorders/>
          </w:tcPr>
          <w:p>
            <w:pPr>
              <w:pStyle w:val="Normal"/>
              <w:spacing w:lineRule="auto" w:line="240"/>
              <w:jc w:val="center"/>
              <w:rPr>
                <w:rFonts w:eastAsia="Times New Roman"/>
                <w:color w:val="000000"/>
                <w:sz w:val="20"/>
                <w:szCs w:val="20"/>
              </w:rPr>
            </w:pPr>
            <w:r>
              <w:rPr>
                <w:rFonts w:eastAsia="Times New Roman"/>
                <w:sz w:val="20"/>
                <w:szCs w:val="20"/>
                <w:lang w:eastAsia="en-US"/>
              </w:rPr>
              <w:t>140</w:t>
            </w:r>
          </w:p>
        </w:tc>
        <w:tc>
          <w:tcPr>
            <w:tcW w:w="853"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165</w:t>
            </w:r>
          </w:p>
        </w:tc>
        <w:tc>
          <w:tcPr>
            <w:tcW w:w="763"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165</w:t>
            </w:r>
          </w:p>
        </w:tc>
        <w:tc>
          <w:tcPr>
            <w:tcW w:w="941"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25,74</w:t>
            </w:r>
          </w:p>
        </w:tc>
        <w:tc>
          <w:tcPr>
            <w:tcW w:w="851"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1,29</w:t>
            </w:r>
          </w:p>
        </w:tc>
        <w:tc>
          <w:tcPr>
            <w:tcW w:w="851"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2,57</w:t>
            </w:r>
          </w:p>
        </w:tc>
        <w:tc>
          <w:tcPr>
            <w:tcW w:w="994"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6,50</w:t>
            </w:r>
          </w:p>
        </w:tc>
        <w:tc>
          <w:tcPr>
            <w:tcW w:w="993"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36,10</w:t>
            </w:r>
          </w:p>
        </w:tc>
        <w:tc>
          <w:tcPr>
            <w:tcW w:w="993"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27,72</w:t>
            </w:r>
          </w:p>
        </w:tc>
        <w:tc>
          <w:tcPr>
            <w:tcW w:w="852"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1,39</w:t>
            </w:r>
          </w:p>
        </w:tc>
        <w:tc>
          <w:tcPr>
            <w:tcW w:w="991"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4,16</w:t>
            </w:r>
          </w:p>
        </w:tc>
        <w:tc>
          <w:tcPr>
            <w:tcW w:w="851"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7,00</w:t>
            </w:r>
          </w:p>
        </w:tc>
        <w:tc>
          <w:tcPr>
            <w:tcW w:w="952"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40,26</w:t>
            </w:r>
          </w:p>
        </w:tc>
      </w:tr>
      <w:tr>
        <w:trPr/>
        <w:tc>
          <w:tcPr>
            <w:tcW w:w="444" w:type="dxa"/>
            <w:tcBorders/>
          </w:tcPr>
          <w:p>
            <w:pPr>
              <w:pStyle w:val="Normal"/>
              <w:spacing w:lineRule="auto" w:line="240"/>
              <w:jc w:val="center"/>
              <w:rPr>
                <w:rFonts w:eastAsia="Times New Roman"/>
                <w:sz w:val="20"/>
                <w:szCs w:val="20"/>
              </w:rPr>
            </w:pPr>
            <w:r>
              <w:rPr>
                <w:rFonts w:eastAsia="Times New Roman"/>
                <w:sz w:val="20"/>
                <w:szCs w:val="20"/>
                <w:lang w:eastAsia="en-US"/>
              </w:rPr>
              <w:t>3</w:t>
            </w:r>
          </w:p>
        </w:tc>
        <w:tc>
          <w:tcPr>
            <w:tcW w:w="1748" w:type="dxa"/>
            <w:tcBorders/>
          </w:tcPr>
          <w:p>
            <w:pPr>
              <w:pStyle w:val="Normal"/>
              <w:spacing w:lineRule="auto" w:line="240"/>
              <w:ind w:right="-138" w:hanging="0"/>
              <w:jc w:val="left"/>
              <w:rPr>
                <w:rFonts w:eastAsia="Times New Roman"/>
                <w:bCs/>
                <w:sz w:val="20"/>
                <w:szCs w:val="24"/>
              </w:rPr>
            </w:pPr>
            <w:r>
              <w:rPr>
                <w:rFonts w:eastAsia="Times New Roman"/>
                <w:sz w:val="20"/>
                <w:szCs w:val="20"/>
                <w:lang w:eastAsia="en-US"/>
              </w:rPr>
              <w:t>п. Комсомольский</w:t>
            </w:r>
          </w:p>
        </w:tc>
        <w:tc>
          <w:tcPr>
            <w:tcW w:w="778" w:type="dxa"/>
            <w:tcBorders/>
          </w:tcPr>
          <w:p>
            <w:pPr>
              <w:pStyle w:val="Normal"/>
              <w:spacing w:lineRule="auto" w:line="240"/>
              <w:jc w:val="center"/>
              <w:rPr>
                <w:rFonts w:eastAsia="Times New Roman"/>
                <w:color w:val="000000"/>
                <w:sz w:val="20"/>
                <w:szCs w:val="20"/>
              </w:rPr>
            </w:pPr>
            <w:r>
              <w:rPr>
                <w:rFonts w:eastAsia="Times New Roman"/>
                <w:sz w:val="20"/>
                <w:szCs w:val="20"/>
                <w:lang w:eastAsia="en-US"/>
              </w:rPr>
              <w:t>213</w:t>
            </w:r>
          </w:p>
        </w:tc>
        <w:tc>
          <w:tcPr>
            <w:tcW w:w="711" w:type="dxa"/>
            <w:tcBorders/>
          </w:tcPr>
          <w:p>
            <w:pPr>
              <w:pStyle w:val="Normal"/>
              <w:spacing w:lineRule="auto" w:line="240"/>
              <w:jc w:val="center"/>
              <w:rPr>
                <w:rFonts w:eastAsia="Times New Roman"/>
                <w:color w:val="000000"/>
                <w:sz w:val="20"/>
                <w:szCs w:val="20"/>
              </w:rPr>
            </w:pPr>
            <w:r>
              <w:rPr>
                <w:rFonts w:eastAsia="Times New Roman"/>
                <w:sz w:val="20"/>
                <w:szCs w:val="20"/>
                <w:lang w:eastAsia="en-US"/>
              </w:rPr>
              <w:t>222</w:t>
            </w:r>
          </w:p>
        </w:tc>
        <w:tc>
          <w:tcPr>
            <w:tcW w:w="853"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165</w:t>
            </w:r>
          </w:p>
        </w:tc>
        <w:tc>
          <w:tcPr>
            <w:tcW w:w="763"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165</w:t>
            </w:r>
          </w:p>
        </w:tc>
        <w:tc>
          <w:tcPr>
            <w:tcW w:w="941"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42,17</w:t>
            </w:r>
          </w:p>
        </w:tc>
        <w:tc>
          <w:tcPr>
            <w:tcW w:w="851"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2,11</w:t>
            </w:r>
          </w:p>
        </w:tc>
        <w:tc>
          <w:tcPr>
            <w:tcW w:w="851"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4,22</w:t>
            </w:r>
          </w:p>
        </w:tc>
        <w:tc>
          <w:tcPr>
            <w:tcW w:w="994"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10,65</w:t>
            </w:r>
          </w:p>
        </w:tc>
        <w:tc>
          <w:tcPr>
            <w:tcW w:w="993"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59,15</w:t>
            </w:r>
          </w:p>
        </w:tc>
        <w:tc>
          <w:tcPr>
            <w:tcW w:w="993"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43,96</w:t>
            </w:r>
          </w:p>
        </w:tc>
        <w:tc>
          <w:tcPr>
            <w:tcW w:w="852"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2,20</w:t>
            </w:r>
          </w:p>
        </w:tc>
        <w:tc>
          <w:tcPr>
            <w:tcW w:w="991"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6,59</w:t>
            </w:r>
          </w:p>
        </w:tc>
        <w:tc>
          <w:tcPr>
            <w:tcW w:w="851"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11,10</w:t>
            </w:r>
          </w:p>
        </w:tc>
        <w:tc>
          <w:tcPr>
            <w:tcW w:w="952"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63,85</w:t>
            </w:r>
          </w:p>
        </w:tc>
      </w:tr>
      <w:tr>
        <w:trPr/>
        <w:tc>
          <w:tcPr>
            <w:tcW w:w="444" w:type="dxa"/>
            <w:tcBorders/>
          </w:tcPr>
          <w:p>
            <w:pPr>
              <w:pStyle w:val="Normal"/>
              <w:spacing w:lineRule="auto" w:line="240"/>
              <w:jc w:val="center"/>
              <w:rPr>
                <w:rFonts w:eastAsia="Times New Roman"/>
                <w:sz w:val="20"/>
                <w:szCs w:val="20"/>
              </w:rPr>
            </w:pPr>
            <w:r>
              <w:rPr>
                <w:rFonts w:eastAsia="Times New Roman"/>
                <w:sz w:val="20"/>
                <w:szCs w:val="20"/>
                <w:lang w:eastAsia="en-US"/>
              </w:rPr>
              <w:t>4</w:t>
            </w:r>
          </w:p>
        </w:tc>
        <w:tc>
          <w:tcPr>
            <w:tcW w:w="1748" w:type="dxa"/>
            <w:tcBorders/>
          </w:tcPr>
          <w:p>
            <w:pPr>
              <w:pStyle w:val="Normal"/>
              <w:spacing w:lineRule="auto" w:line="240"/>
              <w:ind w:right="-138" w:hanging="0"/>
              <w:jc w:val="left"/>
              <w:rPr>
                <w:rFonts w:eastAsia="Times New Roman"/>
                <w:bCs/>
                <w:sz w:val="20"/>
                <w:szCs w:val="24"/>
              </w:rPr>
            </w:pPr>
            <w:r>
              <w:rPr>
                <w:rFonts w:eastAsia="Times New Roman"/>
                <w:sz w:val="20"/>
                <w:szCs w:val="20"/>
                <w:lang w:eastAsia="en-US"/>
              </w:rPr>
              <w:t>п. Красноармейский</w:t>
            </w:r>
          </w:p>
        </w:tc>
        <w:tc>
          <w:tcPr>
            <w:tcW w:w="778" w:type="dxa"/>
            <w:tcBorders/>
          </w:tcPr>
          <w:p>
            <w:pPr>
              <w:pStyle w:val="Normal"/>
              <w:spacing w:lineRule="auto" w:line="240"/>
              <w:jc w:val="center"/>
              <w:rPr>
                <w:rFonts w:eastAsia="Times New Roman"/>
                <w:color w:val="000000"/>
                <w:sz w:val="20"/>
                <w:szCs w:val="20"/>
              </w:rPr>
            </w:pPr>
            <w:r>
              <w:rPr>
                <w:rFonts w:eastAsia="Times New Roman"/>
                <w:sz w:val="20"/>
                <w:szCs w:val="20"/>
                <w:lang w:eastAsia="en-US"/>
              </w:rPr>
              <w:t>220</w:t>
            </w:r>
          </w:p>
        </w:tc>
        <w:tc>
          <w:tcPr>
            <w:tcW w:w="711" w:type="dxa"/>
            <w:tcBorders/>
          </w:tcPr>
          <w:p>
            <w:pPr>
              <w:pStyle w:val="Normal"/>
              <w:spacing w:lineRule="auto" w:line="240"/>
              <w:jc w:val="center"/>
              <w:rPr>
                <w:rFonts w:eastAsia="Times New Roman"/>
                <w:color w:val="000000"/>
                <w:sz w:val="20"/>
                <w:szCs w:val="20"/>
              </w:rPr>
            </w:pPr>
            <w:r>
              <w:rPr>
                <w:rFonts w:eastAsia="Times New Roman"/>
                <w:sz w:val="20"/>
                <w:szCs w:val="20"/>
                <w:lang w:eastAsia="en-US"/>
              </w:rPr>
              <w:t>228</w:t>
            </w:r>
          </w:p>
        </w:tc>
        <w:tc>
          <w:tcPr>
            <w:tcW w:w="853"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165</w:t>
            </w:r>
          </w:p>
        </w:tc>
        <w:tc>
          <w:tcPr>
            <w:tcW w:w="763"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165</w:t>
            </w:r>
          </w:p>
        </w:tc>
        <w:tc>
          <w:tcPr>
            <w:tcW w:w="941"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43,56</w:t>
            </w:r>
          </w:p>
        </w:tc>
        <w:tc>
          <w:tcPr>
            <w:tcW w:w="851"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2,18</w:t>
            </w:r>
          </w:p>
        </w:tc>
        <w:tc>
          <w:tcPr>
            <w:tcW w:w="851"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4,36</w:t>
            </w:r>
          </w:p>
        </w:tc>
        <w:tc>
          <w:tcPr>
            <w:tcW w:w="994"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11,00</w:t>
            </w:r>
          </w:p>
        </w:tc>
        <w:tc>
          <w:tcPr>
            <w:tcW w:w="993"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61,09</w:t>
            </w:r>
          </w:p>
        </w:tc>
        <w:tc>
          <w:tcPr>
            <w:tcW w:w="993"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45,14</w:t>
            </w:r>
          </w:p>
        </w:tc>
        <w:tc>
          <w:tcPr>
            <w:tcW w:w="852"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2,26</w:t>
            </w:r>
          </w:p>
        </w:tc>
        <w:tc>
          <w:tcPr>
            <w:tcW w:w="991"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6,77</w:t>
            </w:r>
          </w:p>
        </w:tc>
        <w:tc>
          <w:tcPr>
            <w:tcW w:w="851"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11,40</w:t>
            </w:r>
          </w:p>
        </w:tc>
        <w:tc>
          <w:tcPr>
            <w:tcW w:w="952" w:type="dxa"/>
            <w:tcBorders/>
          </w:tcPr>
          <w:p>
            <w:pPr>
              <w:pStyle w:val="Normal"/>
              <w:spacing w:lineRule="auto" w:line="240"/>
              <w:jc w:val="center"/>
              <w:rPr>
                <w:rFonts w:eastAsia="Times New Roman"/>
                <w:color w:val="000000"/>
                <w:sz w:val="20"/>
                <w:szCs w:val="20"/>
              </w:rPr>
            </w:pPr>
            <w:r>
              <w:rPr>
                <w:rFonts w:eastAsia="Times New Roman"/>
                <w:color w:val="000000"/>
                <w:sz w:val="20"/>
                <w:szCs w:val="20"/>
                <w:lang w:eastAsia="en-US"/>
              </w:rPr>
              <w:t>65,57</w:t>
            </w:r>
          </w:p>
        </w:tc>
      </w:tr>
      <w:tr>
        <w:trPr/>
        <w:tc>
          <w:tcPr>
            <w:tcW w:w="5297" w:type="dxa"/>
            <w:gridSpan w:val="6"/>
            <w:tcBorders/>
          </w:tcPr>
          <w:p>
            <w:pPr>
              <w:pStyle w:val="Normal"/>
              <w:spacing w:lineRule="auto" w:line="240"/>
              <w:jc w:val="left"/>
              <w:rPr>
                <w:rFonts w:eastAsia="Times New Roman"/>
                <w:color w:val="000000"/>
                <w:sz w:val="20"/>
                <w:szCs w:val="20"/>
              </w:rPr>
            </w:pPr>
            <w:r>
              <w:rPr>
                <w:rFonts w:eastAsia="Times New Roman"/>
                <w:b/>
                <w:color w:val="000000"/>
                <w:sz w:val="20"/>
                <w:szCs w:val="20"/>
                <w:lang w:eastAsia="ru-RU"/>
              </w:rPr>
              <w:t>Итого</w:t>
            </w:r>
          </w:p>
        </w:tc>
        <w:tc>
          <w:tcPr>
            <w:tcW w:w="941" w:type="dxa"/>
            <w:tcBorders/>
          </w:tcPr>
          <w:p>
            <w:pPr>
              <w:pStyle w:val="Normal"/>
              <w:spacing w:lineRule="auto" w:line="240"/>
              <w:jc w:val="center"/>
              <w:rPr>
                <w:rFonts w:eastAsia="Times New Roman"/>
                <w:b/>
                <w:b/>
                <w:color w:val="000000"/>
                <w:sz w:val="20"/>
                <w:szCs w:val="20"/>
              </w:rPr>
            </w:pPr>
            <w:r>
              <w:rPr>
                <w:rFonts w:eastAsia="Times New Roman"/>
                <w:b/>
                <w:color w:val="000000"/>
                <w:sz w:val="20"/>
                <w:szCs w:val="20"/>
                <w:lang w:eastAsia="en-US"/>
              </w:rPr>
              <w:t>292,44</w:t>
            </w:r>
          </w:p>
        </w:tc>
        <w:tc>
          <w:tcPr>
            <w:tcW w:w="851" w:type="dxa"/>
            <w:tcBorders/>
          </w:tcPr>
          <w:p>
            <w:pPr>
              <w:pStyle w:val="Normal"/>
              <w:spacing w:lineRule="auto" w:line="240"/>
              <w:jc w:val="center"/>
              <w:rPr>
                <w:rFonts w:eastAsia="Times New Roman"/>
                <w:b/>
                <w:b/>
                <w:color w:val="000000"/>
                <w:sz w:val="20"/>
                <w:szCs w:val="20"/>
              </w:rPr>
            </w:pPr>
            <w:r>
              <w:rPr>
                <w:rFonts w:eastAsia="Times New Roman"/>
                <w:b/>
                <w:color w:val="000000"/>
                <w:sz w:val="20"/>
                <w:szCs w:val="20"/>
                <w:lang w:eastAsia="en-US"/>
              </w:rPr>
              <w:t>14,63</w:t>
            </w:r>
          </w:p>
        </w:tc>
        <w:tc>
          <w:tcPr>
            <w:tcW w:w="851" w:type="dxa"/>
            <w:tcBorders/>
          </w:tcPr>
          <w:p>
            <w:pPr>
              <w:pStyle w:val="Normal"/>
              <w:spacing w:lineRule="auto" w:line="240"/>
              <w:jc w:val="center"/>
              <w:rPr>
                <w:rFonts w:eastAsia="Times New Roman"/>
                <w:b/>
                <w:b/>
                <w:color w:val="000000"/>
                <w:sz w:val="20"/>
                <w:szCs w:val="20"/>
              </w:rPr>
            </w:pPr>
            <w:r>
              <w:rPr>
                <w:rFonts w:eastAsia="Times New Roman"/>
                <w:b/>
                <w:color w:val="000000"/>
                <w:sz w:val="20"/>
                <w:szCs w:val="20"/>
                <w:lang w:eastAsia="en-US"/>
              </w:rPr>
              <w:t>29,25</w:t>
            </w:r>
          </w:p>
        </w:tc>
        <w:tc>
          <w:tcPr>
            <w:tcW w:w="994" w:type="dxa"/>
            <w:tcBorders/>
          </w:tcPr>
          <w:p>
            <w:pPr>
              <w:pStyle w:val="Normal"/>
              <w:spacing w:lineRule="auto" w:line="240"/>
              <w:jc w:val="center"/>
              <w:rPr>
                <w:rFonts w:eastAsia="Times New Roman"/>
                <w:b/>
                <w:b/>
                <w:color w:val="000000"/>
                <w:sz w:val="20"/>
                <w:szCs w:val="20"/>
              </w:rPr>
            </w:pPr>
            <w:r>
              <w:rPr>
                <w:rFonts w:eastAsia="Times New Roman"/>
                <w:b/>
                <w:color w:val="000000"/>
                <w:sz w:val="20"/>
                <w:szCs w:val="20"/>
                <w:lang w:eastAsia="en-US"/>
              </w:rPr>
              <w:t>73,85</w:t>
            </w:r>
          </w:p>
        </w:tc>
        <w:tc>
          <w:tcPr>
            <w:tcW w:w="993" w:type="dxa"/>
            <w:tcBorders/>
          </w:tcPr>
          <w:p>
            <w:pPr>
              <w:pStyle w:val="Normal"/>
              <w:spacing w:lineRule="auto" w:line="240"/>
              <w:jc w:val="center"/>
              <w:rPr>
                <w:rFonts w:eastAsia="Times New Roman"/>
                <w:b/>
                <w:b/>
                <w:color w:val="000000"/>
                <w:sz w:val="20"/>
                <w:szCs w:val="20"/>
              </w:rPr>
            </w:pPr>
            <w:r>
              <w:rPr>
                <w:rFonts w:eastAsia="Times New Roman"/>
                <w:b/>
                <w:color w:val="000000"/>
                <w:sz w:val="20"/>
                <w:szCs w:val="20"/>
                <w:lang w:eastAsia="en-US"/>
              </w:rPr>
              <w:t>410,16</w:t>
            </w:r>
          </w:p>
        </w:tc>
        <w:tc>
          <w:tcPr>
            <w:tcW w:w="993" w:type="dxa"/>
            <w:tcBorders/>
          </w:tcPr>
          <w:p>
            <w:pPr>
              <w:pStyle w:val="Normal"/>
              <w:spacing w:lineRule="auto" w:line="240"/>
              <w:jc w:val="center"/>
              <w:rPr>
                <w:rFonts w:eastAsia="Times New Roman"/>
                <w:b/>
                <w:b/>
                <w:color w:val="000000"/>
                <w:sz w:val="20"/>
                <w:szCs w:val="20"/>
              </w:rPr>
            </w:pPr>
            <w:r>
              <w:rPr>
                <w:rFonts w:eastAsia="Times New Roman"/>
                <w:b/>
                <w:color w:val="000000"/>
                <w:sz w:val="20"/>
                <w:szCs w:val="20"/>
                <w:lang w:eastAsia="en-US"/>
              </w:rPr>
              <w:t>300,96</w:t>
            </w:r>
          </w:p>
        </w:tc>
        <w:tc>
          <w:tcPr>
            <w:tcW w:w="852" w:type="dxa"/>
            <w:tcBorders/>
          </w:tcPr>
          <w:p>
            <w:pPr>
              <w:pStyle w:val="Normal"/>
              <w:spacing w:lineRule="auto" w:line="240"/>
              <w:jc w:val="center"/>
              <w:rPr>
                <w:rFonts w:eastAsia="Times New Roman"/>
                <w:b/>
                <w:b/>
                <w:color w:val="000000"/>
                <w:sz w:val="20"/>
                <w:szCs w:val="20"/>
              </w:rPr>
            </w:pPr>
            <w:r>
              <w:rPr>
                <w:rFonts w:eastAsia="Times New Roman"/>
                <w:b/>
                <w:color w:val="000000"/>
                <w:sz w:val="20"/>
                <w:szCs w:val="20"/>
                <w:lang w:eastAsia="en-US"/>
              </w:rPr>
              <w:t>15,06</w:t>
            </w:r>
          </w:p>
        </w:tc>
        <w:tc>
          <w:tcPr>
            <w:tcW w:w="991" w:type="dxa"/>
            <w:tcBorders/>
          </w:tcPr>
          <w:p>
            <w:pPr>
              <w:pStyle w:val="Normal"/>
              <w:spacing w:lineRule="auto" w:line="240"/>
              <w:jc w:val="center"/>
              <w:rPr>
                <w:rFonts w:eastAsia="Times New Roman"/>
                <w:b/>
                <w:b/>
                <w:color w:val="000000"/>
                <w:sz w:val="20"/>
                <w:szCs w:val="20"/>
              </w:rPr>
            </w:pPr>
            <w:r>
              <w:rPr>
                <w:rFonts w:eastAsia="Times New Roman"/>
                <w:b/>
                <w:color w:val="000000"/>
                <w:sz w:val="20"/>
                <w:szCs w:val="20"/>
                <w:lang w:eastAsia="en-US"/>
              </w:rPr>
              <w:t>45,14</w:t>
            </w:r>
          </w:p>
        </w:tc>
        <w:tc>
          <w:tcPr>
            <w:tcW w:w="851" w:type="dxa"/>
            <w:tcBorders/>
          </w:tcPr>
          <w:p>
            <w:pPr>
              <w:pStyle w:val="Normal"/>
              <w:spacing w:lineRule="auto" w:line="240"/>
              <w:jc w:val="center"/>
              <w:rPr>
                <w:rFonts w:eastAsia="Times New Roman"/>
                <w:b/>
                <w:b/>
                <w:color w:val="000000"/>
                <w:sz w:val="20"/>
                <w:szCs w:val="20"/>
              </w:rPr>
            </w:pPr>
            <w:r>
              <w:rPr>
                <w:rFonts w:eastAsia="Times New Roman"/>
                <w:b/>
                <w:color w:val="000000"/>
                <w:sz w:val="20"/>
                <w:szCs w:val="20"/>
                <w:lang w:eastAsia="en-US"/>
              </w:rPr>
              <w:t>76</w:t>
            </w:r>
          </w:p>
        </w:tc>
        <w:tc>
          <w:tcPr>
            <w:tcW w:w="952" w:type="dxa"/>
            <w:tcBorders/>
          </w:tcPr>
          <w:p>
            <w:pPr>
              <w:pStyle w:val="Normal"/>
              <w:spacing w:lineRule="auto" w:line="240"/>
              <w:jc w:val="center"/>
              <w:rPr>
                <w:rFonts w:eastAsia="Times New Roman"/>
                <w:b/>
                <w:b/>
                <w:color w:val="000000"/>
                <w:sz w:val="20"/>
                <w:szCs w:val="20"/>
              </w:rPr>
            </w:pPr>
            <w:r>
              <w:rPr>
                <w:rFonts w:eastAsia="Times New Roman"/>
                <w:b/>
                <w:color w:val="000000"/>
                <w:sz w:val="20"/>
                <w:szCs w:val="20"/>
                <w:lang w:eastAsia="en-US"/>
              </w:rPr>
              <w:t>437,15</w:t>
            </w:r>
          </w:p>
        </w:tc>
      </w:tr>
    </w:tbl>
    <w:p>
      <w:pPr>
        <w:sectPr>
          <w:headerReference w:type="default" r:id="rId98"/>
          <w:footerReference w:type="default" r:id="rId99"/>
          <w:type w:val="nextPage"/>
          <w:pgSz w:orient="landscape" w:w="16838" w:h="11906"/>
          <w:pgMar w:left="1134" w:right="1134" w:header="567" w:top="1418" w:footer="567" w:bottom="624" w:gutter="0"/>
          <w:pgNumType w:fmt="decimal"/>
          <w:formProt w:val="false"/>
          <w:textDirection w:val="lrTb"/>
          <w:docGrid w:type="default" w:linePitch="326" w:charSpace="0"/>
        </w:sectPr>
      </w:pPr>
    </w:p>
    <w:p>
      <w:pPr>
        <w:pStyle w:val="3"/>
        <w:spacing w:lineRule="auto" w:line="276" w:before="0" w:after="120"/>
        <w:rPr>
          <w:rFonts w:ascii="Times New Roman" w:hAnsi="Times New Roman"/>
        </w:rPr>
      </w:pPr>
      <w:bookmarkStart w:id="187" w:name="_Toc182210488"/>
      <w:r>
        <w:rPr>
          <w:rFonts w:ascii="Times New Roman" w:hAnsi="Times New Roman"/>
        </w:rPr>
        <w:t>8.2 Противопожарное водоснабжение</w:t>
      </w:r>
      <w:bookmarkEnd w:id="187"/>
    </w:p>
    <w:p>
      <w:pPr>
        <w:pStyle w:val="Normal"/>
        <w:spacing w:lineRule="auto" w:line="276"/>
        <w:ind w:firstLine="709"/>
        <w:jc w:val="left"/>
        <w:rPr>
          <w:b/>
          <w:b/>
        </w:rPr>
      </w:pPr>
      <w:r>
        <w:rPr>
          <w:b/>
        </w:rPr>
        <w:t>Анализ существующего состояния</w:t>
      </w:r>
    </w:p>
    <w:p>
      <w:pPr>
        <w:pStyle w:val="Normal"/>
        <w:spacing w:lineRule="auto" w:line="276"/>
        <w:ind w:firstLine="709"/>
        <w:rPr>
          <w:rFonts w:eastAsia="Times New Roman"/>
          <w:szCs w:val="24"/>
          <w:lang w:eastAsia="ru-RU"/>
        </w:rPr>
      </w:pPr>
      <w:bookmarkStart w:id="188" w:name="_Toc67414999"/>
      <w:r>
        <w:rPr>
          <w:rFonts w:eastAsia="Times New Roman"/>
          <w:szCs w:val="24"/>
          <w:lang w:eastAsia="ru-RU"/>
        </w:rPr>
        <w:t>В настоящее время в Катенинском сельском поселении Варненского муниципального района Челябинской области пожаротушение обеспечивается из естественных и искусственных водоемов.</w:t>
      </w:r>
    </w:p>
    <w:p>
      <w:pPr>
        <w:pStyle w:val="Normal"/>
        <w:spacing w:lineRule="auto" w:line="276"/>
        <w:ind w:firstLine="709"/>
        <w:jc w:val="left"/>
        <w:rPr>
          <w:rFonts w:eastAsia="Times New Roman"/>
          <w:b/>
          <w:b/>
          <w:szCs w:val="24"/>
          <w:lang w:eastAsia="ru-RU"/>
        </w:rPr>
      </w:pPr>
      <w:r>
        <w:rPr>
          <w:rFonts w:eastAsia="Times New Roman"/>
          <w:b/>
          <w:szCs w:val="24"/>
          <w:lang w:eastAsia="ru-RU"/>
        </w:rPr>
        <w:t>Информация об основных проблемах и ограничениях</w:t>
      </w:r>
    </w:p>
    <w:p>
      <w:pPr>
        <w:pStyle w:val="Normal"/>
        <w:spacing w:lineRule="auto" w:line="276"/>
        <w:ind w:firstLine="709"/>
        <w:rPr>
          <w:rFonts w:eastAsia="Times New Roman"/>
          <w:szCs w:val="24"/>
          <w:lang w:eastAsia="ru-RU"/>
        </w:rPr>
      </w:pPr>
      <w:r>
        <w:rPr>
          <w:rFonts w:eastAsia="Times New Roman"/>
          <w:szCs w:val="24"/>
          <w:lang w:eastAsia="ru-RU"/>
        </w:rPr>
        <w:t>Информация о состоянии объектов противопожарного водоснабжения, расположенные на территории Катенинского сельского поселения, отсутствует.</w:t>
      </w:r>
    </w:p>
    <w:p>
      <w:pPr>
        <w:pStyle w:val="Normal"/>
        <w:spacing w:lineRule="auto" w:line="276"/>
        <w:ind w:firstLine="709"/>
        <w:jc w:val="left"/>
        <w:rPr>
          <w:rFonts w:eastAsia="Times New Roman"/>
          <w:b/>
          <w:b/>
          <w:szCs w:val="24"/>
          <w:lang w:eastAsia="ru-RU"/>
        </w:rPr>
      </w:pPr>
      <w:r>
        <w:rPr>
          <w:rFonts w:eastAsia="Times New Roman"/>
          <w:b/>
          <w:szCs w:val="24"/>
          <w:lang w:eastAsia="ru-RU"/>
        </w:rPr>
        <w:t>Направления развития</w:t>
      </w:r>
    </w:p>
    <w:p>
      <w:pPr>
        <w:pStyle w:val="Normal"/>
        <w:tabs>
          <w:tab w:val="clear" w:pos="708"/>
          <w:tab w:val="left" w:pos="142" w:leader="none"/>
        </w:tabs>
        <w:spacing w:lineRule="auto" w:line="276"/>
        <w:ind w:firstLine="709"/>
        <w:rPr>
          <w:rFonts w:eastAsia="Times New Roman"/>
          <w:szCs w:val="24"/>
          <w:lang w:eastAsia="ru-RU"/>
        </w:rPr>
      </w:pPr>
      <w:r>
        <w:rPr>
          <w:rFonts w:eastAsia="Times New Roman"/>
          <w:szCs w:val="24"/>
          <w:lang w:eastAsia="ru-RU"/>
        </w:rPr>
        <w:t>Расходы воды для нужд наружного и внутреннего пожаротушения принимаются в соответствии с СП 8.13130.2020 «Системы противопожарной защиты. Наружное противопожарное водоснабжение. Требования пожарной безопасности».</w:t>
      </w:r>
    </w:p>
    <w:p>
      <w:pPr>
        <w:pStyle w:val="Normal"/>
        <w:tabs>
          <w:tab w:val="clear" w:pos="708"/>
          <w:tab w:val="left" w:pos="142" w:leader="none"/>
        </w:tabs>
        <w:spacing w:lineRule="auto" w:line="276"/>
        <w:ind w:firstLine="709"/>
        <w:rPr>
          <w:rFonts w:eastAsia="Times New Roman"/>
          <w:szCs w:val="24"/>
          <w:lang w:eastAsia="ru-RU"/>
        </w:rPr>
      </w:pPr>
      <w:r>
        <w:rPr>
          <w:rFonts w:eastAsia="Times New Roman"/>
          <w:szCs w:val="24"/>
          <w:lang w:eastAsia="ru-RU"/>
        </w:rPr>
        <w:t xml:space="preserve"> </w:t>
      </w:r>
      <w:r>
        <w:rPr>
          <w:rFonts w:eastAsia="Times New Roman"/>
          <w:szCs w:val="24"/>
          <w:lang w:eastAsia="ru-RU"/>
        </w:rPr>
        <w:t>Согласно статье 68 п.4 федерального закона от 22.07.2008 №123-ФЗ (ред. от 30.04.2021) «Технический регламент о требованиях пожарной безопасности» в поселениях и городских округах с количеством жителей до 5000 человек допускается предусматривать в качестве источников наружного противопожарного водоснабжения природные или искусственные водоемы.</w:t>
      </w:r>
    </w:p>
    <w:p>
      <w:pPr>
        <w:pStyle w:val="Normal"/>
        <w:tabs>
          <w:tab w:val="clear" w:pos="708"/>
          <w:tab w:val="left" w:pos="142" w:leader="none"/>
        </w:tabs>
        <w:spacing w:lineRule="auto" w:line="276"/>
        <w:ind w:firstLine="709"/>
        <w:rPr>
          <w:rFonts w:eastAsia="Times New Roman"/>
          <w:szCs w:val="24"/>
          <w:lang w:eastAsia="ru-RU"/>
        </w:rPr>
      </w:pPr>
      <w:r>
        <w:rPr>
          <w:rFonts w:eastAsia="Times New Roman"/>
          <w:szCs w:val="24"/>
          <w:lang w:eastAsia="ru-RU"/>
        </w:rPr>
        <w:t>Противопожарное водоснабжение в населенных пунктах Катенинского сельского поселения предлагается осуществлять от емкостей (резервуаров, водоемов) и рек, минимальный дебит которых обеспечивает расчетный расход воды на пожаротушение, с устройством пожарных подъездов. Радиус обслуживания резервуара составляет 100 – 200 м. Количество пожарных резервуаров или искусственных водоемов должно быть не менее двух, при этом в каждом из них должно храниться 50 % объема воды на пожаротушение. Пожарные резервуары должны быть оборудованы устройствами для отбора воды пожарными автомобилями (мотопомпами).</w:t>
      </w:r>
    </w:p>
    <w:p>
      <w:pPr>
        <w:pStyle w:val="Normal"/>
        <w:tabs>
          <w:tab w:val="clear" w:pos="708"/>
          <w:tab w:val="left" w:pos="142" w:leader="none"/>
        </w:tabs>
        <w:spacing w:lineRule="auto" w:line="276"/>
        <w:ind w:firstLine="709"/>
        <w:rPr>
          <w:rFonts w:eastAsia="Times New Roman"/>
          <w:szCs w:val="24"/>
          <w:lang w:eastAsia="ru-RU"/>
        </w:rPr>
      </w:pPr>
      <w:r>
        <w:rPr>
          <w:rFonts w:eastAsia="Times New Roman"/>
          <w:szCs w:val="24"/>
          <w:lang w:eastAsia="ru-RU"/>
        </w:rPr>
        <w:t>К пожарным резервуарам, водоемам, приемным колодцам и другим сооружениям, вода из которых может быть использована для тушения пожара, надлежит предусматривать подъезды с площадками (пирсами) с твердым покрытием для установки пожарных автомобилей и забора воды. Размер таких площадок должен быть не менее 12 × 12 метров.</w:t>
      </w:r>
    </w:p>
    <w:p>
      <w:pPr>
        <w:pStyle w:val="Normal"/>
        <w:tabs>
          <w:tab w:val="clear" w:pos="708"/>
          <w:tab w:val="left" w:pos="142" w:leader="none"/>
        </w:tabs>
        <w:spacing w:lineRule="auto" w:line="276"/>
        <w:ind w:firstLine="709"/>
        <w:rPr>
          <w:rFonts w:eastAsia="Times New Roman"/>
          <w:szCs w:val="24"/>
          <w:lang w:eastAsia="ru-RU"/>
        </w:rPr>
      </w:pPr>
      <w:r>
        <w:rPr>
          <w:rFonts w:eastAsia="Times New Roman"/>
          <w:szCs w:val="24"/>
          <w:lang w:eastAsia="ru-RU"/>
        </w:rPr>
        <w:t xml:space="preserve">У гидрантов и водоемов (водоисточников), а также по направлению движения к ним, должны быть установлены соответствующие указатели (объемные со светильником или плоские, выполненные с использованием светоотражающих покрытий, стойких к воздействию атмосферных осадков и солнечной радиации). На них должны быть четко нанесены цифры, указывающие расстояние до водоисточника. </w:t>
      </w:r>
    </w:p>
    <w:p>
      <w:pPr>
        <w:pStyle w:val="Normal"/>
        <w:spacing w:lineRule="auto" w:line="276"/>
        <w:ind w:firstLine="709"/>
        <w:jc w:val="left"/>
        <w:rPr>
          <w:rFonts w:eastAsia="Times New Roman"/>
          <w:lang w:eastAsia="ru-RU"/>
        </w:rPr>
      </w:pPr>
      <w:r>
        <w:rPr>
          <w:rFonts w:eastAsia="Times New Roman"/>
          <w:b/>
          <w:szCs w:val="24"/>
          <w:lang w:eastAsia="ru-RU"/>
        </w:rPr>
        <w:t>Расчет водопотребления</w:t>
      </w:r>
    </w:p>
    <w:p>
      <w:pPr>
        <w:pStyle w:val="Normal"/>
        <w:spacing w:lineRule="auto" w:line="276"/>
        <w:ind w:firstLine="709"/>
        <w:rPr>
          <w:rFonts w:eastAsia="Times New Roman"/>
          <w:iCs/>
          <w:szCs w:val="24"/>
          <w:lang w:eastAsia="ru-RU"/>
        </w:rPr>
      </w:pPr>
      <w:r>
        <w:rPr>
          <w:rFonts w:eastAsia="Times New Roman"/>
          <w:szCs w:val="24"/>
          <w:lang w:eastAsia="ru-RU"/>
        </w:rPr>
        <w:t>Расчет расходов водопотребления на противопожарное водоснабжение на первую очередь строительства и на расчетный срок представлен в таблице 1.8.1.4</w:t>
      </w:r>
    </w:p>
    <w:p>
      <w:pPr>
        <w:pStyle w:val="Normal"/>
        <w:spacing w:lineRule="auto" w:line="276"/>
        <w:jc w:val="right"/>
        <w:rPr>
          <w:rFonts w:eastAsia="Times New Roman"/>
          <w:iCs/>
          <w:szCs w:val="24"/>
          <w:lang w:eastAsia="ru-RU"/>
        </w:rPr>
      </w:pPr>
      <w:r>
        <w:rPr>
          <w:rFonts w:eastAsia="Times New Roman"/>
          <w:iCs/>
          <w:szCs w:val="24"/>
          <w:lang w:eastAsia="ru-RU"/>
        </w:rPr>
        <w:t>Таблица 1.8.1.4</w:t>
      </w:r>
    </w:p>
    <w:p>
      <w:pPr>
        <w:pStyle w:val="Normal"/>
        <w:spacing w:lineRule="auto" w:line="276"/>
        <w:jc w:val="center"/>
        <w:rPr>
          <w:rFonts w:eastAsia="Times New Roman"/>
          <w:iCs/>
          <w:szCs w:val="24"/>
          <w:lang w:eastAsia="ru-RU"/>
        </w:rPr>
      </w:pPr>
      <w:r>
        <w:rPr>
          <w:rFonts w:eastAsia="Times New Roman"/>
          <w:iCs/>
          <w:szCs w:val="24"/>
          <w:lang w:eastAsia="ru-RU"/>
        </w:rPr>
        <w:t>Расчет расходов водопотребления</w:t>
      </w:r>
      <w:r>
        <w:rPr>
          <w:rFonts w:eastAsia="Times New Roman"/>
          <w:szCs w:val="24"/>
          <w:lang w:eastAsia="ru-RU"/>
        </w:rPr>
        <w:t xml:space="preserve"> </w:t>
      </w:r>
      <w:r>
        <w:rPr>
          <w:rFonts w:eastAsia="Times New Roman"/>
          <w:iCs/>
          <w:szCs w:val="24"/>
          <w:lang w:eastAsia="ru-RU"/>
        </w:rPr>
        <w:t>на противопожарное водоснабжение</w:t>
      </w:r>
    </w:p>
    <w:tbl>
      <w:tblPr>
        <w:tblW w:w="5000" w:type="pct"/>
        <w:jc w:val="center"/>
        <w:tblInd w:w="0" w:type="dxa"/>
        <w:tblCellMar>
          <w:top w:w="0" w:type="dxa"/>
          <w:left w:w="108" w:type="dxa"/>
          <w:bottom w:w="0" w:type="dxa"/>
          <w:right w:w="108" w:type="dxa"/>
        </w:tblCellMar>
        <w:tblLook w:firstRow="1" w:noVBand="1" w:lastRow="0" w:firstColumn="1" w:lastColumn="0" w:noHBand="0" w:val="04a0"/>
      </w:tblPr>
      <w:tblGrid>
        <w:gridCol w:w="1926"/>
        <w:gridCol w:w="829"/>
        <w:gridCol w:w="967"/>
        <w:gridCol w:w="964"/>
        <w:gridCol w:w="965"/>
        <w:gridCol w:w="1582"/>
        <w:gridCol w:w="568"/>
        <w:gridCol w:w="709"/>
        <w:gridCol w:w="708"/>
        <w:gridCol w:w="702"/>
      </w:tblGrid>
      <w:tr>
        <w:trPr>
          <w:tblHeader w:val="true"/>
          <w:trHeight w:val="888" w:hRule="atLeast"/>
        </w:trPr>
        <w:tc>
          <w:tcPr>
            <w:tcW w:w="1926" w:type="dxa"/>
            <w:vMerge w:val="restart"/>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Населенный пункт</w:t>
            </w:r>
          </w:p>
        </w:tc>
        <w:tc>
          <w:tcPr>
            <w:tcW w:w="1796" w:type="dxa"/>
            <w:gridSpan w:val="2"/>
            <w:tcBorders>
              <w:top w:val="single" w:sz="4" w:space="0" w:color="000000"/>
              <w:bottom w:val="single" w:sz="4" w:space="0" w:color="000000"/>
              <w:right w:val="single" w:sz="4" w:space="0" w:color="000000"/>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Количество населения, человек</w:t>
            </w:r>
          </w:p>
        </w:tc>
        <w:tc>
          <w:tcPr>
            <w:tcW w:w="1929" w:type="dxa"/>
            <w:gridSpan w:val="2"/>
            <w:tcBorders>
              <w:top w:val="single" w:sz="4" w:space="0" w:color="000000"/>
              <w:bottom w:val="single" w:sz="4" w:space="0" w:color="000000"/>
              <w:right w:val="single" w:sz="4" w:space="0" w:color="000000"/>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Расход на наружное пожаротушение, л/с</w:t>
            </w:r>
          </w:p>
        </w:tc>
        <w:tc>
          <w:tcPr>
            <w:tcW w:w="1582" w:type="dxa"/>
            <w:vMerge w:val="restart"/>
            <w:tcBorders>
              <w:top w:val="single" w:sz="4" w:space="0" w:color="000000"/>
              <w:left w:val="single" w:sz="4" w:space="0" w:color="000000"/>
              <w:right w:val="single" w:sz="4" w:space="0" w:color="000000"/>
            </w:tcBorders>
            <w:vAlign w:val="center"/>
          </w:tcPr>
          <w:p>
            <w:pPr>
              <w:pStyle w:val="Normal"/>
              <w:spacing w:lineRule="auto" w:line="240"/>
              <w:ind w:left="-107" w:right="-107" w:hanging="0"/>
              <w:jc w:val="center"/>
              <w:rPr>
                <w:rFonts w:eastAsia="Times New Roman"/>
                <w:b/>
                <w:b/>
                <w:sz w:val="20"/>
                <w:szCs w:val="20"/>
                <w:lang w:eastAsia="ru-RU"/>
              </w:rPr>
            </w:pPr>
            <w:r>
              <w:rPr>
                <w:rFonts w:eastAsia="Times New Roman"/>
                <w:b/>
                <w:sz w:val="20"/>
                <w:szCs w:val="20"/>
                <w:lang w:eastAsia="ru-RU"/>
              </w:rPr>
              <w:t>Расход воды на внутреннее пожаротушение, л/с</w:t>
            </w:r>
          </w:p>
        </w:tc>
        <w:tc>
          <w:tcPr>
            <w:tcW w:w="1277" w:type="dxa"/>
            <w:gridSpan w:val="2"/>
            <w:tcBorders>
              <w:top w:val="single" w:sz="4" w:space="0" w:color="000000"/>
              <w:bottom w:val="single" w:sz="4" w:space="0" w:color="000000"/>
              <w:right w:val="single" w:sz="4" w:space="0" w:color="000000"/>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Общий расход на первую очередь</w:t>
            </w:r>
          </w:p>
        </w:tc>
        <w:tc>
          <w:tcPr>
            <w:tcW w:w="1410" w:type="dxa"/>
            <w:gridSpan w:val="2"/>
            <w:tcBorders>
              <w:top w:val="single" w:sz="4" w:space="0" w:color="000000"/>
              <w:bottom w:val="single" w:sz="4" w:space="0" w:color="000000"/>
              <w:right w:val="single" w:sz="4" w:space="0" w:color="000000"/>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Общий расход на расчетный срок</w:t>
            </w:r>
          </w:p>
        </w:tc>
      </w:tr>
      <w:tr>
        <w:trPr>
          <w:tblHeader w:val="true"/>
          <w:trHeight w:val="573" w:hRule="atLeast"/>
        </w:trPr>
        <w:tc>
          <w:tcPr>
            <w:tcW w:w="1926" w:type="dxa"/>
            <w:vMerge w:val="continue"/>
            <w:tcBorders>
              <w:top w:val="single" w:sz="4" w:space="0" w:color="000000"/>
              <w:left w:val="single" w:sz="4" w:space="0" w:color="000000"/>
              <w:right w:val="single" w:sz="4" w:space="0" w:color="000000"/>
            </w:tcBorders>
            <w:vAlign w:val="center"/>
          </w:tcPr>
          <w:p>
            <w:pPr>
              <w:pStyle w:val="Normal"/>
              <w:spacing w:lineRule="auto" w:line="254"/>
              <w:jc w:val="left"/>
              <w:rPr>
                <w:b/>
                <w:b/>
                <w:sz w:val="20"/>
                <w:szCs w:val="20"/>
              </w:rPr>
            </w:pPr>
            <w:r>
              <w:rPr>
                <w:b/>
                <w:sz w:val="20"/>
                <w:szCs w:val="20"/>
              </w:rPr>
            </w:r>
          </w:p>
        </w:tc>
        <w:tc>
          <w:tcPr>
            <w:tcW w:w="829" w:type="dxa"/>
            <w:tcBorders>
              <w:right w:val="single" w:sz="4" w:space="0" w:color="000000"/>
            </w:tcBorders>
            <w:vAlign w:val="center"/>
          </w:tcPr>
          <w:p>
            <w:pPr>
              <w:pStyle w:val="Normal"/>
              <w:spacing w:lineRule="auto" w:line="240"/>
              <w:ind w:left="-101" w:right="-107" w:hanging="0"/>
              <w:jc w:val="center"/>
              <w:rPr>
                <w:rFonts w:eastAsia="Times New Roman"/>
                <w:b/>
                <w:b/>
                <w:sz w:val="20"/>
                <w:szCs w:val="20"/>
                <w:lang w:eastAsia="ru-RU"/>
              </w:rPr>
            </w:pPr>
            <w:r>
              <w:rPr>
                <w:rFonts w:eastAsia="Times New Roman"/>
                <w:b/>
                <w:sz w:val="20"/>
                <w:szCs w:val="20"/>
                <w:lang w:eastAsia="ru-RU"/>
              </w:rPr>
              <w:t>первая очередь</w:t>
            </w:r>
          </w:p>
        </w:tc>
        <w:tc>
          <w:tcPr>
            <w:tcW w:w="967" w:type="dxa"/>
            <w:tcBorders>
              <w:right w:val="single" w:sz="4" w:space="0" w:color="000000"/>
            </w:tcBorders>
            <w:vAlign w:val="center"/>
          </w:tcPr>
          <w:p>
            <w:pPr>
              <w:pStyle w:val="Normal"/>
              <w:spacing w:lineRule="auto" w:line="240"/>
              <w:ind w:left="-110" w:right="-106" w:hanging="0"/>
              <w:jc w:val="center"/>
              <w:rPr>
                <w:rFonts w:eastAsia="Times New Roman"/>
                <w:b/>
                <w:b/>
                <w:sz w:val="20"/>
                <w:szCs w:val="20"/>
                <w:lang w:eastAsia="ru-RU"/>
              </w:rPr>
            </w:pPr>
            <w:r>
              <w:rPr>
                <w:rFonts w:eastAsia="Times New Roman"/>
                <w:b/>
                <w:sz w:val="20"/>
                <w:szCs w:val="20"/>
                <w:lang w:eastAsia="ru-RU"/>
              </w:rPr>
              <w:t>расчетный срок</w:t>
            </w:r>
          </w:p>
        </w:tc>
        <w:tc>
          <w:tcPr>
            <w:tcW w:w="964" w:type="dxa"/>
            <w:tcBorders>
              <w:right w:val="single" w:sz="4" w:space="0" w:color="000000"/>
            </w:tcBorders>
            <w:vAlign w:val="center"/>
          </w:tcPr>
          <w:p>
            <w:pPr>
              <w:pStyle w:val="Normal"/>
              <w:spacing w:lineRule="auto" w:line="240"/>
              <w:ind w:left="-112" w:right="-106" w:hanging="0"/>
              <w:jc w:val="center"/>
              <w:rPr>
                <w:rFonts w:eastAsia="Times New Roman"/>
                <w:b/>
                <w:b/>
                <w:sz w:val="20"/>
                <w:szCs w:val="20"/>
                <w:lang w:eastAsia="ru-RU"/>
              </w:rPr>
            </w:pPr>
            <w:r>
              <w:rPr>
                <w:rFonts w:eastAsia="Times New Roman"/>
                <w:b/>
                <w:sz w:val="20"/>
                <w:szCs w:val="20"/>
                <w:lang w:eastAsia="ru-RU"/>
              </w:rPr>
              <w:t>первая очередь</w:t>
            </w:r>
          </w:p>
        </w:tc>
        <w:tc>
          <w:tcPr>
            <w:tcW w:w="965" w:type="dxa"/>
            <w:tcBorders>
              <w:right w:val="single" w:sz="4" w:space="0" w:color="000000"/>
            </w:tcBorders>
            <w:vAlign w:val="center"/>
          </w:tcPr>
          <w:p>
            <w:pPr>
              <w:pStyle w:val="Normal"/>
              <w:spacing w:lineRule="auto" w:line="240"/>
              <w:ind w:left="-111" w:right="-107" w:hanging="0"/>
              <w:jc w:val="center"/>
              <w:rPr>
                <w:rFonts w:eastAsia="Times New Roman"/>
                <w:b/>
                <w:b/>
                <w:sz w:val="20"/>
                <w:szCs w:val="20"/>
                <w:lang w:eastAsia="ru-RU"/>
              </w:rPr>
            </w:pPr>
            <w:r>
              <w:rPr>
                <w:rFonts w:eastAsia="Times New Roman"/>
                <w:b/>
                <w:sz w:val="20"/>
                <w:szCs w:val="20"/>
                <w:lang w:eastAsia="ru-RU"/>
              </w:rPr>
              <w:t>расчетный</w:t>
            </w:r>
          </w:p>
          <w:p>
            <w:pPr>
              <w:pStyle w:val="Normal"/>
              <w:spacing w:lineRule="auto" w:line="240"/>
              <w:ind w:left="-110" w:right="-85" w:hanging="0"/>
              <w:jc w:val="center"/>
              <w:rPr>
                <w:rFonts w:eastAsia="Times New Roman"/>
                <w:b/>
                <w:b/>
                <w:sz w:val="20"/>
                <w:szCs w:val="20"/>
                <w:lang w:eastAsia="ru-RU"/>
              </w:rPr>
            </w:pPr>
            <w:r>
              <w:rPr>
                <w:rFonts w:eastAsia="Times New Roman"/>
                <w:b/>
                <w:sz w:val="20"/>
                <w:szCs w:val="20"/>
                <w:lang w:eastAsia="ru-RU"/>
              </w:rPr>
              <w:t>срок</w:t>
            </w:r>
          </w:p>
        </w:tc>
        <w:tc>
          <w:tcPr>
            <w:tcW w:w="1582" w:type="dxa"/>
            <w:vMerge w:val="continue"/>
            <w:tcBorders>
              <w:top w:val="single" w:sz="4" w:space="0" w:color="000000"/>
              <w:left w:val="single" w:sz="4" w:space="0" w:color="000000"/>
              <w:right w:val="single" w:sz="4" w:space="0" w:color="000000"/>
            </w:tcBorders>
            <w:vAlign w:val="center"/>
          </w:tcPr>
          <w:p>
            <w:pPr>
              <w:pStyle w:val="Normal"/>
              <w:spacing w:lineRule="auto" w:line="254"/>
              <w:jc w:val="left"/>
              <w:rPr>
                <w:b/>
                <w:b/>
                <w:sz w:val="20"/>
                <w:szCs w:val="20"/>
              </w:rPr>
            </w:pPr>
            <w:r>
              <w:rPr>
                <w:b/>
                <w:sz w:val="20"/>
                <w:szCs w:val="20"/>
              </w:rPr>
            </w:r>
          </w:p>
        </w:tc>
        <w:tc>
          <w:tcPr>
            <w:tcW w:w="568" w:type="dxa"/>
            <w:tcBorders>
              <w:right w:val="single" w:sz="4" w:space="0" w:color="000000"/>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л/с</w:t>
            </w:r>
          </w:p>
        </w:tc>
        <w:tc>
          <w:tcPr>
            <w:tcW w:w="709" w:type="dxa"/>
            <w:tcBorders>
              <w:right w:val="single" w:sz="4" w:space="0" w:color="000000"/>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м³/</w:t>
            </w:r>
          </w:p>
          <w:p>
            <w:pPr>
              <w:pStyle w:val="Normal"/>
              <w:spacing w:lineRule="auto" w:line="240"/>
              <w:jc w:val="center"/>
              <w:rPr>
                <w:rFonts w:eastAsia="Times New Roman"/>
                <w:b/>
                <w:b/>
                <w:sz w:val="20"/>
                <w:szCs w:val="20"/>
                <w:lang w:eastAsia="ru-RU"/>
              </w:rPr>
            </w:pPr>
            <w:r>
              <w:rPr>
                <w:rFonts w:eastAsia="Times New Roman"/>
                <w:b/>
                <w:sz w:val="20"/>
                <w:szCs w:val="20"/>
                <w:lang w:eastAsia="ru-RU"/>
              </w:rPr>
              <w:t>сут</w:t>
            </w:r>
          </w:p>
        </w:tc>
        <w:tc>
          <w:tcPr>
            <w:tcW w:w="708" w:type="dxa"/>
            <w:tcBorders>
              <w:right w:val="single" w:sz="4" w:space="0" w:color="000000"/>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л/с</w:t>
            </w:r>
          </w:p>
        </w:tc>
        <w:tc>
          <w:tcPr>
            <w:tcW w:w="702" w:type="dxa"/>
            <w:tcBorders>
              <w:right w:val="single" w:sz="4" w:space="0" w:color="000000"/>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м³/</w:t>
            </w:r>
          </w:p>
          <w:p>
            <w:pPr>
              <w:pStyle w:val="Normal"/>
              <w:spacing w:lineRule="auto" w:line="240"/>
              <w:jc w:val="center"/>
              <w:rPr>
                <w:rFonts w:eastAsia="Times New Roman"/>
                <w:b/>
                <w:b/>
                <w:sz w:val="20"/>
                <w:szCs w:val="20"/>
                <w:lang w:eastAsia="ru-RU"/>
              </w:rPr>
            </w:pPr>
            <w:r>
              <w:rPr>
                <w:rFonts w:eastAsia="Times New Roman"/>
                <w:b/>
                <w:sz w:val="20"/>
                <w:szCs w:val="20"/>
                <w:lang w:eastAsia="ru-RU"/>
              </w:rPr>
              <w:t>сут</w:t>
            </w:r>
          </w:p>
        </w:tc>
      </w:tr>
    </w:tbl>
    <w:p>
      <w:pPr>
        <w:pStyle w:val="Normal"/>
        <w:spacing w:lineRule="auto" w:line="9"/>
        <w:ind w:right="-142" w:hanging="0"/>
        <w:jc w:val="left"/>
        <w:rPr>
          <w:iCs/>
          <w:sz w:val="22"/>
        </w:rPr>
      </w:pPr>
      <w:r>
        <w:rPr>
          <w:iCs/>
          <w:sz w:val="22"/>
        </w:rPr>
      </w:r>
    </w:p>
    <w:tbl>
      <w:tblPr>
        <w:tblW w:w="5000" w:type="pct"/>
        <w:jc w:val="center"/>
        <w:tblInd w:w="0" w:type="dxa"/>
        <w:tblCellMar>
          <w:top w:w="0" w:type="dxa"/>
          <w:left w:w="108" w:type="dxa"/>
          <w:bottom w:w="0" w:type="dxa"/>
          <w:right w:w="108" w:type="dxa"/>
        </w:tblCellMar>
        <w:tblLook w:firstRow="1" w:noVBand="1" w:lastRow="0" w:firstColumn="1" w:lastColumn="0" w:noHBand="0" w:val="04a0"/>
      </w:tblPr>
      <w:tblGrid>
        <w:gridCol w:w="1929"/>
        <w:gridCol w:w="826"/>
        <w:gridCol w:w="965"/>
        <w:gridCol w:w="964"/>
        <w:gridCol w:w="965"/>
        <w:gridCol w:w="1581"/>
        <w:gridCol w:w="575"/>
        <w:gridCol w:w="709"/>
        <w:gridCol w:w="708"/>
        <w:gridCol w:w="698"/>
      </w:tblGrid>
      <w:tr>
        <w:trPr>
          <w:tblHeader w:val="true"/>
          <w:trHeight w:val="20" w:hRule="atLeast"/>
        </w:trPr>
        <w:tc>
          <w:tcPr>
            <w:tcW w:w="192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1</w:t>
            </w:r>
          </w:p>
        </w:tc>
        <w:tc>
          <w:tcPr>
            <w:tcW w:w="826" w:type="dxa"/>
            <w:tcBorders>
              <w:top w:val="single" w:sz="4" w:space="0" w:color="000000"/>
              <w:bottom w:val="single" w:sz="4" w:space="0" w:color="000000"/>
              <w:right w:val="single" w:sz="4" w:space="0" w:color="000000"/>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2</w:t>
            </w:r>
          </w:p>
        </w:tc>
        <w:tc>
          <w:tcPr>
            <w:tcW w:w="965" w:type="dxa"/>
            <w:tcBorders>
              <w:top w:val="single" w:sz="4" w:space="0" w:color="000000"/>
              <w:bottom w:val="single" w:sz="4" w:space="0" w:color="000000"/>
              <w:right w:val="single" w:sz="4" w:space="0" w:color="000000"/>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3</w:t>
            </w:r>
          </w:p>
        </w:tc>
        <w:tc>
          <w:tcPr>
            <w:tcW w:w="964" w:type="dxa"/>
            <w:tcBorders>
              <w:top w:val="single" w:sz="4" w:space="0" w:color="000000"/>
              <w:bottom w:val="single" w:sz="4" w:space="0" w:color="000000"/>
              <w:right w:val="single" w:sz="4" w:space="0" w:color="000000"/>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4</w:t>
            </w:r>
          </w:p>
        </w:tc>
        <w:tc>
          <w:tcPr>
            <w:tcW w:w="965" w:type="dxa"/>
            <w:tcBorders>
              <w:top w:val="single" w:sz="4" w:space="0" w:color="000000"/>
              <w:bottom w:val="single" w:sz="4" w:space="0" w:color="000000"/>
              <w:right w:val="single" w:sz="4" w:space="0" w:color="000000"/>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5</w:t>
            </w:r>
          </w:p>
        </w:tc>
        <w:tc>
          <w:tcPr>
            <w:tcW w:w="1581" w:type="dxa"/>
            <w:tcBorders>
              <w:top w:val="single" w:sz="4" w:space="0" w:color="000000"/>
              <w:bottom w:val="single" w:sz="4" w:space="0" w:color="000000"/>
              <w:right w:val="single" w:sz="4" w:space="0" w:color="000000"/>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6</w:t>
            </w:r>
          </w:p>
        </w:tc>
        <w:tc>
          <w:tcPr>
            <w:tcW w:w="575" w:type="dxa"/>
            <w:tcBorders>
              <w:top w:val="single" w:sz="4" w:space="0" w:color="000000"/>
              <w:bottom w:val="single" w:sz="4" w:space="0" w:color="000000"/>
              <w:right w:val="single" w:sz="4" w:space="0" w:color="000000"/>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7</w:t>
            </w:r>
          </w:p>
        </w:tc>
        <w:tc>
          <w:tcPr>
            <w:tcW w:w="709" w:type="dxa"/>
            <w:tcBorders>
              <w:top w:val="single" w:sz="4" w:space="0" w:color="000000"/>
              <w:bottom w:val="single" w:sz="4" w:space="0" w:color="000000"/>
              <w:right w:val="single" w:sz="4" w:space="0" w:color="000000"/>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8</w:t>
            </w:r>
          </w:p>
        </w:tc>
        <w:tc>
          <w:tcPr>
            <w:tcW w:w="708" w:type="dxa"/>
            <w:tcBorders>
              <w:top w:val="single" w:sz="4" w:space="0" w:color="000000"/>
              <w:bottom w:val="single" w:sz="4" w:space="0" w:color="000000"/>
              <w:right w:val="single" w:sz="4" w:space="0" w:color="000000"/>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9</w:t>
            </w:r>
          </w:p>
        </w:tc>
        <w:tc>
          <w:tcPr>
            <w:tcW w:w="698" w:type="dxa"/>
            <w:tcBorders>
              <w:top w:val="single" w:sz="4" w:space="0" w:color="000000"/>
              <w:bottom w:val="single" w:sz="4" w:space="0" w:color="000000"/>
              <w:right w:val="single" w:sz="4" w:space="0" w:color="000000"/>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10</w:t>
            </w:r>
          </w:p>
        </w:tc>
      </w:tr>
      <w:tr>
        <w:trPr>
          <w:trHeight w:val="20" w:hRule="atLeast"/>
        </w:trPr>
        <w:tc>
          <w:tcPr>
            <w:tcW w:w="1929" w:type="dxa"/>
            <w:tcBorders>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с. Катенино</w:t>
            </w:r>
          </w:p>
        </w:tc>
        <w:tc>
          <w:tcPr>
            <w:tcW w:w="826"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914</w:t>
            </w:r>
          </w:p>
        </w:tc>
        <w:tc>
          <w:tcPr>
            <w:tcW w:w="965"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930</w:t>
            </w:r>
          </w:p>
        </w:tc>
        <w:tc>
          <w:tcPr>
            <w:tcW w:w="964"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w:t>
            </w:r>
          </w:p>
        </w:tc>
        <w:tc>
          <w:tcPr>
            <w:tcW w:w="965"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w:t>
            </w:r>
          </w:p>
        </w:tc>
        <w:tc>
          <w:tcPr>
            <w:tcW w:w="1581"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w:t>
            </w:r>
          </w:p>
        </w:tc>
        <w:tc>
          <w:tcPr>
            <w:tcW w:w="575"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w:t>
            </w:r>
          </w:p>
        </w:tc>
        <w:tc>
          <w:tcPr>
            <w:tcW w:w="709"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54</w:t>
            </w:r>
          </w:p>
        </w:tc>
        <w:tc>
          <w:tcPr>
            <w:tcW w:w="708"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w:t>
            </w:r>
          </w:p>
        </w:tc>
        <w:tc>
          <w:tcPr>
            <w:tcW w:w="698"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54</w:t>
            </w:r>
          </w:p>
        </w:tc>
      </w:tr>
      <w:tr>
        <w:trPr>
          <w:trHeight w:val="20" w:hRule="atLeast"/>
        </w:trPr>
        <w:tc>
          <w:tcPr>
            <w:tcW w:w="1929" w:type="dxa"/>
            <w:tcBorders>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п. Караоба</w:t>
            </w:r>
          </w:p>
        </w:tc>
        <w:tc>
          <w:tcPr>
            <w:tcW w:w="826" w:type="dxa"/>
            <w:tcBorders>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sz w:val="20"/>
                <w:szCs w:val="20"/>
                <w:lang w:eastAsia="ru-RU"/>
              </w:rPr>
              <w:t>130</w:t>
            </w:r>
          </w:p>
        </w:tc>
        <w:tc>
          <w:tcPr>
            <w:tcW w:w="965" w:type="dxa"/>
            <w:tcBorders>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sz w:val="20"/>
                <w:szCs w:val="20"/>
                <w:lang w:eastAsia="ru-RU"/>
              </w:rPr>
              <w:t>140</w:t>
            </w:r>
          </w:p>
        </w:tc>
        <w:tc>
          <w:tcPr>
            <w:tcW w:w="964"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w:t>
            </w:r>
          </w:p>
        </w:tc>
        <w:tc>
          <w:tcPr>
            <w:tcW w:w="965"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w:t>
            </w:r>
          </w:p>
        </w:tc>
        <w:tc>
          <w:tcPr>
            <w:tcW w:w="1581"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w:t>
            </w:r>
          </w:p>
        </w:tc>
        <w:tc>
          <w:tcPr>
            <w:tcW w:w="575"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w:t>
            </w:r>
          </w:p>
        </w:tc>
        <w:tc>
          <w:tcPr>
            <w:tcW w:w="709"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54</w:t>
            </w:r>
          </w:p>
        </w:tc>
        <w:tc>
          <w:tcPr>
            <w:tcW w:w="708"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w:t>
            </w:r>
          </w:p>
        </w:tc>
        <w:tc>
          <w:tcPr>
            <w:tcW w:w="698"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54</w:t>
            </w:r>
          </w:p>
        </w:tc>
      </w:tr>
      <w:tr>
        <w:trPr>
          <w:trHeight w:val="20" w:hRule="atLeast"/>
        </w:trPr>
        <w:tc>
          <w:tcPr>
            <w:tcW w:w="1929" w:type="dxa"/>
            <w:tcBorders>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п. Комсомольский</w:t>
            </w:r>
          </w:p>
        </w:tc>
        <w:tc>
          <w:tcPr>
            <w:tcW w:w="826" w:type="dxa"/>
            <w:tcBorders>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sz w:val="20"/>
                <w:szCs w:val="20"/>
                <w:lang w:eastAsia="ru-RU"/>
              </w:rPr>
              <w:t>213</w:t>
            </w:r>
          </w:p>
        </w:tc>
        <w:tc>
          <w:tcPr>
            <w:tcW w:w="965" w:type="dxa"/>
            <w:tcBorders>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sz w:val="20"/>
                <w:szCs w:val="20"/>
                <w:lang w:eastAsia="ru-RU"/>
              </w:rPr>
              <w:t>222</w:t>
            </w:r>
          </w:p>
        </w:tc>
        <w:tc>
          <w:tcPr>
            <w:tcW w:w="964"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w:t>
            </w:r>
          </w:p>
        </w:tc>
        <w:tc>
          <w:tcPr>
            <w:tcW w:w="965"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w:t>
            </w:r>
          </w:p>
        </w:tc>
        <w:tc>
          <w:tcPr>
            <w:tcW w:w="1581"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w:t>
            </w:r>
          </w:p>
        </w:tc>
        <w:tc>
          <w:tcPr>
            <w:tcW w:w="575"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w:t>
            </w:r>
          </w:p>
        </w:tc>
        <w:tc>
          <w:tcPr>
            <w:tcW w:w="709"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54</w:t>
            </w:r>
          </w:p>
        </w:tc>
        <w:tc>
          <w:tcPr>
            <w:tcW w:w="708"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w:t>
            </w:r>
          </w:p>
        </w:tc>
        <w:tc>
          <w:tcPr>
            <w:tcW w:w="698"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54</w:t>
            </w:r>
          </w:p>
        </w:tc>
      </w:tr>
      <w:tr>
        <w:trPr>
          <w:trHeight w:val="20" w:hRule="atLeast"/>
        </w:trPr>
        <w:tc>
          <w:tcPr>
            <w:tcW w:w="1929" w:type="dxa"/>
            <w:tcBorders>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п. Красноармейский</w:t>
            </w:r>
          </w:p>
        </w:tc>
        <w:tc>
          <w:tcPr>
            <w:tcW w:w="826" w:type="dxa"/>
            <w:tcBorders>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sz w:val="20"/>
                <w:szCs w:val="20"/>
                <w:lang w:eastAsia="ru-RU"/>
              </w:rPr>
              <w:t>220</w:t>
            </w:r>
          </w:p>
        </w:tc>
        <w:tc>
          <w:tcPr>
            <w:tcW w:w="965" w:type="dxa"/>
            <w:tcBorders>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sz w:val="20"/>
                <w:szCs w:val="20"/>
                <w:lang w:eastAsia="ru-RU"/>
              </w:rPr>
              <w:t>228</w:t>
            </w:r>
          </w:p>
        </w:tc>
        <w:tc>
          <w:tcPr>
            <w:tcW w:w="964"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w:t>
            </w:r>
          </w:p>
        </w:tc>
        <w:tc>
          <w:tcPr>
            <w:tcW w:w="965"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w:t>
            </w:r>
          </w:p>
        </w:tc>
        <w:tc>
          <w:tcPr>
            <w:tcW w:w="1581"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w:t>
            </w:r>
          </w:p>
        </w:tc>
        <w:tc>
          <w:tcPr>
            <w:tcW w:w="575"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w:t>
            </w:r>
          </w:p>
        </w:tc>
        <w:tc>
          <w:tcPr>
            <w:tcW w:w="709"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54</w:t>
            </w:r>
          </w:p>
        </w:tc>
        <w:tc>
          <w:tcPr>
            <w:tcW w:w="708"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w:t>
            </w:r>
          </w:p>
        </w:tc>
        <w:tc>
          <w:tcPr>
            <w:tcW w:w="698" w:type="dxa"/>
            <w:tcBorders>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54</w:t>
            </w:r>
          </w:p>
        </w:tc>
      </w:tr>
      <w:tr>
        <w:trPr>
          <w:trHeight w:val="20" w:hRule="atLeast"/>
        </w:trPr>
        <w:tc>
          <w:tcPr>
            <w:tcW w:w="7230" w:type="dxa"/>
            <w:gridSpan w:val="6"/>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b/>
                <w:b/>
                <w:sz w:val="20"/>
                <w:szCs w:val="20"/>
                <w:lang w:eastAsia="ru-RU"/>
              </w:rPr>
            </w:pPr>
            <w:r>
              <w:rPr>
                <w:rFonts w:eastAsia="Times New Roman"/>
                <w:b/>
                <w:sz w:val="20"/>
                <w:szCs w:val="20"/>
                <w:lang w:eastAsia="ru-RU"/>
              </w:rPr>
              <w:t>Итого</w:t>
            </w:r>
          </w:p>
        </w:tc>
        <w:tc>
          <w:tcPr>
            <w:tcW w:w="575" w:type="dxa"/>
            <w:tcBorders>
              <w:top w:val="single" w:sz="4" w:space="0" w:color="000000"/>
              <w:bottom w:val="single" w:sz="4" w:space="0" w:color="000000"/>
              <w:right w:val="single" w:sz="4" w:space="0" w:color="000000"/>
            </w:tcBorders>
          </w:tcPr>
          <w:p>
            <w:pPr>
              <w:pStyle w:val="Normal"/>
              <w:spacing w:lineRule="auto" w:line="240"/>
              <w:ind w:left="-100" w:right="-108" w:hanging="0"/>
              <w:jc w:val="center"/>
              <w:rPr>
                <w:rFonts w:eastAsia="Times New Roman"/>
                <w:b/>
                <w:b/>
                <w:sz w:val="20"/>
                <w:szCs w:val="20"/>
                <w:lang w:eastAsia="ru-RU"/>
              </w:rPr>
            </w:pPr>
            <w:r>
              <w:rPr>
                <w:rFonts w:eastAsia="Times New Roman"/>
                <w:b/>
                <w:sz w:val="20"/>
                <w:szCs w:val="20"/>
                <w:lang w:eastAsia="ru-RU"/>
              </w:rPr>
              <w:t>20</w:t>
            </w:r>
          </w:p>
        </w:tc>
        <w:tc>
          <w:tcPr>
            <w:tcW w:w="709" w:type="dxa"/>
            <w:tcBorders>
              <w:top w:val="single" w:sz="4" w:space="0" w:color="000000"/>
              <w:bottom w:val="single" w:sz="4" w:space="0" w:color="000000"/>
              <w:right w:val="single" w:sz="4" w:space="0" w:color="000000"/>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216</w:t>
            </w:r>
          </w:p>
        </w:tc>
        <w:tc>
          <w:tcPr>
            <w:tcW w:w="708" w:type="dxa"/>
            <w:tcBorders>
              <w:top w:val="single" w:sz="4" w:space="0" w:color="000000"/>
              <w:bottom w:val="single" w:sz="4" w:space="0" w:color="000000"/>
              <w:right w:val="single" w:sz="4" w:space="0" w:color="000000"/>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20</w:t>
            </w:r>
          </w:p>
        </w:tc>
        <w:tc>
          <w:tcPr>
            <w:tcW w:w="698" w:type="dxa"/>
            <w:tcBorders>
              <w:top w:val="single" w:sz="4" w:space="0" w:color="000000"/>
              <w:bottom w:val="single" w:sz="4" w:space="0" w:color="000000"/>
              <w:right w:val="single" w:sz="4" w:space="0" w:color="000000"/>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216</w:t>
            </w:r>
          </w:p>
        </w:tc>
      </w:tr>
    </w:tbl>
    <w:p>
      <w:pPr>
        <w:pStyle w:val="3"/>
        <w:spacing w:lineRule="auto" w:line="276" w:before="120" w:after="0"/>
        <w:rPr>
          <w:rFonts w:ascii="Times New Roman" w:hAnsi="Times New Roman"/>
          <w:sz w:val="24"/>
          <w:szCs w:val="24"/>
        </w:rPr>
      </w:pPr>
      <w:bookmarkStart w:id="189" w:name="_Toc67414999"/>
      <w:bookmarkStart w:id="190" w:name="_Toc182210489"/>
      <w:r>
        <w:rPr>
          <w:rFonts w:ascii="Times New Roman" w:hAnsi="Times New Roman"/>
          <w:sz w:val="24"/>
          <w:szCs w:val="24"/>
        </w:rPr>
        <w:t>8.3 Водоотведение</w:t>
      </w:r>
      <w:bookmarkEnd w:id="189"/>
      <w:bookmarkEnd w:id="190"/>
    </w:p>
    <w:p>
      <w:pPr>
        <w:pStyle w:val="Normal"/>
        <w:rPr>
          <w:rFonts w:eastAsia="Times New Roman"/>
          <w:b/>
          <w:b/>
          <w:szCs w:val="24"/>
          <w:lang w:eastAsia="ru-RU"/>
        </w:rPr>
      </w:pPr>
      <w:r>
        <w:rPr>
          <w:b/>
        </w:rPr>
        <w:t>Анализ существующего состояния</w:t>
      </w:r>
    </w:p>
    <w:p>
      <w:pPr>
        <w:pStyle w:val="Normal"/>
        <w:spacing w:lineRule="auto" w:line="276"/>
        <w:ind w:firstLine="709"/>
        <w:rPr>
          <w:rFonts w:eastAsia="Times New Roman"/>
          <w:szCs w:val="24"/>
          <w:lang w:eastAsia="ru-RU"/>
        </w:rPr>
      </w:pPr>
      <w:r>
        <w:rPr>
          <w:rFonts w:eastAsia="Times New Roman"/>
          <w:bCs/>
          <w:szCs w:val="24"/>
          <w:lang w:eastAsia="ru-RU"/>
        </w:rPr>
        <w:t xml:space="preserve">В настоящее время </w:t>
      </w:r>
      <w:r>
        <w:rPr>
          <w:rFonts w:eastAsia="Times New Roman"/>
          <w:szCs w:val="24"/>
          <w:lang w:eastAsia="ru-RU"/>
        </w:rPr>
        <w:t>в населенных пунктах Катенинского сельского поселения Варненского муниципального района Челябинской области</w:t>
      </w:r>
      <w:r>
        <w:rPr>
          <w:rFonts w:eastAsia="Times New Roman"/>
          <w:bCs/>
          <w:szCs w:val="24"/>
          <w:lang w:eastAsia="ru-RU"/>
        </w:rPr>
        <w:t xml:space="preserve"> </w:t>
      </w:r>
      <w:r>
        <w:rPr>
          <w:rFonts w:eastAsia="Times New Roman"/>
          <w:szCs w:val="24"/>
          <w:lang w:eastAsia="ru-RU"/>
        </w:rPr>
        <w:t>централизованная канализация отсутствует, сточные воды от индивидуальных жилых домов и общественных зданий отводятся в выгребы и септики на приусадебных участках.</w:t>
      </w:r>
    </w:p>
    <w:p>
      <w:pPr>
        <w:pStyle w:val="Normal"/>
        <w:spacing w:lineRule="auto" w:line="276"/>
        <w:ind w:firstLine="709"/>
        <w:rPr>
          <w:rFonts w:eastAsia="Times New Roman"/>
          <w:szCs w:val="24"/>
          <w:lang w:eastAsia="ru-RU"/>
        </w:rPr>
      </w:pPr>
      <w:r>
        <w:rPr>
          <w:rFonts w:eastAsia="Times New Roman"/>
          <w:szCs w:val="24"/>
          <w:lang w:eastAsia="ru-RU"/>
        </w:rPr>
        <w:t>Очистные сооружения на территории поселения отсутствуют, поэтому производится вывоз сточных вод специальным автотранспортом за пределы населенных пунктов на специализированный полигон по утилизации ЖБО.</w:t>
      </w:r>
    </w:p>
    <w:p>
      <w:pPr>
        <w:pStyle w:val="Normal"/>
        <w:spacing w:lineRule="auto" w:line="276"/>
        <w:ind w:firstLine="709"/>
        <w:jc w:val="left"/>
        <w:rPr>
          <w:rFonts w:eastAsia="Tahoma"/>
          <w:b/>
          <w:b/>
          <w:sz w:val="20"/>
          <w:szCs w:val="20"/>
          <w:lang w:eastAsia="ru-RU"/>
        </w:rPr>
      </w:pPr>
      <w:r>
        <w:rPr>
          <w:rFonts w:eastAsia="Times New Roman"/>
          <w:b/>
          <w:szCs w:val="24"/>
          <w:lang w:eastAsia="ru-RU"/>
        </w:rPr>
        <w:t>Информация об основных проблемах и ограничениях</w:t>
      </w:r>
    </w:p>
    <w:p>
      <w:pPr>
        <w:pStyle w:val="Normal"/>
        <w:spacing w:lineRule="auto" w:line="276"/>
        <w:ind w:firstLine="709"/>
        <w:rPr>
          <w:rFonts w:eastAsia="Calibri" w:eastAsiaTheme="minorHAnsi"/>
          <w:color w:val="000000"/>
          <w:szCs w:val="24"/>
          <w:lang w:eastAsia="ru-RU"/>
        </w:rPr>
      </w:pPr>
      <w:r>
        <w:rPr>
          <w:rFonts w:eastAsia="Calibri" w:eastAsiaTheme="minorHAnsi"/>
          <w:color w:val="000000"/>
          <w:szCs w:val="24"/>
          <w:lang w:eastAsia="ru-RU"/>
        </w:rPr>
        <w:t xml:space="preserve">Централизованная система канализации на территории </w:t>
      </w:r>
      <w:r>
        <w:rPr>
          <w:rFonts w:eastAsia="Times New Roman"/>
          <w:szCs w:val="24"/>
          <w:lang w:eastAsia="ru-RU"/>
        </w:rPr>
        <w:t>Катенинского сельского поселения</w:t>
      </w:r>
      <w:r>
        <w:rPr>
          <w:rFonts w:eastAsia="Calibri" w:eastAsiaTheme="minorHAnsi"/>
          <w:color w:val="000000"/>
          <w:szCs w:val="24"/>
          <w:lang w:eastAsia="ru-RU"/>
        </w:rPr>
        <w:t xml:space="preserve"> отсутствует.</w:t>
      </w:r>
    </w:p>
    <w:p>
      <w:pPr>
        <w:pStyle w:val="Normal"/>
        <w:spacing w:lineRule="auto" w:line="276"/>
        <w:ind w:firstLine="709"/>
        <w:jc w:val="left"/>
        <w:rPr>
          <w:rFonts w:eastAsia="Times New Roman"/>
          <w:b/>
          <w:b/>
          <w:szCs w:val="24"/>
          <w:lang w:eastAsia="ru-RU"/>
        </w:rPr>
      </w:pPr>
      <w:r>
        <w:rPr>
          <w:rFonts w:eastAsia="Times New Roman"/>
          <w:b/>
          <w:szCs w:val="24"/>
          <w:lang w:eastAsia="ru-RU"/>
        </w:rPr>
        <w:t>Проектные предложения</w:t>
      </w:r>
    </w:p>
    <w:p>
      <w:pPr>
        <w:sectPr>
          <w:headerReference w:type="default" r:id="rId100"/>
          <w:footerReference w:type="default" r:id="rId101"/>
          <w:type w:val="nextPage"/>
          <w:pgSz w:w="11906" w:h="16838"/>
          <w:pgMar w:left="1418" w:right="567" w:header="567" w:top="1134" w:footer="567" w:bottom="1134" w:gutter="0"/>
          <w:pgNumType w:fmt="decimal"/>
          <w:formProt w:val="false"/>
          <w:textDirection w:val="lrTb"/>
          <w:docGrid w:type="default" w:linePitch="100" w:charSpace="0"/>
        </w:sectPr>
        <w:pStyle w:val="Normal"/>
        <w:suppressAutoHyphens w:val="true"/>
        <w:spacing w:lineRule="auto" w:line="276"/>
        <w:ind w:firstLine="709"/>
        <w:rPr>
          <w:rFonts w:eastAsia="Times New Roman"/>
          <w:b/>
          <w:b/>
          <w:szCs w:val="24"/>
          <w:lang w:eastAsia="ru-RU"/>
        </w:rPr>
      </w:pPr>
      <w:r>
        <w:rPr>
          <w:rFonts w:eastAsia="Times New Roman"/>
          <w:szCs w:val="24"/>
          <w:lang w:eastAsia="ru-RU"/>
        </w:rPr>
        <w:t xml:space="preserve">Перечень планируемых мероприятий местного значения по развитию систем водоотведения представлен в таблице </w:t>
      </w:r>
      <w:r>
        <w:rPr>
          <w:rFonts w:eastAsia="Times New Roman"/>
          <w:szCs w:val="20"/>
          <w:lang w:eastAsia="ru-RU"/>
        </w:rPr>
        <w:t>1.8.3.5</w:t>
      </w:r>
    </w:p>
    <w:p>
      <w:pPr>
        <w:pStyle w:val="Normal"/>
        <w:spacing w:lineRule="auto" w:line="276"/>
        <w:jc w:val="right"/>
        <w:rPr>
          <w:rFonts w:eastAsia="Times New Roman"/>
          <w:iCs/>
          <w:color w:val="000000"/>
          <w:szCs w:val="24"/>
          <w:lang w:eastAsia="ru-RU"/>
        </w:rPr>
      </w:pPr>
      <w:r>
        <w:rPr>
          <w:rFonts w:eastAsia="Times New Roman"/>
          <w:iCs/>
          <w:color w:val="000000"/>
          <w:szCs w:val="24"/>
          <w:lang w:eastAsia="ru-RU"/>
        </w:rPr>
        <w:t xml:space="preserve">Таблица </w:t>
      </w:r>
      <w:r>
        <w:rPr>
          <w:rFonts w:eastAsia="Times New Roman"/>
          <w:szCs w:val="24"/>
          <w:lang w:eastAsia="ru-RU"/>
        </w:rPr>
        <w:t>1.8.3.5</w:t>
      </w:r>
    </w:p>
    <w:p>
      <w:pPr>
        <w:pStyle w:val="Normal"/>
        <w:spacing w:lineRule="auto" w:line="276" w:before="0" w:after="200"/>
        <w:ind w:left="1069" w:hanging="0"/>
        <w:contextualSpacing/>
        <w:jc w:val="center"/>
        <w:rPr>
          <w:rFonts w:eastAsia="Times New Roman"/>
          <w:iCs/>
          <w:color w:val="000000"/>
          <w:szCs w:val="24"/>
          <w:lang w:eastAsia="ru-RU"/>
        </w:rPr>
      </w:pPr>
      <w:r>
        <w:rPr>
          <w:rFonts w:eastAsia="Times New Roman"/>
          <w:iCs/>
          <w:color w:val="000000"/>
          <w:szCs w:val="24"/>
          <w:lang w:eastAsia="ru-RU"/>
        </w:rPr>
        <w:t xml:space="preserve">Перечень мероприятий </w:t>
      </w:r>
      <w:r>
        <w:rPr>
          <w:rFonts w:eastAsia="Times New Roman"/>
          <w:szCs w:val="24"/>
          <w:lang w:eastAsia="ru-RU"/>
        </w:rPr>
        <w:t>местного значения</w:t>
      </w:r>
      <w:r>
        <w:rPr>
          <w:rFonts w:eastAsia="Times New Roman"/>
          <w:iCs/>
          <w:color w:val="000000"/>
          <w:szCs w:val="24"/>
          <w:lang w:eastAsia="ru-RU"/>
        </w:rPr>
        <w:t xml:space="preserve"> по развитию систем водоотведения</w:t>
      </w:r>
    </w:p>
    <w:tbl>
      <w:tblPr>
        <w:tblW w:w="5000" w:type="pct"/>
        <w:jc w:val="left"/>
        <w:tblInd w:w="-28" w:type="dxa"/>
        <w:tblCellMar>
          <w:top w:w="0" w:type="dxa"/>
          <w:left w:w="28" w:type="dxa"/>
          <w:bottom w:w="0" w:type="dxa"/>
          <w:right w:w="28" w:type="dxa"/>
        </w:tblCellMar>
        <w:tblLook w:firstRow="1" w:noVBand="1" w:lastRow="0" w:firstColumn="1" w:lastColumn="0" w:noHBand="0" w:val="04a0"/>
      </w:tblPr>
      <w:tblGrid>
        <w:gridCol w:w="451"/>
        <w:gridCol w:w="705"/>
        <w:gridCol w:w="2401"/>
        <w:gridCol w:w="423"/>
        <w:gridCol w:w="1556"/>
        <w:gridCol w:w="1693"/>
        <w:gridCol w:w="1695"/>
        <w:gridCol w:w="705"/>
        <w:gridCol w:w="2685"/>
        <w:gridCol w:w="2254"/>
      </w:tblGrid>
      <w:tr>
        <w:trPr>
          <w:tblHeader w:val="true"/>
          <w:trHeight w:val="1855" w:hRule="atLeast"/>
          <w:cantSplit w:val="true"/>
        </w:trPr>
        <w:tc>
          <w:tcPr>
            <w:tcW w:w="451"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sz w:val="20"/>
                <w:szCs w:val="24"/>
                <w:lang w:eastAsia="ru-RU"/>
              </w:rPr>
            </w:pPr>
            <w:r>
              <w:rPr>
                <w:rFonts w:eastAsia="Times New Roman"/>
                <w:b/>
                <w:bCs/>
                <w:sz w:val="20"/>
                <w:szCs w:val="24"/>
                <w:lang w:eastAsia="ru-RU"/>
              </w:rPr>
              <w:t>№</w:t>
            </w:r>
          </w:p>
        </w:tc>
        <w:tc>
          <w:tcPr>
            <w:tcW w:w="705"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sz w:val="20"/>
                <w:szCs w:val="24"/>
                <w:lang w:eastAsia="ru-RU"/>
              </w:rPr>
            </w:pPr>
            <w:r>
              <w:rPr>
                <w:rFonts w:eastAsia="Times New Roman"/>
                <w:b/>
                <w:bCs/>
                <w:color w:val="000000"/>
                <w:sz w:val="20"/>
                <w:szCs w:val="24"/>
                <w:lang w:eastAsia="ru-RU"/>
              </w:rPr>
              <w:t xml:space="preserve">№ </w:t>
            </w:r>
            <w:r>
              <w:rPr>
                <w:rFonts w:eastAsia="Times New Roman"/>
                <w:b/>
                <w:bCs/>
                <w:color w:val="000000"/>
                <w:sz w:val="20"/>
                <w:szCs w:val="24"/>
                <w:lang w:eastAsia="ru-RU"/>
              </w:rPr>
              <w:t>на карте</w:t>
            </w:r>
          </w:p>
        </w:tc>
        <w:tc>
          <w:tcPr>
            <w:tcW w:w="2401"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color w:val="000000"/>
                <w:sz w:val="20"/>
                <w:szCs w:val="24"/>
                <w:lang w:eastAsia="ru-RU"/>
              </w:rPr>
            </w:pPr>
            <w:r>
              <w:rPr>
                <w:rFonts w:eastAsia="Times New Roman"/>
                <w:b/>
                <w:bCs/>
                <w:sz w:val="20"/>
                <w:szCs w:val="24"/>
                <w:lang w:eastAsia="ru-RU"/>
              </w:rPr>
              <w:t>Наименование объекта</w:t>
            </w:r>
          </w:p>
        </w:tc>
        <w:tc>
          <w:tcPr>
            <w:tcW w:w="423" w:type="dxa"/>
            <w:tcBorders>
              <w:top w:val="single" w:sz="4" w:space="0" w:color="000000"/>
              <w:left w:val="single" w:sz="4" w:space="0" w:color="000000"/>
              <w:right w:val="single" w:sz="4" w:space="0" w:color="000000"/>
            </w:tcBorders>
            <w:textDirection w:val="btLr"/>
            <w:vAlign w:val="center"/>
          </w:tcPr>
          <w:p>
            <w:pPr>
              <w:pStyle w:val="Normal"/>
              <w:spacing w:lineRule="auto" w:line="240"/>
              <w:ind w:left="113" w:right="113" w:hanging="0"/>
              <w:jc w:val="center"/>
              <w:rPr>
                <w:rFonts w:eastAsia="Times New Roman"/>
                <w:b/>
                <w:b/>
                <w:bCs/>
                <w:color w:val="000000"/>
                <w:sz w:val="20"/>
                <w:szCs w:val="24"/>
                <w:lang w:eastAsia="ru-RU"/>
              </w:rPr>
            </w:pPr>
            <w:r>
              <w:rPr>
                <w:rFonts w:eastAsia="Times New Roman"/>
                <w:b/>
                <w:bCs/>
                <w:sz w:val="20"/>
                <w:szCs w:val="24"/>
                <w:lang w:eastAsia="ru-RU"/>
              </w:rPr>
              <w:t>Статус *</w:t>
            </w:r>
          </w:p>
        </w:tc>
        <w:tc>
          <w:tcPr>
            <w:tcW w:w="1556"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color w:val="000000"/>
                <w:sz w:val="20"/>
                <w:szCs w:val="24"/>
                <w:lang w:eastAsia="ru-RU"/>
              </w:rPr>
            </w:pPr>
            <w:r>
              <w:rPr>
                <w:rFonts w:eastAsia="Times New Roman"/>
                <w:b/>
                <w:sz w:val="20"/>
                <w:szCs w:val="24"/>
                <w:lang w:eastAsia="ru-RU"/>
              </w:rPr>
              <w:t>Местоположение</w:t>
            </w:r>
          </w:p>
        </w:tc>
        <w:tc>
          <w:tcPr>
            <w:tcW w:w="1693"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color w:val="000000"/>
                <w:sz w:val="20"/>
                <w:szCs w:val="24"/>
                <w:lang w:eastAsia="ru-RU"/>
              </w:rPr>
            </w:pPr>
            <w:r>
              <w:rPr>
                <w:rFonts w:eastAsia="Times New Roman"/>
                <w:b/>
                <w:bCs/>
                <w:sz w:val="20"/>
                <w:szCs w:val="24"/>
                <w:lang w:eastAsia="ru-RU"/>
              </w:rPr>
              <w:t>Основные характеристики **</w:t>
            </w:r>
          </w:p>
        </w:tc>
        <w:tc>
          <w:tcPr>
            <w:tcW w:w="1695"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color w:val="000000"/>
                <w:sz w:val="20"/>
                <w:szCs w:val="24"/>
                <w:lang w:eastAsia="ru-RU"/>
              </w:rPr>
            </w:pPr>
            <w:r>
              <w:rPr>
                <w:rFonts w:eastAsia="Times New Roman"/>
                <w:b/>
                <w:bCs/>
                <w:sz w:val="20"/>
                <w:szCs w:val="24"/>
                <w:lang w:eastAsia="ru-RU"/>
              </w:rPr>
              <w:t>Назначение</w:t>
            </w:r>
          </w:p>
        </w:tc>
        <w:tc>
          <w:tcPr>
            <w:tcW w:w="705" w:type="dxa"/>
            <w:tcBorders>
              <w:top w:val="single" w:sz="4" w:space="0" w:color="000000"/>
              <w:left w:val="single" w:sz="4" w:space="0" w:color="000000"/>
              <w:right w:val="single" w:sz="4" w:space="0" w:color="000000"/>
            </w:tcBorders>
            <w:textDirection w:val="btLr"/>
            <w:vAlign w:val="center"/>
          </w:tcPr>
          <w:p>
            <w:pPr>
              <w:pStyle w:val="Normal"/>
              <w:spacing w:lineRule="auto" w:line="240"/>
              <w:ind w:left="113" w:right="113" w:hanging="0"/>
              <w:jc w:val="center"/>
              <w:rPr>
                <w:rFonts w:eastAsia="Times New Roman"/>
                <w:b/>
                <w:b/>
                <w:bCs/>
                <w:color w:val="000000"/>
                <w:sz w:val="20"/>
                <w:szCs w:val="24"/>
                <w:lang w:eastAsia="ru-RU"/>
              </w:rPr>
            </w:pPr>
            <w:r>
              <w:rPr>
                <w:rFonts w:eastAsia="Times New Roman"/>
                <w:b/>
                <w:bCs/>
                <w:sz w:val="20"/>
                <w:szCs w:val="24"/>
                <w:lang w:eastAsia="ru-RU"/>
              </w:rPr>
              <w:t>Планируемый срок реализации</w:t>
            </w:r>
          </w:p>
        </w:tc>
        <w:tc>
          <w:tcPr>
            <w:tcW w:w="2685"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color w:val="000000"/>
                <w:sz w:val="20"/>
                <w:szCs w:val="24"/>
                <w:lang w:eastAsia="ru-RU"/>
              </w:rPr>
            </w:pPr>
            <w:r>
              <w:rPr>
                <w:rFonts w:eastAsia="Times New Roman"/>
                <w:b/>
                <w:sz w:val="20"/>
                <w:szCs w:val="24"/>
                <w:lang w:eastAsia="ru-RU"/>
              </w:rPr>
              <w:t>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p>
        </w:tc>
        <w:tc>
          <w:tcPr>
            <w:tcW w:w="2254"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sz w:val="20"/>
                <w:szCs w:val="24"/>
                <w:lang w:eastAsia="ru-RU"/>
              </w:rPr>
            </w:pPr>
            <w:r>
              <w:rPr>
                <w:rFonts w:eastAsia="Times New Roman"/>
                <w:b/>
                <w:sz w:val="20"/>
                <w:szCs w:val="24"/>
                <w:lang w:eastAsia="ru-RU"/>
              </w:rPr>
              <w:t>Наименование документов стратегического планирования, национальных проектов, инвестиционных программ субъектов естественных монополий, организаций коммунального комплекса, решений органов местного самоуправления, иных главных распорядителей средств соответствующих бюджетов, предусматривающих создание объекта</w:t>
            </w:r>
          </w:p>
        </w:tc>
      </w:tr>
    </w:tbl>
    <w:p>
      <w:pPr>
        <w:pStyle w:val="Normal"/>
        <w:tabs>
          <w:tab w:val="clear" w:pos="708"/>
          <w:tab w:val="left" w:pos="14317" w:leader="none"/>
        </w:tabs>
        <w:spacing w:lineRule="auto" w:line="9" w:before="0" w:after="200"/>
        <w:ind w:right="255" w:hanging="0"/>
        <w:contextualSpacing/>
        <w:jc w:val="center"/>
        <w:rPr>
          <w:rFonts w:eastAsia="Times New Roman"/>
          <w:szCs w:val="24"/>
          <w:lang w:eastAsia="ru-RU"/>
        </w:rPr>
      </w:pPr>
      <w:r>
        <w:rPr>
          <w:rFonts w:eastAsia="Times New Roman"/>
          <w:szCs w:val="24"/>
          <w:lang w:eastAsia="ru-RU"/>
        </w:rPr>
      </w:r>
    </w:p>
    <w:tbl>
      <w:tblPr>
        <w:tblW w:w="5000" w:type="pct"/>
        <w:jc w:val="left"/>
        <w:tblInd w:w="-5" w:type="dxa"/>
        <w:tblCellMar>
          <w:top w:w="0" w:type="dxa"/>
          <w:left w:w="5" w:type="dxa"/>
          <w:bottom w:w="0" w:type="dxa"/>
          <w:right w:w="5" w:type="dxa"/>
        </w:tblCellMar>
        <w:tblLook w:firstRow="1" w:noVBand="1" w:lastRow="0" w:firstColumn="1" w:lastColumn="0" w:noHBand="0" w:val="04a0"/>
      </w:tblPr>
      <w:tblGrid>
        <w:gridCol w:w="429"/>
        <w:gridCol w:w="710"/>
        <w:gridCol w:w="2407"/>
        <w:gridCol w:w="425"/>
        <w:gridCol w:w="1559"/>
        <w:gridCol w:w="1699"/>
        <w:gridCol w:w="1699"/>
        <w:gridCol w:w="682"/>
        <w:gridCol w:w="2684"/>
        <w:gridCol w:w="2274"/>
      </w:tblGrid>
      <w:tr>
        <w:trPr>
          <w:tblHeader w:val="true"/>
          <w:trHeight w:val="20" w:hRule="atLeast"/>
        </w:trPr>
        <w:tc>
          <w:tcPr>
            <w:tcW w:w="429" w:type="dxa"/>
            <w:tcBorders>
              <w:top w:val="single" w:sz="4" w:space="0" w:color="000000"/>
              <w:left w:val="single" w:sz="4" w:space="0" w:color="000000"/>
              <w:bottom w:val="single" w:sz="4" w:space="0" w:color="000000"/>
              <w:right w:val="single" w:sz="4" w:space="0" w:color="000000"/>
            </w:tcBorders>
          </w:tcPr>
          <w:p>
            <w:pPr>
              <w:pStyle w:val="Normal"/>
              <w:spacing w:lineRule="auto" w:line="240"/>
              <w:ind w:hanging="6"/>
              <w:jc w:val="center"/>
              <w:rPr>
                <w:rFonts w:eastAsia="Times New Roman"/>
                <w:b/>
                <w:b/>
                <w:bCs/>
                <w:color w:val="000000"/>
                <w:sz w:val="20"/>
                <w:szCs w:val="20"/>
                <w:lang w:eastAsia="ru-RU"/>
              </w:rPr>
            </w:pPr>
            <w:r>
              <w:rPr>
                <w:rFonts w:eastAsia="Times New Roman"/>
                <w:b/>
                <w:bCs/>
                <w:color w:val="000000"/>
                <w:sz w:val="20"/>
                <w:szCs w:val="20"/>
                <w:lang w:eastAsia="ru-RU"/>
              </w:rPr>
              <w:t>1</w:t>
            </w:r>
          </w:p>
        </w:tc>
        <w:tc>
          <w:tcPr>
            <w:tcW w:w="71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b/>
                <w:b/>
                <w:bCs/>
                <w:color w:val="000000"/>
                <w:sz w:val="20"/>
                <w:szCs w:val="20"/>
                <w:lang w:eastAsia="ru-RU"/>
              </w:rPr>
            </w:pPr>
            <w:r>
              <w:rPr>
                <w:rFonts w:eastAsia="Times New Roman"/>
                <w:b/>
                <w:bCs/>
                <w:color w:val="000000"/>
                <w:sz w:val="20"/>
                <w:szCs w:val="20"/>
                <w:lang w:eastAsia="ru-RU"/>
              </w:rPr>
              <w:t>2</w:t>
            </w:r>
          </w:p>
        </w:tc>
        <w:tc>
          <w:tcPr>
            <w:tcW w:w="240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b/>
                <w:b/>
                <w:bCs/>
                <w:color w:val="000000"/>
                <w:sz w:val="20"/>
                <w:szCs w:val="20"/>
                <w:lang w:eastAsia="ru-RU"/>
              </w:rPr>
            </w:pPr>
            <w:r>
              <w:rPr>
                <w:rFonts w:eastAsia="Times New Roman"/>
                <w:b/>
                <w:bCs/>
                <w:color w:val="000000"/>
                <w:sz w:val="20"/>
                <w:szCs w:val="20"/>
                <w:lang w:eastAsia="ru-RU"/>
              </w:rPr>
              <w:t>3</w:t>
            </w:r>
          </w:p>
        </w:tc>
        <w:tc>
          <w:tcPr>
            <w:tcW w:w="42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b/>
                <w:b/>
                <w:bCs/>
                <w:color w:val="000000"/>
                <w:sz w:val="20"/>
                <w:szCs w:val="20"/>
                <w:lang w:eastAsia="ru-RU"/>
              </w:rPr>
            </w:pPr>
            <w:r>
              <w:rPr>
                <w:rFonts w:eastAsia="Times New Roman"/>
                <w:b/>
                <w:bCs/>
                <w:color w:val="000000"/>
                <w:sz w:val="20"/>
                <w:szCs w:val="20"/>
                <w:lang w:eastAsia="ru-RU"/>
              </w:rPr>
              <w:t>4</w:t>
            </w:r>
          </w:p>
        </w:tc>
        <w:tc>
          <w:tcPr>
            <w:tcW w:w="155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b/>
                <w:b/>
                <w:bCs/>
                <w:color w:val="000000"/>
                <w:sz w:val="20"/>
                <w:szCs w:val="20"/>
                <w:lang w:eastAsia="ru-RU"/>
              </w:rPr>
            </w:pPr>
            <w:r>
              <w:rPr>
                <w:rFonts w:eastAsia="Times New Roman"/>
                <w:b/>
                <w:bCs/>
                <w:color w:val="000000"/>
                <w:sz w:val="20"/>
                <w:szCs w:val="20"/>
                <w:lang w:eastAsia="ru-RU"/>
              </w:rPr>
              <w:t>5</w:t>
            </w:r>
          </w:p>
        </w:tc>
        <w:tc>
          <w:tcPr>
            <w:tcW w:w="16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b/>
                <w:b/>
                <w:bCs/>
                <w:color w:val="000000"/>
                <w:sz w:val="20"/>
                <w:szCs w:val="20"/>
                <w:lang w:eastAsia="ru-RU"/>
              </w:rPr>
            </w:pPr>
            <w:r>
              <w:rPr>
                <w:rFonts w:eastAsia="Times New Roman"/>
                <w:b/>
                <w:bCs/>
                <w:color w:val="000000"/>
                <w:sz w:val="20"/>
                <w:szCs w:val="20"/>
                <w:lang w:eastAsia="ru-RU"/>
              </w:rPr>
              <w:t>6</w:t>
            </w:r>
          </w:p>
        </w:tc>
        <w:tc>
          <w:tcPr>
            <w:tcW w:w="16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b/>
                <w:b/>
                <w:bCs/>
                <w:color w:val="000000"/>
                <w:sz w:val="20"/>
                <w:szCs w:val="20"/>
                <w:lang w:eastAsia="ru-RU"/>
              </w:rPr>
            </w:pPr>
            <w:r>
              <w:rPr>
                <w:rFonts w:eastAsia="Times New Roman"/>
                <w:b/>
                <w:bCs/>
                <w:color w:val="000000"/>
                <w:sz w:val="20"/>
                <w:szCs w:val="20"/>
                <w:lang w:eastAsia="ru-RU"/>
              </w:rPr>
              <w:t>7</w:t>
            </w:r>
          </w:p>
        </w:tc>
        <w:tc>
          <w:tcPr>
            <w:tcW w:w="68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b/>
                <w:b/>
                <w:bCs/>
                <w:color w:val="000000"/>
                <w:sz w:val="20"/>
                <w:szCs w:val="20"/>
                <w:lang w:eastAsia="ru-RU"/>
              </w:rPr>
            </w:pPr>
            <w:r>
              <w:rPr>
                <w:rFonts w:eastAsia="Times New Roman"/>
                <w:b/>
                <w:bCs/>
                <w:color w:val="000000"/>
                <w:sz w:val="20"/>
                <w:szCs w:val="20"/>
                <w:lang w:eastAsia="ru-RU"/>
              </w:rPr>
              <w:t>8</w:t>
            </w:r>
          </w:p>
        </w:tc>
        <w:tc>
          <w:tcPr>
            <w:tcW w:w="268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b/>
                <w:b/>
                <w:bCs/>
                <w:color w:val="000000"/>
                <w:sz w:val="20"/>
                <w:szCs w:val="20"/>
                <w:lang w:eastAsia="ru-RU"/>
              </w:rPr>
            </w:pPr>
            <w:r>
              <w:rPr>
                <w:rFonts w:eastAsia="Times New Roman"/>
                <w:b/>
                <w:bCs/>
                <w:color w:val="000000"/>
                <w:sz w:val="20"/>
                <w:szCs w:val="20"/>
                <w:lang w:eastAsia="ru-RU"/>
              </w:rPr>
              <w:t>9</w:t>
            </w:r>
          </w:p>
        </w:tc>
        <w:tc>
          <w:tcPr>
            <w:tcW w:w="227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b/>
                <w:b/>
                <w:bCs/>
                <w:color w:val="000000"/>
                <w:sz w:val="20"/>
                <w:szCs w:val="20"/>
                <w:lang w:eastAsia="ru-RU"/>
              </w:rPr>
            </w:pPr>
            <w:r>
              <w:rPr>
                <w:rFonts w:eastAsia="Times New Roman"/>
                <w:b/>
                <w:bCs/>
                <w:color w:val="000000"/>
                <w:sz w:val="20"/>
                <w:szCs w:val="20"/>
                <w:lang w:eastAsia="ru-RU"/>
              </w:rPr>
              <w:t>10</w:t>
            </w:r>
          </w:p>
        </w:tc>
      </w:tr>
      <w:tr>
        <w:trPr>
          <w:trHeight w:val="20" w:hRule="atLeast"/>
        </w:trPr>
        <w:tc>
          <w:tcPr>
            <w:tcW w:w="14568" w:type="dxa"/>
            <w:gridSpan w:val="10"/>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b/>
                <w:b/>
                <w:color w:val="000000"/>
                <w:sz w:val="20"/>
                <w:szCs w:val="20"/>
                <w:lang w:eastAsia="ru-RU"/>
              </w:rPr>
            </w:pPr>
            <w:r>
              <w:rPr>
                <w:rFonts w:eastAsia="Times New Roman"/>
                <w:b/>
                <w:color w:val="000000"/>
                <w:sz w:val="20"/>
                <w:szCs w:val="20"/>
                <w:lang w:eastAsia="ru-RU"/>
              </w:rPr>
              <w:t>Объекты водоотведения</w:t>
            </w:r>
          </w:p>
        </w:tc>
      </w:tr>
      <w:tr>
        <w:trPr>
          <w:trHeight w:val="20" w:hRule="atLeast"/>
        </w:trPr>
        <w:tc>
          <w:tcPr>
            <w:tcW w:w="429" w:type="dxa"/>
            <w:tcBorders>
              <w:top w:val="single" w:sz="4" w:space="0" w:color="000000"/>
              <w:left w:val="single" w:sz="4" w:space="0" w:color="000000"/>
              <w:bottom w:val="single" w:sz="4" w:space="0" w:color="000000"/>
              <w:right w:val="single" w:sz="4" w:space="0" w:color="000000"/>
            </w:tcBorders>
          </w:tcPr>
          <w:p>
            <w:pPr>
              <w:pStyle w:val="Normal"/>
              <w:spacing w:lineRule="auto" w:line="240"/>
              <w:ind w:left="-51" w:right="-109" w:hanging="6"/>
              <w:jc w:val="center"/>
              <w:rPr>
                <w:rFonts w:eastAsia="Times New Roman"/>
                <w:iCs/>
                <w:color w:val="000000"/>
                <w:sz w:val="20"/>
                <w:szCs w:val="20"/>
                <w:lang w:eastAsia="ru-RU"/>
              </w:rPr>
            </w:pPr>
            <w:r>
              <w:rPr>
                <w:rFonts w:eastAsia="Times New Roman"/>
                <w:iCs/>
                <w:color w:val="000000"/>
                <w:sz w:val="20"/>
                <w:szCs w:val="20"/>
                <w:lang w:eastAsia="ru-RU"/>
              </w:rPr>
              <w:t>1</w:t>
            </w:r>
          </w:p>
        </w:tc>
        <w:tc>
          <w:tcPr>
            <w:tcW w:w="71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ОВ.1.1</w:t>
            </w:r>
          </w:p>
        </w:tc>
        <w:tc>
          <w:tcPr>
            <w:tcW w:w="240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Очистные сооружения (КОС)</w:t>
            </w:r>
          </w:p>
        </w:tc>
        <w:tc>
          <w:tcPr>
            <w:tcW w:w="42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С</w:t>
            </w:r>
          </w:p>
        </w:tc>
        <w:tc>
          <w:tcPr>
            <w:tcW w:w="155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sz w:val="20"/>
                <w:szCs w:val="20"/>
                <w:lang w:eastAsia="ru-RU"/>
              </w:rPr>
              <w:t>с. Катенино</w:t>
            </w:r>
          </w:p>
        </w:tc>
        <w:tc>
          <w:tcPr>
            <w:tcW w:w="16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Количество — 1 единица,</w:t>
            </w:r>
          </w:p>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Производительность — 0,210 тыс. м</w:t>
            </w:r>
            <w:r>
              <w:rPr>
                <w:rFonts w:eastAsia="Times New Roman"/>
                <w:color w:val="000000"/>
                <w:sz w:val="20"/>
                <w:szCs w:val="20"/>
                <w:vertAlign w:val="superscript"/>
                <w:lang w:eastAsia="ru-RU"/>
              </w:rPr>
              <w:t>3</w:t>
            </w:r>
            <w:r>
              <w:rPr>
                <w:rFonts w:eastAsia="Times New Roman"/>
                <w:color w:val="000000"/>
                <w:sz w:val="20"/>
                <w:szCs w:val="20"/>
                <w:lang w:eastAsia="ru-RU"/>
              </w:rPr>
              <w:t>/сут</w:t>
            </w:r>
          </w:p>
        </w:tc>
        <w:tc>
          <w:tcPr>
            <w:tcW w:w="16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Обеспечение приема и очистки сточных вод до нормативных показателей</w:t>
            </w:r>
          </w:p>
        </w:tc>
        <w:tc>
          <w:tcPr>
            <w:tcW w:w="68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sz w:val="20"/>
                <w:szCs w:val="20"/>
                <w:lang w:eastAsia="ru-RU"/>
              </w:rPr>
              <w:t>до 2035 года</w:t>
            </w:r>
          </w:p>
        </w:tc>
        <w:tc>
          <w:tcPr>
            <w:tcW w:w="268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4"/>
                <w:lang w:eastAsia="ru-RU"/>
              </w:rPr>
              <w:t>Размер санитарно-защитной зоны принимается в соответствии с постановлением Главного государственного санитарного врача Российской Федерации от 25.09.2007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c>
          <w:tcPr>
            <w:tcW w:w="227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Схема территориального планирования Варненского муниципального района Челябинской области</w:t>
            </w:r>
          </w:p>
        </w:tc>
      </w:tr>
      <w:tr>
        <w:trPr>
          <w:trHeight w:val="20" w:hRule="atLeast"/>
        </w:trPr>
        <w:tc>
          <w:tcPr>
            <w:tcW w:w="429" w:type="dxa"/>
            <w:tcBorders>
              <w:top w:val="single" w:sz="4" w:space="0" w:color="000000"/>
              <w:left w:val="single" w:sz="4" w:space="0" w:color="000000"/>
              <w:bottom w:val="single" w:sz="4" w:space="0" w:color="000000"/>
              <w:right w:val="single" w:sz="4" w:space="0" w:color="000000"/>
            </w:tcBorders>
          </w:tcPr>
          <w:p>
            <w:pPr>
              <w:pStyle w:val="Normal"/>
              <w:spacing w:lineRule="auto" w:line="240"/>
              <w:ind w:left="-51" w:right="-109" w:hanging="6"/>
              <w:jc w:val="center"/>
              <w:rPr>
                <w:rFonts w:eastAsia="Times New Roman"/>
                <w:iCs/>
                <w:color w:val="000000"/>
                <w:sz w:val="20"/>
                <w:szCs w:val="20"/>
                <w:lang w:eastAsia="ru-RU"/>
              </w:rPr>
            </w:pPr>
            <w:r>
              <w:rPr>
                <w:rFonts w:eastAsia="Times New Roman"/>
                <w:iCs/>
                <w:color w:val="000000"/>
                <w:sz w:val="20"/>
                <w:szCs w:val="20"/>
                <w:lang w:eastAsia="ru-RU"/>
              </w:rPr>
              <w:t>2</w:t>
            </w:r>
          </w:p>
        </w:tc>
        <w:tc>
          <w:tcPr>
            <w:tcW w:w="71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ОВ.1.2</w:t>
            </w:r>
          </w:p>
        </w:tc>
        <w:tc>
          <w:tcPr>
            <w:tcW w:w="240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Очистные сооружения (КОС)</w:t>
            </w:r>
          </w:p>
        </w:tc>
        <w:tc>
          <w:tcPr>
            <w:tcW w:w="42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С</w:t>
            </w:r>
          </w:p>
        </w:tc>
        <w:tc>
          <w:tcPr>
            <w:tcW w:w="155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п. Караоба</w:t>
            </w:r>
          </w:p>
        </w:tc>
        <w:tc>
          <w:tcPr>
            <w:tcW w:w="16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Количество — 1 единица,</w:t>
            </w:r>
          </w:p>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Производительность — 0,035 тыс. м</w:t>
            </w:r>
            <w:r>
              <w:rPr>
                <w:rFonts w:eastAsia="Times New Roman"/>
                <w:color w:val="000000"/>
                <w:sz w:val="20"/>
                <w:szCs w:val="20"/>
                <w:vertAlign w:val="superscript"/>
                <w:lang w:eastAsia="ru-RU"/>
              </w:rPr>
              <w:t>3</w:t>
            </w:r>
            <w:r>
              <w:rPr>
                <w:rFonts w:eastAsia="Times New Roman"/>
                <w:color w:val="000000"/>
                <w:sz w:val="20"/>
                <w:szCs w:val="20"/>
                <w:lang w:eastAsia="ru-RU"/>
              </w:rPr>
              <w:t>/сут</w:t>
            </w:r>
          </w:p>
        </w:tc>
        <w:tc>
          <w:tcPr>
            <w:tcW w:w="16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Обеспечение приема и очистки сточных вод до нормативных показателей</w:t>
            </w:r>
          </w:p>
        </w:tc>
        <w:tc>
          <w:tcPr>
            <w:tcW w:w="68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до 2035 года</w:t>
            </w:r>
          </w:p>
        </w:tc>
        <w:tc>
          <w:tcPr>
            <w:tcW w:w="268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4"/>
                <w:lang w:eastAsia="ru-RU"/>
              </w:rPr>
            </w:pPr>
            <w:r>
              <w:rPr>
                <w:rFonts w:eastAsia="Times New Roman"/>
                <w:color w:val="000000"/>
                <w:sz w:val="20"/>
                <w:szCs w:val="24"/>
                <w:lang w:eastAsia="ru-RU"/>
              </w:rPr>
              <w:t>Размер санитарно-защитной зоны принимается в соответствии с постановлением Главного государственного санитарного врача Российской Федерации от 25.09.2007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c>
          <w:tcPr>
            <w:tcW w:w="227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Схема территориального планирования Варненского муниципального района Челябинской области</w:t>
            </w:r>
          </w:p>
        </w:tc>
      </w:tr>
      <w:tr>
        <w:trPr>
          <w:trHeight w:val="20" w:hRule="atLeast"/>
        </w:trPr>
        <w:tc>
          <w:tcPr>
            <w:tcW w:w="429" w:type="dxa"/>
            <w:tcBorders>
              <w:top w:val="single" w:sz="4" w:space="0" w:color="000000"/>
              <w:left w:val="single" w:sz="4" w:space="0" w:color="000000"/>
              <w:bottom w:val="single" w:sz="4" w:space="0" w:color="000000"/>
              <w:right w:val="single" w:sz="4" w:space="0" w:color="000000"/>
            </w:tcBorders>
          </w:tcPr>
          <w:p>
            <w:pPr>
              <w:pStyle w:val="Normal"/>
              <w:spacing w:lineRule="auto" w:line="240"/>
              <w:ind w:left="-51" w:right="-109" w:hanging="6"/>
              <w:jc w:val="center"/>
              <w:rPr>
                <w:rFonts w:eastAsia="Times New Roman"/>
                <w:iCs/>
                <w:color w:val="000000"/>
                <w:sz w:val="20"/>
                <w:szCs w:val="20"/>
                <w:lang w:eastAsia="ru-RU"/>
              </w:rPr>
            </w:pPr>
            <w:r>
              <w:rPr>
                <w:rFonts w:eastAsia="Times New Roman"/>
                <w:iCs/>
                <w:color w:val="000000"/>
                <w:sz w:val="20"/>
                <w:szCs w:val="20"/>
                <w:lang w:eastAsia="ru-RU"/>
              </w:rPr>
              <w:t>3</w:t>
            </w:r>
          </w:p>
        </w:tc>
        <w:tc>
          <w:tcPr>
            <w:tcW w:w="71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ОВ.1.3</w:t>
            </w:r>
          </w:p>
        </w:tc>
        <w:tc>
          <w:tcPr>
            <w:tcW w:w="240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Очистные сооружения (КОС)</w:t>
            </w:r>
          </w:p>
        </w:tc>
        <w:tc>
          <w:tcPr>
            <w:tcW w:w="42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С</w:t>
            </w:r>
          </w:p>
        </w:tc>
        <w:tc>
          <w:tcPr>
            <w:tcW w:w="155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п. Комсомольский</w:t>
            </w:r>
          </w:p>
        </w:tc>
        <w:tc>
          <w:tcPr>
            <w:tcW w:w="16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Количество — 1 единица,</w:t>
            </w:r>
          </w:p>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Производительность — 0,050 тыс. м</w:t>
            </w:r>
            <w:r>
              <w:rPr>
                <w:rFonts w:eastAsia="Times New Roman"/>
                <w:color w:val="000000"/>
                <w:sz w:val="20"/>
                <w:szCs w:val="20"/>
                <w:vertAlign w:val="superscript"/>
                <w:lang w:eastAsia="ru-RU"/>
              </w:rPr>
              <w:t>3</w:t>
            </w:r>
            <w:r>
              <w:rPr>
                <w:rFonts w:eastAsia="Times New Roman"/>
                <w:color w:val="000000"/>
                <w:sz w:val="20"/>
                <w:szCs w:val="20"/>
                <w:lang w:eastAsia="ru-RU"/>
              </w:rPr>
              <w:t>/сут</w:t>
            </w:r>
          </w:p>
        </w:tc>
        <w:tc>
          <w:tcPr>
            <w:tcW w:w="16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Обеспечение приема и очистки сточных вод до нормативных показателей</w:t>
            </w:r>
          </w:p>
        </w:tc>
        <w:tc>
          <w:tcPr>
            <w:tcW w:w="68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до 2035 года</w:t>
            </w:r>
          </w:p>
        </w:tc>
        <w:tc>
          <w:tcPr>
            <w:tcW w:w="268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4"/>
                <w:lang w:eastAsia="ru-RU"/>
              </w:rPr>
            </w:pPr>
            <w:r>
              <w:rPr>
                <w:rFonts w:eastAsia="Times New Roman"/>
                <w:color w:val="000000"/>
                <w:sz w:val="20"/>
                <w:szCs w:val="24"/>
                <w:lang w:eastAsia="ru-RU"/>
              </w:rPr>
              <w:t>Размер санитарно-защитной зоны принимается в соответствии с постановлением Главного государственного санитарного врача Российской Федерации от 25.09.2007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c>
          <w:tcPr>
            <w:tcW w:w="227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Схема территориального планирования Варненского муниципального района Челябинской области</w:t>
            </w:r>
          </w:p>
        </w:tc>
      </w:tr>
      <w:tr>
        <w:trPr>
          <w:trHeight w:val="20" w:hRule="atLeast"/>
        </w:trPr>
        <w:tc>
          <w:tcPr>
            <w:tcW w:w="429" w:type="dxa"/>
            <w:tcBorders>
              <w:top w:val="single" w:sz="4" w:space="0" w:color="000000"/>
              <w:left w:val="single" w:sz="4" w:space="0" w:color="000000"/>
              <w:bottom w:val="single" w:sz="4" w:space="0" w:color="000000"/>
              <w:right w:val="single" w:sz="4" w:space="0" w:color="000000"/>
            </w:tcBorders>
          </w:tcPr>
          <w:p>
            <w:pPr>
              <w:pStyle w:val="Normal"/>
              <w:spacing w:lineRule="auto" w:line="240"/>
              <w:ind w:left="-51" w:right="-109" w:hanging="6"/>
              <w:jc w:val="center"/>
              <w:rPr>
                <w:rFonts w:eastAsia="Times New Roman"/>
                <w:iCs/>
                <w:color w:val="000000"/>
                <w:sz w:val="20"/>
                <w:szCs w:val="20"/>
                <w:lang w:eastAsia="ru-RU"/>
              </w:rPr>
            </w:pPr>
            <w:r>
              <w:rPr>
                <w:rFonts w:eastAsia="Times New Roman"/>
                <w:iCs/>
                <w:color w:val="000000"/>
                <w:sz w:val="20"/>
                <w:szCs w:val="20"/>
                <w:lang w:eastAsia="ru-RU"/>
              </w:rPr>
              <w:t>4</w:t>
            </w:r>
          </w:p>
        </w:tc>
        <w:tc>
          <w:tcPr>
            <w:tcW w:w="71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ОВ.1.4</w:t>
            </w:r>
          </w:p>
        </w:tc>
        <w:tc>
          <w:tcPr>
            <w:tcW w:w="240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Очистные сооружения (КОС)</w:t>
            </w:r>
          </w:p>
        </w:tc>
        <w:tc>
          <w:tcPr>
            <w:tcW w:w="42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С</w:t>
            </w:r>
          </w:p>
        </w:tc>
        <w:tc>
          <w:tcPr>
            <w:tcW w:w="155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п. Красноармейский</w:t>
            </w:r>
          </w:p>
        </w:tc>
        <w:tc>
          <w:tcPr>
            <w:tcW w:w="16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Количество — 1 единица,</w:t>
            </w:r>
          </w:p>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Производительность — 0,055 тыс. м</w:t>
            </w:r>
            <w:r>
              <w:rPr>
                <w:rFonts w:eastAsia="Times New Roman"/>
                <w:color w:val="000000"/>
                <w:sz w:val="20"/>
                <w:szCs w:val="20"/>
                <w:vertAlign w:val="superscript"/>
                <w:lang w:eastAsia="ru-RU"/>
              </w:rPr>
              <w:t>3</w:t>
            </w:r>
            <w:r>
              <w:rPr>
                <w:rFonts w:eastAsia="Times New Roman"/>
                <w:color w:val="000000"/>
                <w:sz w:val="20"/>
                <w:szCs w:val="20"/>
                <w:lang w:eastAsia="ru-RU"/>
              </w:rPr>
              <w:t>/сут</w:t>
            </w:r>
          </w:p>
        </w:tc>
        <w:tc>
          <w:tcPr>
            <w:tcW w:w="16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Обеспечение приема и очистки сточных вод до нормативных показателей</w:t>
            </w:r>
          </w:p>
        </w:tc>
        <w:tc>
          <w:tcPr>
            <w:tcW w:w="68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до 2035 года</w:t>
            </w:r>
          </w:p>
        </w:tc>
        <w:tc>
          <w:tcPr>
            <w:tcW w:w="268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4"/>
                <w:lang w:eastAsia="ru-RU"/>
              </w:rPr>
            </w:pPr>
            <w:r>
              <w:rPr>
                <w:rFonts w:eastAsia="Times New Roman"/>
                <w:color w:val="000000"/>
                <w:sz w:val="20"/>
                <w:szCs w:val="24"/>
                <w:lang w:eastAsia="ru-RU"/>
              </w:rPr>
              <w:t>Размер санитарно-защитной зоны принимается в соответствии с постановлением Главного государственного санитарного врача Российской Федерации от 25.09.2007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c>
          <w:tcPr>
            <w:tcW w:w="227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Схема территориального планирования Варненского муниципального района Челябинской области</w:t>
            </w:r>
          </w:p>
        </w:tc>
      </w:tr>
      <w:tr>
        <w:trPr>
          <w:trHeight w:val="20" w:hRule="atLeast"/>
        </w:trPr>
        <w:tc>
          <w:tcPr>
            <w:tcW w:w="14568" w:type="dxa"/>
            <w:gridSpan w:val="10"/>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Сети водоотведения</w:t>
            </w:r>
          </w:p>
        </w:tc>
      </w:tr>
      <w:tr>
        <w:trPr>
          <w:trHeight w:val="20" w:hRule="atLeast"/>
        </w:trPr>
        <w:tc>
          <w:tcPr>
            <w:tcW w:w="429" w:type="dxa"/>
            <w:tcBorders>
              <w:top w:val="single" w:sz="4" w:space="0" w:color="000000"/>
              <w:left w:val="single" w:sz="4" w:space="0" w:color="000000"/>
              <w:bottom w:val="single" w:sz="4" w:space="0" w:color="000000"/>
              <w:right w:val="single" w:sz="4" w:space="0" w:color="000000"/>
            </w:tcBorders>
          </w:tcPr>
          <w:p>
            <w:pPr>
              <w:pStyle w:val="Normal"/>
              <w:spacing w:lineRule="auto" w:line="240"/>
              <w:ind w:left="-51" w:right="-109" w:hanging="6"/>
              <w:jc w:val="center"/>
              <w:rPr>
                <w:rFonts w:eastAsia="Times New Roman"/>
                <w:iCs/>
                <w:color w:val="000000"/>
                <w:sz w:val="20"/>
                <w:szCs w:val="20"/>
                <w:lang w:eastAsia="ru-RU"/>
              </w:rPr>
            </w:pPr>
            <w:r>
              <w:rPr>
                <w:rFonts w:eastAsia="Times New Roman"/>
                <w:iCs/>
                <w:color w:val="000000"/>
                <w:sz w:val="20"/>
                <w:szCs w:val="20"/>
                <w:lang w:eastAsia="ru-RU"/>
              </w:rPr>
              <w:t>1</w:t>
            </w:r>
          </w:p>
        </w:tc>
        <w:tc>
          <w:tcPr>
            <w:tcW w:w="71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ВО.1.1</w:t>
            </w:r>
          </w:p>
        </w:tc>
        <w:tc>
          <w:tcPr>
            <w:tcW w:w="240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Канализация самотечная</w:t>
            </w:r>
          </w:p>
        </w:tc>
        <w:tc>
          <w:tcPr>
            <w:tcW w:w="42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С</w:t>
            </w:r>
          </w:p>
        </w:tc>
        <w:tc>
          <w:tcPr>
            <w:tcW w:w="155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с. Катенино</w:t>
            </w:r>
          </w:p>
        </w:tc>
        <w:tc>
          <w:tcPr>
            <w:tcW w:w="16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Протяженность – 1,2 км</w:t>
            </w:r>
          </w:p>
        </w:tc>
        <w:tc>
          <w:tcPr>
            <w:tcW w:w="16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Обеспечение транспортировки хозяйственно-бытовых сточных вод на очистные сооружения</w:t>
            </w:r>
          </w:p>
        </w:tc>
        <w:tc>
          <w:tcPr>
            <w:tcW w:w="68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до 2035 года</w:t>
            </w:r>
          </w:p>
        </w:tc>
        <w:tc>
          <w:tcPr>
            <w:tcW w:w="268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4"/>
                <w:lang w:eastAsia="ru-RU"/>
              </w:rPr>
            </w:pPr>
            <w:r>
              <w:rPr>
                <w:rFonts w:eastAsia="Times New Roman"/>
                <w:color w:val="000000"/>
                <w:sz w:val="20"/>
                <w:szCs w:val="24"/>
                <w:lang w:eastAsia="ru-RU"/>
              </w:rPr>
              <w:t>-</w:t>
            </w:r>
          </w:p>
        </w:tc>
        <w:tc>
          <w:tcPr>
            <w:tcW w:w="227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Схема территориального планирования Варненского муниципального района Челябинской области</w:t>
            </w:r>
          </w:p>
        </w:tc>
      </w:tr>
      <w:tr>
        <w:trPr>
          <w:trHeight w:val="20" w:hRule="atLeast"/>
        </w:trPr>
        <w:tc>
          <w:tcPr>
            <w:tcW w:w="429" w:type="dxa"/>
            <w:tcBorders>
              <w:top w:val="single" w:sz="4" w:space="0" w:color="000000"/>
              <w:left w:val="single" w:sz="4" w:space="0" w:color="000000"/>
              <w:bottom w:val="single" w:sz="4" w:space="0" w:color="000000"/>
              <w:right w:val="single" w:sz="4" w:space="0" w:color="000000"/>
            </w:tcBorders>
          </w:tcPr>
          <w:p>
            <w:pPr>
              <w:pStyle w:val="Normal"/>
              <w:spacing w:lineRule="auto" w:line="240"/>
              <w:ind w:left="-51" w:right="-109" w:hanging="6"/>
              <w:jc w:val="center"/>
              <w:rPr>
                <w:rFonts w:eastAsia="Times New Roman"/>
                <w:iCs/>
                <w:color w:val="000000"/>
                <w:sz w:val="20"/>
                <w:szCs w:val="20"/>
                <w:lang w:eastAsia="ru-RU"/>
              </w:rPr>
            </w:pPr>
            <w:r>
              <w:rPr>
                <w:rFonts w:eastAsia="Times New Roman"/>
                <w:iCs/>
                <w:color w:val="000000"/>
                <w:sz w:val="20"/>
                <w:szCs w:val="20"/>
                <w:lang w:eastAsia="ru-RU"/>
              </w:rPr>
              <w:t>2</w:t>
            </w:r>
          </w:p>
        </w:tc>
        <w:tc>
          <w:tcPr>
            <w:tcW w:w="71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ВО.1.2</w:t>
            </w:r>
          </w:p>
        </w:tc>
        <w:tc>
          <w:tcPr>
            <w:tcW w:w="240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Канализация самотечная</w:t>
            </w:r>
          </w:p>
        </w:tc>
        <w:tc>
          <w:tcPr>
            <w:tcW w:w="42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С</w:t>
            </w:r>
          </w:p>
        </w:tc>
        <w:tc>
          <w:tcPr>
            <w:tcW w:w="155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п. Караоба</w:t>
            </w:r>
          </w:p>
        </w:tc>
        <w:tc>
          <w:tcPr>
            <w:tcW w:w="16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Протяженность – 0,7 км</w:t>
            </w:r>
          </w:p>
        </w:tc>
        <w:tc>
          <w:tcPr>
            <w:tcW w:w="16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Обеспечение транспортировки хозяйственно-бытовых сточных вод на очистные сооружения</w:t>
            </w:r>
          </w:p>
        </w:tc>
        <w:tc>
          <w:tcPr>
            <w:tcW w:w="68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до 2035 года</w:t>
            </w:r>
          </w:p>
        </w:tc>
        <w:tc>
          <w:tcPr>
            <w:tcW w:w="268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4"/>
                <w:lang w:eastAsia="ru-RU"/>
              </w:rPr>
            </w:pPr>
            <w:r>
              <w:rPr>
                <w:rFonts w:eastAsia="Times New Roman"/>
                <w:color w:val="000000"/>
                <w:sz w:val="20"/>
                <w:szCs w:val="24"/>
                <w:lang w:eastAsia="ru-RU"/>
              </w:rPr>
              <w:t>-</w:t>
            </w:r>
          </w:p>
        </w:tc>
        <w:tc>
          <w:tcPr>
            <w:tcW w:w="227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Схема территориального планирования Варненского муниципального района Челябинской области</w:t>
            </w:r>
          </w:p>
        </w:tc>
      </w:tr>
      <w:tr>
        <w:trPr>
          <w:trHeight w:val="20" w:hRule="atLeast"/>
        </w:trPr>
        <w:tc>
          <w:tcPr>
            <w:tcW w:w="429" w:type="dxa"/>
            <w:tcBorders>
              <w:top w:val="single" w:sz="4" w:space="0" w:color="000000"/>
              <w:left w:val="single" w:sz="4" w:space="0" w:color="000000"/>
              <w:bottom w:val="single" w:sz="4" w:space="0" w:color="000000"/>
              <w:right w:val="single" w:sz="4" w:space="0" w:color="000000"/>
            </w:tcBorders>
          </w:tcPr>
          <w:p>
            <w:pPr>
              <w:pStyle w:val="Normal"/>
              <w:spacing w:lineRule="auto" w:line="240"/>
              <w:ind w:left="-51" w:right="-109" w:hanging="6"/>
              <w:jc w:val="center"/>
              <w:rPr>
                <w:rFonts w:eastAsia="Times New Roman"/>
                <w:iCs/>
                <w:color w:val="000000"/>
                <w:sz w:val="20"/>
                <w:szCs w:val="20"/>
                <w:lang w:eastAsia="ru-RU"/>
              </w:rPr>
            </w:pPr>
            <w:r>
              <w:rPr>
                <w:rFonts w:eastAsia="Times New Roman"/>
                <w:iCs/>
                <w:color w:val="000000"/>
                <w:sz w:val="20"/>
                <w:szCs w:val="20"/>
                <w:lang w:eastAsia="ru-RU"/>
              </w:rPr>
              <w:t>3</w:t>
            </w:r>
          </w:p>
        </w:tc>
        <w:tc>
          <w:tcPr>
            <w:tcW w:w="71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ВО.1.3</w:t>
            </w:r>
          </w:p>
        </w:tc>
        <w:tc>
          <w:tcPr>
            <w:tcW w:w="240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Канализация самотечная</w:t>
            </w:r>
          </w:p>
        </w:tc>
        <w:tc>
          <w:tcPr>
            <w:tcW w:w="42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С</w:t>
            </w:r>
          </w:p>
        </w:tc>
        <w:tc>
          <w:tcPr>
            <w:tcW w:w="155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п. Комсомольский</w:t>
            </w:r>
          </w:p>
        </w:tc>
        <w:tc>
          <w:tcPr>
            <w:tcW w:w="16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Протяженность – 0,6 км</w:t>
            </w:r>
          </w:p>
        </w:tc>
        <w:tc>
          <w:tcPr>
            <w:tcW w:w="16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Обеспечение транспортировки хозяйственно-бытовых сточных вод на очистные сооружения</w:t>
            </w:r>
          </w:p>
        </w:tc>
        <w:tc>
          <w:tcPr>
            <w:tcW w:w="68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до 2035 года</w:t>
            </w:r>
          </w:p>
        </w:tc>
        <w:tc>
          <w:tcPr>
            <w:tcW w:w="268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4"/>
                <w:lang w:eastAsia="ru-RU"/>
              </w:rPr>
            </w:pPr>
            <w:r>
              <w:rPr>
                <w:rFonts w:eastAsia="Times New Roman"/>
                <w:color w:val="000000"/>
                <w:sz w:val="20"/>
                <w:szCs w:val="24"/>
                <w:lang w:eastAsia="ru-RU"/>
              </w:rPr>
              <w:t>-</w:t>
            </w:r>
          </w:p>
        </w:tc>
        <w:tc>
          <w:tcPr>
            <w:tcW w:w="227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Схема территориального планирования Варненского муниципального района Челябинской области</w:t>
            </w:r>
          </w:p>
        </w:tc>
      </w:tr>
      <w:tr>
        <w:trPr>
          <w:trHeight w:val="20" w:hRule="atLeast"/>
        </w:trPr>
        <w:tc>
          <w:tcPr>
            <w:tcW w:w="429" w:type="dxa"/>
            <w:tcBorders>
              <w:top w:val="single" w:sz="4" w:space="0" w:color="000000"/>
              <w:left w:val="single" w:sz="4" w:space="0" w:color="000000"/>
              <w:bottom w:val="single" w:sz="4" w:space="0" w:color="000000"/>
              <w:right w:val="single" w:sz="4" w:space="0" w:color="000000"/>
            </w:tcBorders>
          </w:tcPr>
          <w:p>
            <w:pPr>
              <w:pStyle w:val="Normal"/>
              <w:spacing w:lineRule="auto" w:line="240"/>
              <w:ind w:left="-51" w:right="-109" w:hanging="6"/>
              <w:jc w:val="center"/>
              <w:rPr>
                <w:rFonts w:eastAsia="Times New Roman"/>
                <w:iCs/>
                <w:color w:val="000000"/>
                <w:sz w:val="20"/>
                <w:szCs w:val="20"/>
                <w:lang w:eastAsia="ru-RU"/>
              </w:rPr>
            </w:pPr>
            <w:r>
              <w:rPr>
                <w:rFonts w:eastAsia="Times New Roman"/>
                <w:iCs/>
                <w:color w:val="000000"/>
                <w:sz w:val="20"/>
                <w:szCs w:val="20"/>
                <w:lang w:eastAsia="ru-RU"/>
              </w:rPr>
              <w:t>4</w:t>
            </w:r>
          </w:p>
        </w:tc>
        <w:tc>
          <w:tcPr>
            <w:tcW w:w="71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ВО.1.4</w:t>
            </w:r>
          </w:p>
        </w:tc>
        <w:tc>
          <w:tcPr>
            <w:tcW w:w="240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Канализация самотечная</w:t>
            </w:r>
          </w:p>
        </w:tc>
        <w:tc>
          <w:tcPr>
            <w:tcW w:w="42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С</w:t>
            </w:r>
          </w:p>
        </w:tc>
        <w:tc>
          <w:tcPr>
            <w:tcW w:w="155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п. Красноармейский</w:t>
            </w:r>
          </w:p>
        </w:tc>
        <w:tc>
          <w:tcPr>
            <w:tcW w:w="16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Протяженность – 0,7 км</w:t>
            </w:r>
          </w:p>
        </w:tc>
        <w:tc>
          <w:tcPr>
            <w:tcW w:w="169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Обеспечение транспортировки хозяйственно-бытовых сточных вод на очистные сооружения</w:t>
            </w:r>
          </w:p>
        </w:tc>
        <w:tc>
          <w:tcPr>
            <w:tcW w:w="68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sz w:val="20"/>
                <w:szCs w:val="20"/>
                <w:lang w:eastAsia="ru-RU"/>
              </w:rPr>
            </w:pPr>
            <w:r>
              <w:rPr>
                <w:rFonts w:eastAsia="Times New Roman"/>
                <w:sz w:val="20"/>
                <w:szCs w:val="20"/>
                <w:lang w:eastAsia="ru-RU"/>
              </w:rPr>
              <w:t>до 2035 года</w:t>
            </w:r>
          </w:p>
        </w:tc>
        <w:tc>
          <w:tcPr>
            <w:tcW w:w="268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color w:val="000000"/>
                <w:sz w:val="20"/>
                <w:szCs w:val="24"/>
                <w:lang w:eastAsia="ru-RU"/>
              </w:rPr>
            </w:pPr>
            <w:r>
              <w:rPr>
                <w:rFonts w:eastAsia="Times New Roman"/>
                <w:color w:val="000000"/>
                <w:sz w:val="20"/>
                <w:szCs w:val="24"/>
                <w:lang w:eastAsia="ru-RU"/>
              </w:rPr>
              <w:t>-</w:t>
            </w:r>
          </w:p>
        </w:tc>
        <w:tc>
          <w:tcPr>
            <w:tcW w:w="227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Times New Roman"/>
                <w:sz w:val="20"/>
                <w:szCs w:val="20"/>
                <w:lang w:eastAsia="ru-RU"/>
              </w:rPr>
            </w:pPr>
            <w:r>
              <w:rPr>
                <w:rFonts w:eastAsia="Times New Roman"/>
                <w:sz w:val="20"/>
                <w:szCs w:val="20"/>
                <w:lang w:eastAsia="ru-RU"/>
              </w:rPr>
              <w:t>Схема территориального планирования Варненского муниципального района Челябинской области</w:t>
            </w:r>
          </w:p>
        </w:tc>
      </w:tr>
    </w:tbl>
    <w:p>
      <w:pPr>
        <w:pStyle w:val="Normal"/>
        <w:spacing w:lineRule="auto" w:line="240"/>
        <w:jc w:val="left"/>
        <w:rPr>
          <w:rFonts w:eastAsia="Times New Roman"/>
          <w:sz w:val="20"/>
          <w:szCs w:val="20"/>
          <w:lang w:eastAsia="ru-RU"/>
        </w:rPr>
      </w:pPr>
      <w:r>
        <w:rPr>
          <w:rFonts w:eastAsia="Times New Roman"/>
          <w:sz w:val="20"/>
          <w:szCs w:val="20"/>
          <w:lang w:eastAsia="ru-RU"/>
        </w:rPr>
        <w:t>Примечания:</w:t>
      </w:r>
    </w:p>
    <w:p>
      <w:pPr>
        <w:pStyle w:val="Normal"/>
        <w:spacing w:lineRule="auto" w:line="240"/>
        <w:jc w:val="left"/>
        <w:rPr>
          <w:rFonts w:eastAsia="Times New Roman"/>
          <w:sz w:val="20"/>
          <w:szCs w:val="20"/>
          <w:lang w:eastAsia="ru-RU"/>
        </w:rPr>
      </w:pPr>
      <w:r>
        <w:rPr>
          <w:rFonts w:eastAsia="Times New Roman"/>
          <w:sz w:val="20"/>
          <w:szCs w:val="20"/>
          <w:lang w:eastAsia="ru-RU"/>
        </w:rPr>
        <w:t>* С — строительство;</w:t>
      </w:r>
    </w:p>
    <w:p>
      <w:pPr>
        <w:sectPr>
          <w:headerReference w:type="default" r:id="rId102"/>
          <w:footerReference w:type="default" r:id="rId103"/>
          <w:type w:val="nextPage"/>
          <w:pgSz w:orient="landscape" w:w="16838" w:h="11906"/>
          <w:pgMar w:left="1134" w:right="1134" w:header="567" w:top="1418" w:footer="567" w:bottom="624" w:gutter="0"/>
          <w:pgNumType w:fmt="decimal"/>
          <w:formProt w:val="false"/>
          <w:textDirection w:val="lrTb"/>
          <w:docGrid w:type="default" w:linePitch="100" w:charSpace="0"/>
        </w:sectPr>
        <w:pStyle w:val="Normal"/>
        <w:spacing w:lineRule="auto" w:line="240"/>
        <w:jc w:val="left"/>
        <w:rPr>
          <w:rFonts w:eastAsia="Times New Roman"/>
          <w:sz w:val="20"/>
          <w:szCs w:val="20"/>
          <w:lang w:eastAsia="ru-RU"/>
        </w:rPr>
      </w:pPr>
      <w:r>
        <w:rPr>
          <w:rFonts w:eastAsia="Times New Roman"/>
          <w:sz w:val="20"/>
          <w:szCs w:val="20"/>
          <w:lang w:eastAsia="ru-RU"/>
        </w:rPr>
        <w:t>** Мощности и характеристики объектов водоотведения необходимо уточнить при рабочем проектировании.</w:t>
      </w:r>
    </w:p>
    <w:p>
      <w:pPr>
        <w:pStyle w:val="Normal"/>
        <w:widowControl w:val="false"/>
        <w:spacing w:lineRule="auto" w:line="276"/>
        <w:ind w:firstLine="709"/>
        <w:jc w:val="left"/>
        <w:rPr>
          <w:rFonts w:eastAsia="Times New Roman"/>
          <w:b/>
          <w:b/>
          <w:szCs w:val="24"/>
          <w:lang w:eastAsia="ru-RU"/>
        </w:rPr>
      </w:pPr>
      <w:r>
        <w:rPr>
          <w:rFonts w:eastAsia="Times New Roman"/>
          <w:b/>
          <w:szCs w:val="24"/>
          <w:lang w:eastAsia="ru-RU"/>
        </w:rPr>
        <w:t>Расчет водоотведения</w:t>
      </w:r>
    </w:p>
    <w:p>
      <w:pPr>
        <w:pStyle w:val="Normal"/>
        <w:widowControl w:val="false"/>
        <w:tabs>
          <w:tab w:val="clear" w:pos="708"/>
          <w:tab w:val="left" w:pos="1276" w:leader="none"/>
        </w:tabs>
        <w:spacing w:lineRule="auto" w:line="276"/>
        <w:ind w:firstLine="709"/>
        <w:rPr>
          <w:rFonts w:eastAsia="Times New Roman"/>
          <w:szCs w:val="24"/>
          <w:lang w:eastAsia="ru-RU"/>
        </w:rPr>
      </w:pPr>
      <w:r>
        <w:rPr>
          <w:rFonts w:eastAsia="Times New Roman"/>
          <w:szCs w:val="24"/>
          <w:lang w:eastAsia="ru-RU"/>
        </w:rPr>
        <w:t>Удельные среднесуточные нормы водоотведения на первую очередь и на расчетный срок соответствуют принятым нормам водопотребления, указанным в таблице 1.8.3.6 Суточный расход на водоотведение принимается равным суточному расходу водопотребления без учета расхода воды на полив в соответствии с СП 32.13330.2018 «Свод правил. Канализация. Наружные сети и сооружения. СНиП 2.04.03-85».</w:t>
      </w:r>
    </w:p>
    <w:p>
      <w:pPr>
        <w:sectPr>
          <w:headerReference w:type="default" r:id="rId104"/>
          <w:footerReference w:type="default" r:id="rId105"/>
          <w:type w:val="nextPage"/>
          <w:pgSz w:w="11906" w:h="16838"/>
          <w:pgMar w:left="1418" w:right="567" w:header="567" w:top="1134" w:footer="567" w:bottom="1134" w:gutter="0"/>
          <w:pgNumType w:fmt="decimal"/>
          <w:formProt w:val="false"/>
          <w:textDirection w:val="lrTb"/>
          <w:docGrid w:type="default" w:linePitch="100" w:charSpace="0"/>
        </w:sectPr>
        <w:pStyle w:val="Normal"/>
        <w:widowControl w:val="false"/>
        <w:tabs>
          <w:tab w:val="clear" w:pos="708"/>
          <w:tab w:val="left" w:pos="1276" w:leader="none"/>
        </w:tabs>
        <w:spacing w:lineRule="auto" w:line="276"/>
        <w:ind w:firstLine="709"/>
        <w:jc w:val="left"/>
        <w:rPr>
          <w:rFonts w:eastAsia="Times New Roman"/>
          <w:szCs w:val="24"/>
          <w:lang w:eastAsia="ru-RU"/>
        </w:rPr>
      </w:pPr>
      <w:r>
        <w:rPr>
          <w:rFonts w:eastAsia="Times New Roman"/>
          <w:szCs w:val="24"/>
          <w:lang w:eastAsia="ru-RU"/>
        </w:rPr>
        <w:t>Расчет объемов водоотведения представлен в таблице 1.8.3.6.</w:t>
      </w:r>
    </w:p>
    <w:p>
      <w:pPr>
        <w:pStyle w:val="Normal"/>
        <w:spacing w:lineRule="auto" w:line="276"/>
        <w:ind w:firstLine="709"/>
        <w:jc w:val="right"/>
        <w:rPr>
          <w:rFonts w:eastAsia="Times New Roman"/>
          <w:iCs/>
          <w:color w:val="000000"/>
          <w:szCs w:val="24"/>
          <w:lang w:eastAsia="ru-RU"/>
        </w:rPr>
      </w:pPr>
      <w:r>
        <w:rPr>
          <w:rFonts w:eastAsia="Times New Roman"/>
          <w:iCs/>
          <w:color w:val="000000"/>
          <w:szCs w:val="24"/>
          <w:lang w:eastAsia="ru-RU"/>
        </w:rPr>
        <w:t xml:space="preserve">Таблица </w:t>
      </w:r>
      <w:r>
        <w:rPr>
          <w:rFonts w:eastAsia="Times New Roman"/>
          <w:szCs w:val="24"/>
          <w:lang w:eastAsia="ru-RU"/>
        </w:rPr>
        <w:t>1.8.3.6</w:t>
      </w:r>
    </w:p>
    <w:p>
      <w:pPr>
        <w:pStyle w:val="Normal"/>
        <w:spacing w:lineRule="auto" w:line="276"/>
        <w:jc w:val="center"/>
        <w:rPr>
          <w:rFonts w:eastAsia="Times New Roman"/>
          <w:szCs w:val="24"/>
          <w:lang w:eastAsia="ru-RU"/>
        </w:rPr>
      </w:pPr>
      <w:r>
        <w:rPr>
          <w:rFonts w:eastAsia="Times New Roman"/>
          <w:iCs/>
          <w:color w:val="000000"/>
          <w:szCs w:val="24"/>
          <w:lang w:eastAsia="ru-RU"/>
        </w:rPr>
        <w:t xml:space="preserve">Расчет объемов водоотведения </w:t>
      </w:r>
    </w:p>
    <w:tbl>
      <w:tblPr>
        <w:tblStyle w:val="2911"/>
        <w:tblW w:w="5000" w:type="pct"/>
        <w:jc w:val="left"/>
        <w:tblInd w:w="-108" w:type="dxa"/>
        <w:tblCellMar>
          <w:top w:w="0" w:type="dxa"/>
          <w:left w:w="108" w:type="dxa"/>
          <w:bottom w:w="0" w:type="dxa"/>
          <w:right w:w="108" w:type="dxa"/>
        </w:tblCellMar>
        <w:tblLook w:firstRow="1" w:noVBand="1" w:lastRow="0" w:firstColumn="1" w:lastColumn="0" w:noHBand="0" w:val="04a0"/>
      </w:tblPr>
      <w:tblGrid>
        <w:gridCol w:w="464"/>
        <w:gridCol w:w="76"/>
        <w:gridCol w:w="2006"/>
        <w:gridCol w:w="3"/>
        <w:gridCol w:w="850"/>
        <w:gridCol w:w="3"/>
        <w:gridCol w:w="849"/>
        <w:gridCol w:w="1"/>
        <w:gridCol w:w="851"/>
        <w:gridCol w:w="853"/>
        <w:gridCol w:w="1137"/>
        <w:gridCol w:w="20"/>
        <w:gridCol w:w="1114"/>
        <w:gridCol w:w="989"/>
        <w:gridCol w:w="5"/>
        <w:gridCol w:w="989"/>
        <w:gridCol w:w="2"/>
        <w:gridCol w:w="992"/>
        <w:gridCol w:w="1136"/>
        <w:gridCol w:w="1166"/>
        <w:gridCol w:w="14"/>
        <w:gridCol w:w="1049"/>
      </w:tblGrid>
      <w:tr>
        <w:trPr>
          <w:trHeight w:val="939" w:hRule="atLeast"/>
        </w:trPr>
        <w:tc>
          <w:tcPr>
            <w:tcW w:w="464" w:type="dxa"/>
            <w:vMerge w:val="restart"/>
            <w:tcBorders>
              <w:bottom w:val="nil"/>
            </w:tcBorders>
            <w:vAlign w:val="center"/>
          </w:tcPr>
          <w:p>
            <w:pPr>
              <w:pStyle w:val="Normal"/>
              <w:spacing w:lineRule="auto" w:line="240"/>
              <w:jc w:val="center"/>
              <w:rPr>
                <w:rFonts w:eastAsia="Times New Roman"/>
                <w:sz w:val="20"/>
                <w:szCs w:val="24"/>
                <w:lang w:eastAsia="ru-RU"/>
              </w:rPr>
            </w:pPr>
            <w:r>
              <w:rPr>
                <w:rFonts w:eastAsia="Times New Roman"/>
                <w:b/>
                <w:sz w:val="20"/>
                <w:szCs w:val="24"/>
                <w:lang w:eastAsia="ru-RU"/>
              </w:rPr>
              <w:t>№</w:t>
            </w:r>
          </w:p>
        </w:tc>
        <w:tc>
          <w:tcPr>
            <w:tcW w:w="2082" w:type="dxa"/>
            <w:gridSpan w:val="2"/>
            <w:vMerge w:val="restart"/>
            <w:tcBorders>
              <w:bottom w:val="nil"/>
            </w:tcBorders>
            <w:vAlign w:val="center"/>
          </w:tcPr>
          <w:p>
            <w:pPr>
              <w:pStyle w:val="Normal"/>
              <w:spacing w:lineRule="auto" w:line="240"/>
              <w:jc w:val="center"/>
              <w:rPr>
                <w:rFonts w:eastAsia="Times New Roman"/>
                <w:sz w:val="20"/>
                <w:szCs w:val="24"/>
                <w:lang w:eastAsia="ru-RU"/>
              </w:rPr>
            </w:pPr>
            <w:r>
              <w:rPr>
                <w:rFonts w:eastAsia="Times New Roman"/>
                <w:b/>
                <w:sz w:val="20"/>
                <w:szCs w:val="24"/>
                <w:lang w:eastAsia="ru-RU"/>
              </w:rPr>
              <w:t>Наименование муниципального образования</w:t>
            </w:r>
          </w:p>
        </w:tc>
        <w:tc>
          <w:tcPr>
            <w:tcW w:w="1705" w:type="dxa"/>
            <w:gridSpan w:val="4"/>
            <w:tcBorders/>
            <w:vAlign w:val="center"/>
          </w:tcPr>
          <w:p>
            <w:pPr>
              <w:pStyle w:val="Normal"/>
              <w:spacing w:lineRule="auto" w:line="240"/>
              <w:jc w:val="center"/>
              <w:rPr>
                <w:rFonts w:eastAsia="Times New Roman"/>
                <w:sz w:val="20"/>
                <w:szCs w:val="24"/>
                <w:lang w:eastAsia="ru-RU"/>
              </w:rPr>
            </w:pPr>
            <w:r>
              <w:rPr>
                <w:rFonts w:eastAsia="Times New Roman"/>
                <w:b/>
                <w:sz w:val="20"/>
                <w:szCs w:val="24"/>
                <w:lang w:eastAsia="ru-RU"/>
              </w:rPr>
              <w:t>Население, человек</w:t>
            </w:r>
          </w:p>
        </w:tc>
        <w:tc>
          <w:tcPr>
            <w:tcW w:w="1705" w:type="dxa"/>
            <w:gridSpan w:val="3"/>
            <w:tcBorders/>
            <w:vAlign w:val="center"/>
          </w:tcPr>
          <w:p>
            <w:pPr>
              <w:pStyle w:val="Normal"/>
              <w:spacing w:lineRule="auto" w:line="240"/>
              <w:jc w:val="center"/>
              <w:rPr>
                <w:rFonts w:eastAsia="Times New Roman"/>
                <w:sz w:val="20"/>
                <w:szCs w:val="24"/>
                <w:lang w:eastAsia="ru-RU"/>
              </w:rPr>
            </w:pPr>
            <w:r>
              <w:rPr>
                <w:rFonts w:eastAsia="Times New Roman"/>
                <w:b/>
                <w:sz w:val="20"/>
                <w:szCs w:val="24"/>
                <w:lang w:eastAsia="ru-RU"/>
              </w:rPr>
              <w:t>Удельное водопотребление л/сут/чел.</w:t>
            </w:r>
          </w:p>
        </w:tc>
        <w:tc>
          <w:tcPr>
            <w:tcW w:w="8613" w:type="dxa"/>
            <w:gridSpan w:val="12"/>
            <w:tcBorders/>
            <w:vAlign w:val="center"/>
          </w:tcPr>
          <w:p>
            <w:pPr>
              <w:pStyle w:val="Normal"/>
              <w:spacing w:lineRule="auto" w:line="240"/>
              <w:jc w:val="center"/>
              <w:rPr>
                <w:rFonts w:eastAsia="Times New Roman"/>
                <w:b/>
                <w:b/>
                <w:sz w:val="20"/>
                <w:szCs w:val="24"/>
                <w:lang w:eastAsia="ru-RU"/>
              </w:rPr>
            </w:pPr>
            <w:r>
              <w:rPr>
                <w:rFonts w:eastAsia="Times New Roman"/>
                <w:b/>
                <w:sz w:val="20"/>
                <w:szCs w:val="24"/>
                <w:lang w:eastAsia="ru-RU"/>
              </w:rPr>
              <w:t>Расчетный расход, м</w:t>
            </w:r>
            <w:r>
              <w:rPr>
                <w:rFonts w:eastAsia="Times New Roman"/>
                <w:b/>
                <w:sz w:val="20"/>
                <w:szCs w:val="24"/>
                <w:vertAlign w:val="superscript"/>
                <w:lang w:eastAsia="ru-RU"/>
              </w:rPr>
              <w:t>3</w:t>
            </w:r>
            <w:r>
              <w:rPr>
                <w:rFonts w:eastAsia="Times New Roman"/>
                <w:b/>
                <w:sz w:val="20"/>
                <w:szCs w:val="24"/>
                <w:lang w:eastAsia="ru-RU"/>
              </w:rPr>
              <w:t>/сут</w:t>
            </w:r>
          </w:p>
        </w:tc>
      </w:tr>
      <w:tr>
        <w:trPr>
          <w:trHeight w:val="335" w:hRule="atLeast"/>
        </w:trPr>
        <w:tc>
          <w:tcPr>
            <w:tcW w:w="464" w:type="dxa"/>
            <w:vMerge w:val="continue"/>
            <w:tcBorders>
              <w:bottom w:val="nil"/>
            </w:tcBorders>
            <w:vAlign w:val="center"/>
          </w:tcPr>
          <w:p>
            <w:pPr>
              <w:pStyle w:val="Normal"/>
              <w:spacing w:lineRule="auto" w:line="240"/>
              <w:jc w:val="left"/>
              <w:rPr>
                <w:rFonts w:eastAsia="Times New Roman"/>
                <w:sz w:val="20"/>
                <w:szCs w:val="24"/>
                <w:lang w:eastAsia="ru-RU"/>
              </w:rPr>
            </w:pPr>
            <w:r>
              <w:rPr>
                <w:rFonts w:eastAsia="Times New Roman"/>
                <w:sz w:val="20"/>
                <w:szCs w:val="24"/>
                <w:lang w:eastAsia="ru-RU"/>
              </w:rPr>
            </w:r>
          </w:p>
        </w:tc>
        <w:tc>
          <w:tcPr>
            <w:tcW w:w="2082" w:type="dxa"/>
            <w:gridSpan w:val="2"/>
            <w:vMerge w:val="continue"/>
            <w:tcBorders>
              <w:bottom w:val="nil"/>
            </w:tcBorders>
            <w:vAlign w:val="center"/>
          </w:tcPr>
          <w:p>
            <w:pPr>
              <w:pStyle w:val="Normal"/>
              <w:spacing w:lineRule="auto" w:line="240"/>
              <w:jc w:val="left"/>
              <w:rPr>
                <w:rFonts w:eastAsia="Times New Roman"/>
                <w:sz w:val="20"/>
                <w:szCs w:val="24"/>
                <w:lang w:eastAsia="ru-RU"/>
              </w:rPr>
            </w:pPr>
            <w:r>
              <w:rPr>
                <w:rFonts w:eastAsia="Times New Roman"/>
                <w:sz w:val="20"/>
                <w:szCs w:val="24"/>
                <w:lang w:eastAsia="ru-RU"/>
              </w:rPr>
            </w:r>
          </w:p>
        </w:tc>
        <w:tc>
          <w:tcPr>
            <w:tcW w:w="853" w:type="dxa"/>
            <w:gridSpan w:val="2"/>
            <w:vMerge w:val="restart"/>
            <w:tcBorders>
              <w:bottom w:val="nil"/>
            </w:tcBorders>
            <w:textDirection w:val="btLr"/>
            <w:vAlign w:val="center"/>
          </w:tcPr>
          <w:p>
            <w:pPr>
              <w:pStyle w:val="Normal"/>
              <w:spacing w:lineRule="auto" w:line="240"/>
              <w:jc w:val="center"/>
              <w:rPr>
                <w:rFonts w:eastAsia="Times New Roman"/>
                <w:sz w:val="20"/>
                <w:szCs w:val="24"/>
                <w:lang w:eastAsia="ru-RU"/>
              </w:rPr>
            </w:pPr>
            <w:r>
              <w:rPr>
                <w:rFonts w:eastAsia="Times New Roman"/>
                <w:b/>
                <w:sz w:val="20"/>
                <w:szCs w:val="24"/>
                <w:lang w:eastAsia="ru-RU"/>
              </w:rPr>
              <w:t>первая очередь</w:t>
            </w:r>
          </w:p>
        </w:tc>
        <w:tc>
          <w:tcPr>
            <w:tcW w:w="852" w:type="dxa"/>
            <w:gridSpan w:val="2"/>
            <w:vMerge w:val="restart"/>
            <w:tcBorders>
              <w:bottom w:val="nil"/>
            </w:tcBorders>
            <w:textDirection w:val="btLr"/>
            <w:vAlign w:val="center"/>
          </w:tcPr>
          <w:p>
            <w:pPr>
              <w:pStyle w:val="Normal"/>
              <w:spacing w:lineRule="auto" w:line="240"/>
              <w:jc w:val="center"/>
              <w:rPr>
                <w:rFonts w:eastAsia="Times New Roman"/>
                <w:sz w:val="20"/>
                <w:szCs w:val="24"/>
                <w:lang w:eastAsia="ru-RU"/>
              </w:rPr>
            </w:pPr>
            <w:r>
              <w:rPr>
                <w:rFonts w:eastAsia="Times New Roman"/>
                <w:b/>
                <w:sz w:val="20"/>
                <w:szCs w:val="24"/>
                <w:lang w:eastAsia="ru-RU"/>
              </w:rPr>
              <w:t>расчетный срок</w:t>
            </w:r>
          </w:p>
        </w:tc>
        <w:tc>
          <w:tcPr>
            <w:tcW w:w="852" w:type="dxa"/>
            <w:gridSpan w:val="2"/>
            <w:vMerge w:val="restart"/>
            <w:tcBorders>
              <w:bottom w:val="nil"/>
            </w:tcBorders>
            <w:textDirection w:val="btLr"/>
            <w:vAlign w:val="center"/>
          </w:tcPr>
          <w:p>
            <w:pPr>
              <w:pStyle w:val="Normal"/>
              <w:spacing w:lineRule="auto" w:line="240"/>
              <w:jc w:val="center"/>
              <w:rPr>
                <w:rFonts w:eastAsia="Times New Roman"/>
                <w:sz w:val="20"/>
                <w:szCs w:val="24"/>
                <w:lang w:eastAsia="ru-RU"/>
              </w:rPr>
            </w:pPr>
            <w:r>
              <w:rPr>
                <w:rFonts w:eastAsia="Times New Roman"/>
                <w:b/>
                <w:sz w:val="20"/>
                <w:szCs w:val="24"/>
                <w:lang w:eastAsia="ru-RU"/>
              </w:rPr>
              <w:t>первая очередь</w:t>
            </w:r>
          </w:p>
        </w:tc>
        <w:tc>
          <w:tcPr>
            <w:tcW w:w="853" w:type="dxa"/>
            <w:vMerge w:val="restart"/>
            <w:tcBorders>
              <w:bottom w:val="nil"/>
            </w:tcBorders>
            <w:textDirection w:val="btLr"/>
            <w:vAlign w:val="center"/>
          </w:tcPr>
          <w:p>
            <w:pPr>
              <w:pStyle w:val="Normal"/>
              <w:spacing w:lineRule="auto" w:line="240"/>
              <w:jc w:val="center"/>
              <w:rPr>
                <w:rFonts w:eastAsia="Times New Roman"/>
                <w:sz w:val="20"/>
                <w:szCs w:val="24"/>
                <w:lang w:eastAsia="ru-RU"/>
              </w:rPr>
            </w:pPr>
            <w:r>
              <w:rPr>
                <w:rFonts w:eastAsia="Times New Roman"/>
                <w:b/>
                <w:sz w:val="20"/>
                <w:szCs w:val="24"/>
                <w:lang w:eastAsia="ru-RU"/>
              </w:rPr>
              <w:t>расчетный срок</w:t>
            </w:r>
          </w:p>
        </w:tc>
        <w:tc>
          <w:tcPr>
            <w:tcW w:w="4254" w:type="dxa"/>
            <w:gridSpan w:val="6"/>
            <w:tcBorders/>
            <w:vAlign w:val="center"/>
          </w:tcPr>
          <w:p>
            <w:pPr>
              <w:pStyle w:val="Normal"/>
              <w:spacing w:lineRule="auto" w:line="240"/>
              <w:jc w:val="center"/>
              <w:rPr>
                <w:rFonts w:eastAsia="Times New Roman"/>
                <w:b/>
                <w:b/>
                <w:sz w:val="20"/>
                <w:szCs w:val="24"/>
                <w:lang w:eastAsia="ru-RU"/>
              </w:rPr>
            </w:pPr>
            <w:r>
              <w:rPr>
                <w:rFonts w:eastAsia="Times New Roman"/>
                <w:b/>
                <w:sz w:val="20"/>
                <w:szCs w:val="24"/>
                <w:lang w:eastAsia="ru-RU"/>
              </w:rPr>
              <w:t>первая очередь</w:t>
            </w:r>
          </w:p>
        </w:tc>
        <w:tc>
          <w:tcPr>
            <w:tcW w:w="4359" w:type="dxa"/>
            <w:gridSpan w:val="6"/>
            <w:tcBorders/>
            <w:vAlign w:val="center"/>
          </w:tcPr>
          <w:p>
            <w:pPr>
              <w:pStyle w:val="Normal"/>
              <w:spacing w:lineRule="auto" w:line="240"/>
              <w:ind w:left="113" w:right="113" w:hanging="0"/>
              <w:jc w:val="center"/>
              <w:rPr>
                <w:rFonts w:eastAsia="Times New Roman"/>
                <w:b/>
                <w:b/>
                <w:sz w:val="20"/>
                <w:szCs w:val="24"/>
                <w:lang w:eastAsia="ru-RU"/>
              </w:rPr>
            </w:pPr>
            <w:r>
              <w:rPr>
                <w:rFonts w:eastAsia="Times New Roman"/>
                <w:b/>
                <w:sz w:val="20"/>
                <w:szCs w:val="24"/>
                <w:lang w:eastAsia="ru-RU"/>
              </w:rPr>
              <w:t>расчетный срок</w:t>
            </w:r>
          </w:p>
        </w:tc>
      </w:tr>
      <w:tr>
        <w:trPr>
          <w:trHeight w:val="1981" w:hRule="atLeast"/>
          <w:cantSplit w:val="true"/>
        </w:trPr>
        <w:tc>
          <w:tcPr>
            <w:tcW w:w="464" w:type="dxa"/>
            <w:vMerge w:val="continue"/>
            <w:tcBorders>
              <w:bottom w:val="nil"/>
            </w:tcBorders>
            <w:vAlign w:val="center"/>
          </w:tcPr>
          <w:p>
            <w:pPr>
              <w:pStyle w:val="Normal"/>
              <w:spacing w:lineRule="auto" w:line="240"/>
              <w:jc w:val="left"/>
              <w:rPr>
                <w:rFonts w:eastAsia="Times New Roman"/>
                <w:sz w:val="20"/>
                <w:szCs w:val="24"/>
                <w:lang w:eastAsia="ru-RU"/>
              </w:rPr>
            </w:pPr>
            <w:r>
              <w:rPr>
                <w:rFonts w:eastAsia="Times New Roman"/>
                <w:sz w:val="20"/>
                <w:szCs w:val="24"/>
                <w:lang w:eastAsia="ru-RU"/>
              </w:rPr>
            </w:r>
          </w:p>
        </w:tc>
        <w:tc>
          <w:tcPr>
            <w:tcW w:w="2082" w:type="dxa"/>
            <w:gridSpan w:val="2"/>
            <w:vMerge w:val="continue"/>
            <w:tcBorders>
              <w:bottom w:val="nil"/>
            </w:tcBorders>
            <w:vAlign w:val="center"/>
          </w:tcPr>
          <w:p>
            <w:pPr>
              <w:pStyle w:val="Normal"/>
              <w:spacing w:lineRule="auto" w:line="240"/>
              <w:jc w:val="left"/>
              <w:rPr>
                <w:rFonts w:eastAsia="Times New Roman"/>
                <w:sz w:val="20"/>
                <w:szCs w:val="24"/>
                <w:lang w:eastAsia="ru-RU"/>
              </w:rPr>
            </w:pPr>
            <w:r>
              <w:rPr>
                <w:rFonts w:eastAsia="Times New Roman"/>
                <w:sz w:val="20"/>
                <w:szCs w:val="24"/>
                <w:lang w:eastAsia="ru-RU"/>
              </w:rPr>
            </w:r>
          </w:p>
        </w:tc>
        <w:tc>
          <w:tcPr>
            <w:tcW w:w="853" w:type="dxa"/>
            <w:gridSpan w:val="2"/>
            <w:vMerge w:val="continue"/>
            <w:tcBorders>
              <w:bottom w:val="nil"/>
            </w:tcBorders>
            <w:vAlign w:val="center"/>
          </w:tcPr>
          <w:p>
            <w:pPr>
              <w:pStyle w:val="Normal"/>
              <w:spacing w:lineRule="auto" w:line="240"/>
              <w:jc w:val="left"/>
              <w:rPr>
                <w:rFonts w:eastAsia="Times New Roman"/>
                <w:sz w:val="20"/>
                <w:szCs w:val="24"/>
                <w:lang w:eastAsia="ru-RU"/>
              </w:rPr>
            </w:pPr>
            <w:r>
              <w:rPr>
                <w:rFonts w:eastAsia="Times New Roman"/>
                <w:sz w:val="20"/>
                <w:szCs w:val="24"/>
                <w:lang w:eastAsia="ru-RU"/>
              </w:rPr>
            </w:r>
          </w:p>
        </w:tc>
        <w:tc>
          <w:tcPr>
            <w:tcW w:w="852" w:type="dxa"/>
            <w:gridSpan w:val="2"/>
            <w:vMerge w:val="continue"/>
            <w:tcBorders>
              <w:bottom w:val="nil"/>
            </w:tcBorders>
            <w:vAlign w:val="center"/>
          </w:tcPr>
          <w:p>
            <w:pPr>
              <w:pStyle w:val="Normal"/>
              <w:spacing w:lineRule="auto" w:line="240"/>
              <w:jc w:val="left"/>
              <w:rPr>
                <w:rFonts w:eastAsia="Times New Roman"/>
                <w:sz w:val="20"/>
                <w:szCs w:val="24"/>
                <w:lang w:eastAsia="ru-RU"/>
              </w:rPr>
            </w:pPr>
            <w:r>
              <w:rPr>
                <w:rFonts w:eastAsia="Times New Roman"/>
                <w:sz w:val="20"/>
                <w:szCs w:val="24"/>
                <w:lang w:eastAsia="ru-RU"/>
              </w:rPr>
            </w:r>
          </w:p>
        </w:tc>
        <w:tc>
          <w:tcPr>
            <w:tcW w:w="852" w:type="dxa"/>
            <w:gridSpan w:val="2"/>
            <w:vMerge w:val="continue"/>
            <w:tcBorders>
              <w:bottom w:val="nil"/>
            </w:tcBorders>
            <w:vAlign w:val="center"/>
          </w:tcPr>
          <w:p>
            <w:pPr>
              <w:pStyle w:val="Normal"/>
              <w:spacing w:lineRule="auto" w:line="240"/>
              <w:jc w:val="left"/>
              <w:rPr>
                <w:rFonts w:eastAsia="Times New Roman"/>
                <w:sz w:val="20"/>
                <w:szCs w:val="24"/>
                <w:lang w:eastAsia="ru-RU"/>
              </w:rPr>
            </w:pPr>
            <w:r>
              <w:rPr>
                <w:rFonts w:eastAsia="Times New Roman"/>
                <w:sz w:val="20"/>
                <w:szCs w:val="24"/>
                <w:lang w:eastAsia="ru-RU"/>
              </w:rPr>
            </w:r>
          </w:p>
        </w:tc>
        <w:tc>
          <w:tcPr>
            <w:tcW w:w="853" w:type="dxa"/>
            <w:vMerge w:val="continue"/>
            <w:tcBorders>
              <w:bottom w:val="nil"/>
            </w:tcBorders>
            <w:vAlign w:val="center"/>
          </w:tcPr>
          <w:p>
            <w:pPr>
              <w:pStyle w:val="Normal"/>
              <w:spacing w:lineRule="auto" w:line="240"/>
              <w:jc w:val="left"/>
              <w:rPr>
                <w:rFonts w:eastAsia="Times New Roman"/>
                <w:sz w:val="20"/>
                <w:szCs w:val="24"/>
                <w:lang w:eastAsia="ru-RU"/>
              </w:rPr>
            </w:pPr>
            <w:r>
              <w:rPr>
                <w:rFonts w:eastAsia="Times New Roman"/>
                <w:sz w:val="20"/>
                <w:szCs w:val="24"/>
                <w:lang w:eastAsia="ru-RU"/>
              </w:rPr>
            </w:r>
          </w:p>
        </w:tc>
        <w:tc>
          <w:tcPr>
            <w:tcW w:w="1157" w:type="dxa"/>
            <w:gridSpan w:val="2"/>
            <w:tcBorders>
              <w:bottom w:val="nil"/>
            </w:tcBorders>
            <w:textDirection w:val="btLr"/>
            <w:vAlign w:val="center"/>
          </w:tcPr>
          <w:p>
            <w:pPr>
              <w:pStyle w:val="Normal"/>
              <w:spacing w:lineRule="auto" w:line="240"/>
              <w:ind w:right="113" w:hanging="0"/>
              <w:jc w:val="center"/>
              <w:rPr>
                <w:rFonts w:eastAsia="Times New Roman"/>
                <w:b/>
                <w:b/>
                <w:color w:val="000000"/>
                <w:sz w:val="20"/>
                <w:szCs w:val="24"/>
                <w:lang w:eastAsia="ru-RU"/>
              </w:rPr>
            </w:pPr>
            <w:r>
              <w:rPr>
                <w:rFonts w:eastAsia="Times New Roman"/>
                <w:b/>
                <w:color w:val="000000"/>
                <w:sz w:val="20"/>
                <w:szCs w:val="24"/>
                <w:lang w:eastAsia="ru-RU"/>
              </w:rPr>
              <w:t>хозяйственно-бытовые сточные воды</w:t>
            </w:r>
          </w:p>
        </w:tc>
        <w:tc>
          <w:tcPr>
            <w:tcW w:w="1114" w:type="dxa"/>
            <w:tcBorders>
              <w:bottom w:val="nil"/>
            </w:tcBorders>
            <w:textDirection w:val="btLr"/>
            <w:vAlign w:val="center"/>
          </w:tcPr>
          <w:p>
            <w:pPr>
              <w:pStyle w:val="Normal"/>
              <w:spacing w:lineRule="auto" w:line="240"/>
              <w:ind w:right="113" w:hanging="0"/>
              <w:jc w:val="center"/>
              <w:rPr>
                <w:rFonts w:eastAsia="Times New Roman"/>
                <w:b/>
                <w:b/>
                <w:color w:val="000000"/>
                <w:sz w:val="20"/>
                <w:szCs w:val="24"/>
                <w:lang w:eastAsia="ru-RU"/>
              </w:rPr>
            </w:pPr>
            <w:r>
              <w:rPr>
                <w:rFonts w:eastAsia="Times New Roman"/>
                <w:b/>
                <w:bCs/>
                <w:sz w:val="20"/>
                <w:szCs w:val="24"/>
                <w:lang w:eastAsia="ru-RU"/>
              </w:rPr>
              <w:t>неучтенные</w:t>
            </w:r>
          </w:p>
        </w:tc>
        <w:tc>
          <w:tcPr>
            <w:tcW w:w="989" w:type="dxa"/>
            <w:tcBorders>
              <w:bottom w:val="nil"/>
            </w:tcBorders>
            <w:textDirection w:val="btLr"/>
            <w:vAlign w:val="center"/>
          </w:tcPr>
          <w:p>
            <w:pPr>
              <w:pStyle w:val="Normal"/>
              <w:spacing w:lineRule="auto" w:line="240"/>
              <w:ind w:right="113" w:hanging="0"/>
              <w:jc w:val="center"/>
              <w:rPr>
                <w:rFonts w:eastAsia="Times New Roman"/>
                <w:b/>
                <w:b/>
                <w:color w:val="000000"/>
                <w:sz w:val="20"/>
                <w:szCs w:val="24"/>
                <w:lang w:eastAsia="ru-RU"/>
              </w:rPr>
            </w:pPr>
            <w:r>
              <w:rPr>
                <w:rFonts w:eastAsia="Times New Roman"/>
                <w:b/>
                <w:color w:val="000000"/>
                <w:sz w:val="20"/>
                <w:szCs w:val="24"/>
                <w:lang w:eastAsia="ru-RU"/>
              </w:rPr>
              <w:t>производственные сточные воды</w:t>
            </w:r>
          </w:p>
        </w:tc>
        <w:tc>
          <w:tcPr>
            <w:tcW w:w="994" w:type="dxa"/>
            <w:gridSpan w:val="2"/>
            <w:tcBorders>
              <w:bottom w:val="nil"/>
            </w:tcBorders>
            <w:textDirection w:val="btLr"/>
            <w:vAlign w:val="center"/>
          </w:tcPr>
          <w:p>
            <w:pPr>
              <w:pStyle w:val="Normal"/>
              <w:spacing w:lineRule="auto" w:line="240"/>
              <w:ind w:right="113" w:hanging="0"/>
              <w:jc w:val="center"/>
              <w:rPr>
                <w:rFonts w:eastAsia="Times New Roman"/>
                <w:b/>
                <w:b/>
                <w:color w:val="000000"/>
                <w:sz w:val="20"/>
                <w:szCs w:val="24"/>
                <w:lang w:eastAsia="ru-RU"/>
              </w:rPr>
            </w:pPr>
            <w:r>
              <w:rPr>
                <w:rFonts w:eastAsia="Times New Roman"/>
                <w:b/>
                <w:color w:val="000000"/>
                <w:sz w:val="20"/>
                <w:szCs w:val="24"/>
                <w:lang w:eastAsia="ru-RU"/>
              </w:rPr>
              <w:t>всего</w:t>
            </w:r>
          </w:p>
        </w:tc>
        <w:tc>
          <w:tcPr>
            <w:tcW w:w="994" w:type="dxa"/>
            <w:gridSpan w:val="2"/>
            <w:tcBorders>
              <w:bottom w:val="nil"/>
            </w:tcBorders>
            <w:textDirection w:val="btLr"/>
            <w:vAlign w:val="center"/>
          </w:tcPr>
          <w:p>
            <w:pPr>
              <w:pStyle w:val="Normal"/>
              <w:spacing w:lineRule="auto" w:line="240"/>
              <w:ind w:right="113" w:hanging="0"/>
              <w:jc w:val="center"/>
              <w:rPr>
                <w:rFonts w:eastAsia="Times New Roman"/>
                <w:b/>
                <w:b/>
                <w:color w:val="000000"/>
                <w:sz w:val="20"/>
                <w:szCs w:val="24"/>
                <w:lang w:eastAsia="ru-RU"/>
              </w:rPr>
            </w:pPr>
            <w:r>
              <w:rPr>
                <w:rFonts w:eastAsia="Times New Roman"/>
                <w:b/>
                <w:color w:val="000000"/>
                <w:sz w:val="20"/>
                <w:szCs w:val="24"/>
                <w:lang w:eastAsia="ru-RU"/>
              </w:rPr>
              <w:t>хозяйственно-бытовые сточные воды</w:t>
            </w:r>
          </w:p>
        </w:tc>
        <w:tc>
          <w:tcPr>
            <w:tcW w:w="1136" w:type="dxa"/>
            <w:tcBorders>
              <w:bottom w:val="nil"/>
            </w:tcBorders>
            <w:textDirection w:val="btLr"/>
            <w:vAlign w:val="center"/>
          </w:tcPr>
          <w:p>
            <w:pPr>
              <w:pStyle w:val="Normal"/>
              <w:spacing w:lineRule="auto" w:line="240"/>
              <w:ind w:right="113" w:hanging="0"/>
              <w:jc w:val="center"/>
              <w:rPr>
                <w:rFonts w:eastAsia="Times New Roman"/>
                <w:b/>
                <w:b/>
                <w:color w:val="000000"/>
                <w:sz w:val="20"/>
                <w:szCs w:val="24"/>
                <w:lang w:eastAsia="ru-RU"/>
              </w:rPr>
            </w:pPr>
            <w:r>
              <w:rPr>
                <w:rFonts w:eastAsia="Times New Roman"/>
                <w:b/>
                <w:bCs/>
                <w:sz w:val="20"/>
                <w:szCs w:val="24"/>
                <w:lang w:eastAsia="ru-RU"/>
              </w:rPr>
              <w:t>неучтенные</w:t>
            </w:r>
          </w:p>
        </w:tc>
        <w:tc>
          <w:tcPr>
            <w:tcW w:w="1180" w:type="dxa"/>
            <w:gridSpan w:val="2"/>
            <w:tcBorders>
              <w:bottom w:val="nil"/>
            </w:tcBorders>
            <w:textDirection w:val="btLr"/>
            <w:vAlign w:val="center"/>
          </w:tcPr>
          <w:p>
            <w:pPr>
              <w:pStyle w:val="Normal"/>
              <w:spacing w:lineRule="auto" w:line="240"/>
              <w:ind w:right="113" w:hanging="0"/>
              <w:jc w:val="center"/>
              <w:rPr>
                <w:rFonts w:eastAsia="Times New Roman"/>
                <w:b/>
                <w:b/>
                <w:color w:val="000000"/>
                <w:sz w:val="20"/>
                <w:szCs w:val="24"/>
                <w:lang w:eastAsia="ru-RU"/>
              </w:rPr>
            </w:pPr>
            <w:r>
              <w:rPr>
                <w:rFonts w:eastAsia="Times New Roman"/>
                <w:b/>
                <w:color w:val="000000"/>
                <w:sz w:val="20"/>
                <w:szCs w:val="24"/>
                <w:lang w:eastAsia="ru-RU"/>
              </w:rPr>
              <w:t>производственные сточные воды</w:t>
            </w:r>
          </w:p>
        </w:tc>
        <w:tc>
          <w:tcPr>
            <w:tcW w:w="1049" w:type="dxa"/>
            <w:tcBorders>
              <w:bottom w:val="nil"/>
            </w:tcBorders>
            <w:textDirection w:val="btLr"/>
            <w:vAlign w:val="center"/>
          </w:tcPr>
          <w:p>
            <w:pPr>
              <w:pStyle w:val="Normal"/>
              <w:spacing w:lineRule="auto" w:line="240"/>
              <w:ind w:right="113" w:hanging="0"/>
              <w:jc w:val="center"/>
              <w:rPr>
                <w:rFonts w:eastAsia="Times New Roman"/>
                <w:b/>
                <w:b/>
                <w:bCs/>
                <w:sz w:val="20"/>
                <w:szCs w:val="24"/>
                <w:lang w:eastAsia="ru-RU"/>
              </w:rPr>
            </w:pPr>
            <w:r>
              <w:rPr>
                <w:rFonts w:eastAsia="Times New Roman"/>
                <w:b/>
                <w:color w:val="000000"/>
                <w:sz w:val="20"/>
                <w:szCs w:val="24"/>
                <w:lang w:eastAsia="ru-RU"/>
              </w:rPr>
              <w:t>всего</w:t>
            </w:r>
          </w:p>
        </w:tc>
      </w:tr>
      <w:tr>
        <w:trPr/>
        <w:tc>
          <w:tcPr>
            <w:tcW w:w="540" w:type="dxa"/>
            <w:gridSpan w:val="2"/>
            <w:tcBorders/>
            <w:vAlign w:val="center"/>
          </w:tcPr>
          <w:p>
            <w:pPr>
              <w:pStyle w:val="Normal"/>
              <w:spacing w:lineRule="auto" w:line="240"/>
              <w:jc w:val="center"/>
              <w:rPr>
                <w:b/>
                <w:b/>
                <w:sz w:val="20"/>
                <w:szCs w:val="20"/>
              </w:rPr>
            </w:pPr>
            <w:r>
              <w:rPr>
                <w:b/>
                <w:sz w:val="20"/>
                <w:szCs w:val="20"/>
                <w:lang w:eastAsia="en-US"/>
              </w:rPr>
              <w:t>1</w:t>
            </w:r>
          </w:p>
        </w:tc>
        <w:tc>
          <w:tcPr>
            <w:tcW w:w="2009" w:type="dxa"/>
            <w:gridSpan w:val="2"/>
            <w:tcBorders/>
            <w:vAlign w:val="center"/>
          </w:tcPr>
          <w:p>
            <w:pPr>
              <w:pStyle w:val="Normal"/>
              <w:spacing w:lineRule="auto" w:line="240"/>
              <w:jc w:val="center"/>
              <w:rPr>
                <w:b/>
                <w:b/>
                <w:sz w:val="20"/>
                <w:szCs w:val="20"/>
              </w:rPr>
            </w:pPr>
            <w:r>
              <w:rPr>
                <w:b/>
                <w:sz w:val="20"/>
                <w:szCs w:val="20"/>
                <w:lang w:eastAsia="en-US"/>
              </w:rPr>
              <w:t>2</w:t>
            </w:r>
          </w:p>
        </w:tc>
        <w:tc>
          <w:tcPr>
            <w:tcW w:w="853" w:type="dxa"/>
            <w:gridSpan w:val="2"/>
            <w:tcBorders/>
            <w:vAlign w:val="center"/>
          </w:tcPr>
          <w:p>
            <w:pPr>
              <w:pStyle w:val="Normal"/>
              <w:spacing w:lineRule="auto" w:line="240"/>
              <w:jc w:val="center"/>
              <w:rPr>
                <w:b/>
                <w:b/>
                <w:sz w:val="20"/>
                <w:szCs w:val="20"/>
              </w:rPr>
            </w:pPr>
            <w:r>
              <w:rPr>
                <w:b/>
                <w:sz w:val="20"/>
                <w:szCs w:val="20"/>
                <w:lang w:eastAsia="en-US"/>
              </w:rPr>
              <w:t>3</w:t>
            </w:r>
          </w:p>
        </w:tc>
        <w:tc>
          <w:tcPr>
            <w:tcW w:w="850" w:type="dxa"/>
            <w:gridSpan w:val="2"/>
            <w:tcBorders/>
            <w:vAlign w:val="center"/>
          </w:tcPr>
          <w:p>
            <w:pPr>
              <w:pStyle w:val="Normal"/>
              <w:spacing w:lineRule="auto" w:line="240"/>
              <w:jc w:val="center"/>
              <w:rPr>
                <w:b/>
                <w:b/>
                <w:sz w:val="20"/>
                <w:szCs w:val="20"/>
              </w:rPr>
            </w:pPr>
            <w:r>
              <w:rPr>
                <w:b/>
                <w:sz w:val="20"/>
                <w:szCs w:val="20"/>
                <w:lang w:eastAsia="en-US"/>
              </w:rPr>
              <w:t>4</w:t>
            </w:r>
          </w:p>
        </w:tc>
        <w:tc>
          <w:tcPr>
            <w:tcW w:w="851" w:type="dxa"/>
            <w:tcBorders/>
            <w:vAlign w:val="center"/>
          </w:tcPr>
          <w:p>
            <w:pPr>
              <w:pStyle w:val="Normal"/>
              <w:spacing w:lineRule="auto" w:line="240"/>
              <w:jc w:val="center"/>
              <w:rPr>
                <w:b/>
                <w:b/>
                <w:sz w:val="20"/>
                <w:szCs w:val="20"/>
              </w:rPr>
            </w:pPr>
            <w:r>
              <w:rPr>
                <w:b/>
                <w:sz w:val="20"/>
                <w:szCs w:val="20"/>
                <w:lang w:eastAsia="en-US"/>
              </w:rPr>
              <w:t>5</w:t>
            </w:r>
          </w:p>
        </w:tc>
        <w:tc>
          <w:tcPr>
            <w:tcW w:w="853" w:type="dxa"/>
            <w:tcBorders/>
            <w:vAlign w:val="center"/>
          </w:tcPr>
          <w:p>
            <w:pPr>
              <w:pStyle w:val="Normal"/>
              <w:spacing w:lineRule="auto" w:line="240"/>
              <w:jc w:val="center"/>
              <w:rPr>
                <w:b/>
                <w:b/>
                <w:sz w:val="20"/>
                <w:szCs w:val="20"/>
              </w:rPr>
            </w:pPr>
            <w:r>
              <w:rPr>
                <w:b/>
                <w:sz w:val="20"/>
                <w:szCs w:val="20"/>
                <w:lang w:eastAsia="en-US"/>
              </w:rPr>
              <w:t>6</w:t>
            </w:r>
          </w:p>
        </w:tc>
        <w:tc>
          <w:tcPr>
            <w:tcW w:w="1137" w:type="dxa"/>
            <w:tcBorders/>
            <w:vAlign w:val="center"/>
          </w:tcPr>
          <w:p>
            <w:pPr>
              <w:pStyle w:val="Normal"/>
              <w:spacing w:lineRule="auto" w:line="240"/>
              <w:jc w:val="center"/>
              <w:rPr>
                <w:b/>
                <w:b/>
                <w:sz w:val="20"/>
                <w:szCs w:val="20"/>
              </w:rPr>
            </w:pPr>
            <w:r>
              <w:rPr>
                <w:b/>
                <w:sz w:val="20"/>
                <w:szCs w:val="20"/>
                <w:lang w:eastAsia="en-US"/>
              </w:rPr>
              <w:t>7</w:t>
            </w:r>
          </w:p>
        </w:tc>
        <w:tc>
          <w:tcPr>
            <w:tcW w:w="1134" w:type="dxa"/>
            <w:gridSpan w:val="2"/>
            <w:tcBorders/>
            <w:vAlign w:val="center"/>
          </w:tcPr>
          <w:p>
            <w:pPr>
              <w:pStyle w:val="Normal"/>
              <w:spacing w:lineRule="auto" w:line="240"/>
              <w:jc w:val="center"/>
              <w:rPr>
                <w:b/>
                <w:b/>
                <w:sz w:val="20"/>
                <w:szCs w:val="20"/>
              </w:rPr>
            </w:pPr>
            <w:r>
              <w:rPr>
                <w:b/>
                <w:sz w:val="20"/>
                <w:szCs w:val="20"/>
                <w:lang w:eastAsia="en-US"/>
              </w:rPr>
              <w:t>8</w:t>
            </w:r>
          </w:p>
        </w:tc>
        <w:tc>
          <w:tcPr>
            <w:tcW w:w="994" w:type="dxa"/>
            <w:gridSpan w:val="2"/>
            <w:tcBorders/>
            <w:vAlign w:val="center"/>
          </w:tcPr>
          <w:p>
            <w:pPr>
              <w:pStyle w:val="Normal"/>
              <w:spacing w:lineRule="auto" w:line="240"/>
              <w:jc w:val="center"/>
              <w:rPr>
                <w:b/>
                <w:b/>
                <w:sz w:val="20"/>
                <w:szCs w:val="20"/>
              </w:rPr>
            </w:pPr>
            <w:r>
              <w:rPr>
                <w:b/>
                <w:sz w:val="20"/>
                <w:szCs w:val="20"/>
                <w:lang w:eastAsia="en-US"/>
              </w:rPr>
              <w:t>9</w:t>
            </w:r>
          </w:p>
        </w:tc>
        <w:tc>
          <w:tcPr>
            <w:tcW w:w="991" w:type="dxa"/>
            <w:gridSpan w:val="2"/>
            <w:tcBorders/>
            <w:vAlign w:val="center"/>
          </w:tcPr>
          <w:p>
            <w:pPr>
              <w:pStyle w:val="Normal"/>
              <w:spacing w:lineRule="auto" w:line="240"/>
              <w:jc w:val="center"/>
              <w:rPr>
                <w:b/>
                <w:b/>
                <w:sz w:val="20"/>
                <w:szCs w:val="20"/>
              </w:rPr>
            </w:pPr>
            <w:r>
              <w:rPr>
                <w:b/>
                <w:sz w:val="20"/>
                <w:szCs w:val="20"/>
                <w:lang w:eastAsia="en-US"/>
              </w:rPr>
              <w:t>10</w:t>
            </w:r>
          </w:p>
        </w:tc>
        <w:tc>
          <w:tcPr>
            <w:tcW w:w="992" w:type="dxa"/>
            <w:tcBorders/>
          </w:tcPr>
          <w:p>
            <w:pPr>
              <w:pStyle w:val="Normal"/>
              <w:spacing w:lineRule="auto" w:line="240"/>
              <w:jc w:val="center"/>
              <w:rPr>
                <w:b/>
                <w:b/>
                <w:sz w:val="20"/>
                <w:szCs w:val="20"/>
              </w:rPr>
            </w:pPr>
            <w:r>
              <w:rPr>
                <w:b/>
                <w:sz w:val="20"/>
                <w:szCs w:val="20"/>
                <w:lang w:eastAsia="en-US"/>
              </w:rPr>
              <w:t>11</w:t>
            </w:r>
          </w:p>
        </w:tc>
        <w:tc>
          <w:tcPr>
            <w:tcW w:w="1136" w:type="dxa"/>
            <w:tcBorders/>
            <w:vAlign w:val="center"/>
          </w:tcPr>
          <w:p>
            <w:pPr>
              <w:pStyle w:val="Normal"/>
              <w:spacing w:lineRule="auto" w:line="240"/>
              <w:jc w:val="center"/>
              <w:rPr>
                <w:b/>
                <w:b/>
                <w:sz w:val="20"/>
                <w:szCs w:val="20"/>
              </w:rPr>
            </w:pPr>
            <w:r>
              <w:rPr>
                <w:b/>
                <w:sz w:val="20"/>
                <w:szCs w:val="20"/>
                <w:lang w:eastAsia="en-US"/>
              </w:rPr>
              <w:t>12</w:t>
            </w:r>
          </w:p>
        </w:tc>
        <w:tc>
          <w:tcPr>
            <w:tcW w:w="1166" w:type="dxa"/>
            <w:tcBorders/>
            <w:vAlign w:val="center"/>
          </w:tcPr>
          <w:p>
            <w:pPr>
              <w:pStyle w:val="Normal"/>
              <w:spacing w:lineRule="auto" w:line="240"/>
              <w:jc w:val="center"/>
              <w:rPr>
                <w:b/>
                <w:b/>
                <w:sz w:val="20"/>
                <w:szCs w:val="20"/>
              </w:rPr>
            </w:pPr>
            <w:r>
              <w:rPr>
                <w:b/>
                <w:sz w:val="20"/>
                <w:szCs w:val="20"/>
                <w:lang w:eastAsia="en-US"/>
              </w:rPr>
              <w:t>13</w:t>
            </w:r>
          </w:p>
        </w:tc>
        <w:tc>
          <w:tcPr>
            <w:tcW w:w="1063" w:type="dxa"/>
            <w:gridSpan w:val="2"/>
            <w:tcBorders/>
            <w:vAlign w:val="center"/>
          </w:tcPr>
          <w:p>
            <w:pPr>
              <w:pStyle w:val="Normal"/>
              <w:spacing w:lineRule="auto" w:line="240"/>
              <w:jc w:val="center"/>
              <w:rPr>
                <w:b/>
                <w:b/>
                <w:sz w:val="20"/>
                <w:szCs w:val="20"/>
              </w:rPr>
            </w:pPr>
            <w:r>
              <w:rPr>
                <w:b/>
                <w:sz w:val="20"/>
                <w:szCs w:val="20"/>
                <w:lang w:eastAsia="en-US"/>
              </w:rPr>
              <w:t>14</w:t>
            </w:r>
          </w:p>
        </w:tc>
      </w:tr>
      <w:tr>
        <w:trPr/>
        <w:tc>
          <w:tcPr>
            <w:tcW w:w="540" w:type="dxa"/>
            <w:gridSpan w:val="2"/>
            <w:tcBorders/>
          </w:tcPr>
          <w:p>
            <w:pPr>
              <w:pStyle w:val="Normal"/>
              <w:spacing w:lineRule="auto" w:line="240"/>
              <w:jc w:val="center"/>
              <w:rPr>
                <w:sz w:val="20"/>
                <w:szCs w:val="20"/>
              </w:rPr>
            </w:pPr>
            <w:r>
              <w:rPr>
                <w:sz w:val="20"/>
                <w:szCs w:val="20"/>
                <w:lang w:eastAsia="en-US"/>
              </w:rPr>
              <w:t>1</w:t>
            </w:r>
          </w:p>
        </w:tc>
        <w:tc>
          <w:tcPr>
            <w:tcW w:w="2009" w:type="dxa"/>
            <w:gridSpan w:val="2"/>
            <w:tcBorders/>
          </w:tcPr>
          <w:p>
            <w:pPr>
              <w:pStyle w:val="Normal"/>
              <w:spacing w:lineRule="auto" w:line="240"/>
              <w:jc w:val="left"/>
              <w:rPr>
                <w:bCs/>
                <w:color w:val="000000"/>
                <w:sz w:val="20"/>
                <w:szCs w:val="20"/>
              </w:rPr>
            </w:pPr>
            <w:r>
              <w:rPr>
                <w:sz w:val="20"/>
                <w:szCs w:val="20"/>
                <w:lang w:eastAsia="en-US"/>
              </w:rPr>
              <w:t>с. Катенино</w:t>
            </w:r>
          </w:p>
        </w:tc>
        <w:tc>
          <w:tcPr>
            <w:tcW w:w="853" w:type="dxa"/>
            <w:gridSpan w:val="2"/>
            <w:tcBorders/>
          </w:tcPr>
          <w:p>
            <w:pPr>
              <w:pStyle w:val="Normal"/>
              <w:spacing w:lineRule="auto" w:line="240"/>
              <w:jc w:val="center"/>
              <w:rPr>
                <w:color w:val="000000"/>
                <w:sz w:val="20"/>
                <w:szCs w:val="20"/>
              </w:rPr>
            </w:pPr>
            <w:r>
              <w:rPr>
                <w:sz w:val="20"/>
                <w:szCs w:val="20"/>
                <w:lang w:eastAsia="en-US"/>
              </w:rPr>
              <w:t>914</w:t>
            </w:r>
          </w:p>
        </w:tc>
        <w:tc>
          <w:tcPr>
            <w:tcW w:w="850" w:type="dxa"/>
            <w:gridSpan w:val="2"/>
            <w:tcBorders/>
          </w:tcPr>
          <w:p>
            <w:pPr>
              <w:pStyle w:val="Normal"/>
              <w:spacing w:lineRule="auto" w:line="240"/>
              <w:jc w:val="center"/>
              <w:rPr>
                <w:color w:val="000000"/>
                <w:sz w:val="20"/>
                <w:szCs w:val="20"/>
              </w:rPr>
            </w:pPr>
            <w:r>
              <w:rPr>
                <w:sz w:val="20"/>
                <w:szCs w:val="20"/>
                <w:lang w:eastAsia="en-US"/>
              </w:rPr>
              <w:t>930</w:t>
            </w:r>
          </w:p>
        </w:tc>
        <w:tc>
          <w:tcPr>
            <w:tcW w:w="851" w:type="dxa"/>
            <w:tcBorders/>
          </w:tcPr>
          <w:p>
            <w:pPr>
              <w:pStyle w:val="Normal"/>
              <w:spacing w:lineRule="auto" w:line="240"/>
              <w:jc w:val="center"/>
              <w:rPr>
                <w:color w:val="000000"/>
                <w:sz w:val="20"/>
                <w:szCs w:val="20"/>
              </w:rPr>
            </w:pPr>
            <w:r>
              <w:rPr>
                <w:color w:val="000000"/>
                <w:sz w:val="20"/>
                <w:szCs w:val="20"/>
                <w:lang w:eastAsia="en-US"/>
              </w:rPr>
              <w:t>165</w:t>
            </w:r>
          </w:p>
        </w:tc>
        <w:tc>
          <w:tcPr>
            <w:tcW w:w="853" w:type="dxa"/>
            <w:tcBorders/>
          </w:tcPr>
          <w:p>
            <w:pPr>
              <w:pStyle w:val="Normal"/>
              <w:spacing w:lineRule="auto" w:line="240"/>
              <w:jc w:val="center"/>
              <w:rPr>
                <w:color w:val="000000"/>
                <w:sz w:val="20"/>
                <w:szCs w:val="20"/>
              </w:rPr>
            </w:pPr>
            <w:r>
              <w:rPr>
                <w:color w:val="000000"/>
                <w:sz w:val="20"/>
                <w:szCs w:val="20"/>
                <w:lang w:eastAsia="en-US"/>
              </w:rPr>
              <w:t>165</w:t>
            </w:r>
          </w:p>
        </w:tc>
        <w:tc>
          <w:tcPr>
            <w:tcW w:w="1137" w:type="dxa"/>
            <w:tcBorders/>
          </w:tcPr>
          <w:p>
            <w:pPr>
              <w:pStyle w:val="Normal"/>
              <w:spacing w:lineRule="auto" w:line="240"/>
              <w:jc w:val="center"/>
              <w:rPr>
                <w:color w:val="000000"/>
                <w:sz w:val="20"/>
                <w:szCs w:val="20"/>
              </w:rPr>
            </w:pPr>
            <w:r>
              <w:rPr>
                <w:color w:val="000000"/>
                <w:sz w:val="20"/>
                <w:szCs w:val="20"/>
                <w:lang w:eastAsia="en-US"/>
              </w:rPr>
              <w:t>180,97</w:t>
            </w:r>
          </w:p>
        </w:tc>
        <w:tc>
          <w:tcPr>
            <w:tcW w:w="1134" w:type="dxa"/>
            <w:gridSpan w:val="2"/>
            <w:tcBorders/>
          </w:tcPr>
          <w:p>
            <w:pPr>
              <w:pStyle w:val="Normal"/>
              <w:spacing w:lineRule="auto" w:line="240"/>
              <w:jc w:val="center"/>
              <w:rPr>
                <w:color w:val="000000"/>
                <w:sz w:val="20"/>
                <w:szCs w:val="20"/>
              </w:rPr>
            </w:pPr>
            <w:r>
              <w:rPr>
                <w:color w:val="000000"/>
                <w:sz w:val="20"/>
                <w:szCs w:val="20"/>
                <w:lang w:eastAsia="en-US"/>
              </w:rPr>
              <w:t>9,05</w:t>
            </w:r>
          </w:p>
        </w:tc>
        <w:tc>
          <w:tcPr>
            <w:tcW w:w="994" w:type="dxa"/>
            <w:gridSpan w:val="2"/>
            <w:tcBorders/>
          </w:tcPr>
          <w:p>
            <w:pPr>
              <w:pStyle w:val="Normal"/>
              <w:spacing w:lineRule="auto" w:line="240"/>
              <w:jc w:val="center"/>
              <w:rPr>
                <w:color w:val="000000"/>
                <w:sz w:val="20"/>
                <w:szCs w:val="20"/>
              </w:rPr>
            </w:pPr>
            <w:r>
              <w:rPr>
                <w:color w:val="000000"/>
                <w:sz w:val="20"/>
                <w:szCs w:val="20"/>
                <w:lang w:eastAsia="en-US"/>
              </w:rPr>
              <w:t>10,86</w:t>
            </w:r>
          </w:p>
        </w:tc>
        <w:tc>
          <w:tcPr>
            <w:tcW w:w="991" w:type="dxa"/>
            <w:gridSpan w:val="2"/>
            <w:tcBorders/>
          </w:tcPr>
          <w:p>
            <w:pPr>
              <w:pStyle w:val="Normal"/>
              <w:spacing w:lineRule="auto" w:line="240"/>
              <w:jc w:val="center"/>
              <w:rPr>
                <w:color w:val="000000"/>
                <w:sz w:val="20"/>
                <w:szCs w:val="20"/>
              </w:rPr>
            </w:pPr>
            <w:r>
              <w:rPr>
                <w:color w:val="000000"/>
                <w:sz w:val="20"/>
                <w:szCs w:val="20"/>
                <w:lang w:eastAsia="en-US"/>
              </w:rPr>
              <w:t>200,88</w:t>
            </w:r>
          </w:p>
        </w:tc>
        <w:tc>
          <w:tcPr>
            <w:tcW w:w="992" w:type="dxa"/>
            <w:tcBorders/>
          </w:tcPr>
          <w:p>
            <w:pPr>
              <w:pStyle w:val="Normal"/>
              <w:spacing w:lineRule="auto" w:line="240"/>
              <w:jc w:val="center"/>
              <w:rPr>
                <w:color w:val="000000"/>
                <w:sz w:val="20"/>
                <w:szCs w:val="20"/>
              </w:rPr>
            </w:pPr>
            <w:r>
              <w:rPr>
                <w:color w:val="000000"/>
                <w:sz w:val="20"/>
                <w:szCs w:val="20"/>
                <w:lang w:eastAsia="en-US"/>
              </w:rPr>
              <w:t>184,14</w:t>
            </w:r>
          </w:p>
        </w:tc>
        <w:tc>
          <w:tcPr>
            <w:tcW w:w="1136" w:type="dxa"/>
            <w:tcBorders/>
          </w:tcPr>
          <w:p>
            <w:pPr>
              <w:pStyle w:val="Normal"/>
              <w:spacing w:lineRule="auto" w:line="240"/>
              <w:jc w:val="center"/>
              <w:rPr>
                <w:color w:val="000000"/>
                <w:sz w:val="20"/>
                <w:szCs w:val="20"/>
              </w:rPr>
            </w:pPr>
            <w:r>
              <w:rPr>
                <w:color w:val="000000"/>
                <w:sz w:val="20"/>
                <w:szCs w:val="20"/>
                <w:lang w:eastAsia="en-US"/>
              </w:rPr>
              <w:t>9,21</w:t>
            </w:r>
          </w:p>
        </w:tc>
        <w:tc>
          <w:tcPr>
            <w:tcW w:w="1166" w:type="dxa"/>
            <w:tcBorders/>
          </w:tcPr>
          <w:p>
            <w:pPr>
              <w:pStyle w:val="Normal"/>
              <w:spacing w:lineRule="auto" w:line="240"/>
              <w:jc w:val="center"/>
              <w:rPr>
                <w:color w:val="000000"/>
                <w:sz w:val="20"/>
                <w:szCs w:val="20"/>
              </w:rPr>
            </w:pPr>
            <w:r>
              <w:rPr>
                <w:color w:val="000000"/>
                <w:sz w:val="20"/>
                <w:szCs w:val="20"/>
                <w:lang w:eastAsia="en-US"/>
              </w:rPr>
              <w:t>14,73</w:t>
            </w:r>
          </w:p>
        </w:tc>
        <w:tc>
          <w:tcPr>
            <w:tcW w:w="1063" w:type="dxa"/>
            <w:gridSpan w:val="2"/>
            <w:tcBorders/>
          </w:tcPr>
          <w:p>
            <w:pPr>
              <w:pStyle w:val="Normal"/>
              <w:spacing w:lineRule="auto" w:line="240"/>
              <w:jc w:val="center"/>
              <w:rPr>
                <w:color w:val="000000"/>
                <w:sz w:val="20"/>
                <w:szCs w:val="20"/>
              </w:rPr>
            </w:pPr>
            <w:r>
              <w:rPr>
                <w:color w:val="000000"/>
                <w:sz w:val="20"/>
                <w:szCs w:val="20"/>
                <w:lang w:eastAsia="en-US"/>
              </w:rPr>
              <w:t>208,08</w:t>
            </w:r>
          </w:p>
        </w:tc>
      </w:tr>
      <w:tr>
        <w:trPr/>
        <w:tc>
          <w:tcPr>
            <w:tcW w:w="540" w:type="dxa"/>
            <w:gridSpan w:val="2"/>
            <w:tcBorders/>
          </w:tcPr>
          <w:p>
            <w:pPr>
              <w:pStyle w:val="Normal"/>
              <w:spacing w:lineRule="auto" w:line="240"/>
              <w:jc w:val="center"/>
              <w:rPr>
                <w:sz w:val="20"/>
                <w:szCs w:val="20"/>
              </w:rPr>
            </w:pPr>
            <w:r>
              <w:rPr>
                <w:sz w:val="20"/>
                <w:szCs w:val="20"/>
                <w:lang w:eastAsia="en-US"/>
              </w:rPr>
              <w:t>2</w:t>
            </w:r>
          </w:p>
        </w:tc>
        <w:tc>
          <w:tcPr>
            <w:tcW w:w="2009" w:type="dxa"/>
            <w:gridSpan w:val="2"/>
            <w:tcBorders/>
          </w:tcPr>
          <w:p>
            <w:pPr>
              <w:pStyle w:val="Normal"/>
              <w:spacing w:lineRule="auto" w:line="240"/>
              <w:jc w:val="left"/>
              <w:rPr>
                <w:bCs/>
                <w:sz w:val="20"/>
                <w:szCs w:val="24"/>
              </w:rPr>
            </w:pPr>
            <w:r>
              <w:rPr>
                <w:sz w:val="20"/>
                <w:szCs w:val="20"/>
                <w:lang w:eastAsia="en-US"/>
              </w:rPr>
              <w:t>п. Караоба</w:t>
            </w:r>
          </w:p>
        </w:tc>
        <w:tc>
          <w:tcPr>
            <w:tcW w:w="853" w:type="dxa"/>
            <w:gridSpan w:val="2"/>
            <w:tcBorders/>
          </w:tcPr>
          <w:p>
            <w:pPr>
              <w:pStyle w:val="Normal"/>
              <w:spacing w:lineRule="auto" w:line="240"/>
              <w:jc w:val="center"/>
              <w:rPr>
                <w:color w:val="000000"/>
                <w:sz w:val="20"/>
                <w:szCs w:val="20"/>
              </w:rPr>
            </w:pPr>
            <w:r>
              <w:rPr>
                <w:sz w:val="20"/>
                <w:szCs w:val="20"/>
                <w:lang w:eastAsia="en-US"/>
              </w:rPr>
              <w:t>130</w:t>
            </w:r>
          </w:p>
        </w:tc>
        <w:tc>
          <w:tcPr>
            <w:tcW w:w="850" w:type="dxa"/>
            <w:gridSpan w:val="2"/>
            <w:tcBorders/>
          </w:tcPr>
          <w:p>
            <w:pPr>
              <w:pStyle w:val="Normal"/>
              <w:spacing w:lineRule="auto" w:line="240"/>
              <w:jc w:val="center"/>
              <w:rPr>
                <w:color w:val="000000"/>
                <w:sz w:val="20"/>
                <w:szCs w:val="20"/>
              </w:rPr>
            </w:pPr>
            <w:r>
              <w:rPr>
                <w:sz w:val="20"/>
                <w:szCs w:val="20"/>
                <w:lang w:eastAsia="en-US"/>
              </w:rPr>
              <w:t>140</w:t>
            </w:r>
          </w:p>
        </w:tc>
        <w:tc>
          <w:tcPr>
            <w:tcW w:w="851" w:type="dxa"/>
            <w:tcBorders/>
          </w:tcPr>
          <w:p>
            <w:pPr>
              <w:pStyle w:val="Normal"/>
              <w:spacing w:lineRule="auto" w:line="240"/>
              <w:jc w:val="center"/>
              <w:rPr>
                <w:color w:val="000000"/>
                <w:sz w:val="20"/>
                <w:szCs w:val="20"/>
              </w:rPr>
            </w:pPr>
            <w:r>
              <w:rPr>
                <w:color w:val="000000"/>
                <w:sz w:val="20"/>
                <w:szCs w:val="20"/>
                <w:lang w:eastAsia="en-US"/>
              </w:rPr>
              <w:t>165</w:t>
            </w:r>
          </w:p>
        </w:tc>
        <w:tc>
          <w:tcPr>
            <w:tcW w:w="853" w:type="dxa"/>
            <w:tcBorders/>
          </w:tcPr>
          <w:p>
            <w:pPr>
              <w:pStyle w:val="Normal"/>
              <w:spacing w:lineRule="auto" w:line="240"/>
              <w:jc w:val="center"/>
              <w:rPr>
                <w:color w:val="000000"/>
                <w:sz w:val="20"/>
                <w:szCs w:val="20"/>
              </w:rPr>
            </w:pPr>
            <w:r>
              <w:rPr>
                <w:color w:val="000000"/>
                <w:sz w:val="20"/>
                <w:szCs w:val="20"/>
                <w:lang w:eastAsia="en-US"/>
              </w:rPr>
              <w:t>165</w:t>
            </w:r>
          </w:p>
        </w:tc>
        <w:tc>
          <w:tcPr>
            <w:tcW w:w="1137" w:type="dxa"/>
            <w:tcBorders/>
          </w:tcPr>
          <w:p>
            <w:pPr>
              <w:pStyle w:val="Normal"/>
              <w:spacing w:lineRule="auto" w:line="240"/>
              <w:jc w:val="center"/>
              <w:rPr>
                <w:color w:val="000000"/>
                <w:sz w:val="20"/>
                <w:szCs w:val="20"/>
              </w:rPr>
            </w:pPr>
            <w:r>
              <w:rPr>
                <w:color w:val="000000"/>
                <w:sz w:val="20"/>
                <w:szCs w:val="20"/>
                <w:lang w:eastAsia="en-US"/>
              </w:rPr>
              <w:t>25,74</w:t>
            </w:r>
          </w:p>
        </w:tc>
        <w:tc>
          <w:tcPr>
            <w:tcW w:w="1134" w:type="dxa"/>
            <w:gridSpan w:val="2"/>
            <w:tcBorders/>
          </w:tcPr>
          <w:p>
            <w:pPr>
              <w:pStyle w:val="Normal"/>
              <w:spacing w:lineRule="auto" w:line="240"/>
              <w:jc w:val="center"/>
              <w:rPr>
                <w:color w:val="000000"/>
                <w:sz w:val="20"/>
                <w:szCs w:val="20"/>
              </w:rPr>
            </w:pPr>
            <w:r>
              <w:rPr>
                <w:color w:val="000000"/>
                <w:sz w:val="20"/>
                <w:szCs w:val="20"/>
                <w:lang w:eastAsia="en-US"/>
              </w:rPr>
              <w:t>1,29</w:t>
            </w:r>
          </w:p>
        </w:tc>
        <w:tc>
          <w:tcPr>
            <w:tcW w:w="994" w:type="dxa"/>
            <w:gridSpan w:val="2"/>
            <w:tcBorders/>
          </w:tcPr>
          <w:p>
            <w:pPr>
              <w:pStyle w:val="Normal"/>
              <w:spacing w:lineRule="auto" w:line="240"/>
              <w:jc w:val="center"/>
              <w:rPr>
                <w:color w:val="000000"/>
                <w:sz w:val="20"/>
                <w:szCs w:val="20"/>
              </w:rPr>
            </w:pPr>
            <w:r>
              <w:rPr>
                <w:color w:val="000000"/>
                <w:sz w:val="20"/>
                <w:szCs w:val="20"/>
                <w:lang w:eastAsia="en-US"/>
              </w:rPr>
              <w:t>1,54</w:t>
            </w:r>
          </w:p>
        </w:tc>
        <w:tc>
          <w:tcPr>
            <w:tcW w:w="991" w:type="dxa"/>
            <w:gridSpan w:val="2"/>
            <w:tcBorders/>
          </w:tcPr>
          <w:p>
            <w:pPr>
              <w:pStyle w:val="Normal"/>
              <w:spacing w:lineRule="auto" w:line="240"/>
              <w:jc w:val="center"/>
              <w:rPr>
                <w:color w:val="000000"/>
                <w:sz w:val="20"/>
                <w:szCs w:val="20"/>
              </w:rPr>
            </w:pPr>
            <w:r>
              <w:rPr>
                <w:color w:val="000000"/>
                <w:sz w:val="20"/>
                <w:szCs w:val="20"/>
                <w:lang w:eastAsia="en-US"/>
              </w:rPr>
              <w:t>28,57</w:t>
            </w:r>
          </w:p>
        </w:tc>
        <w:tc>
          <w:tcPr>
            <w:tcW w:w="992" w:type="dxa"/>
            <w:tcBorders/>
          </w:tcPr>
          <w:p>
            <w:pPr>
              <w:pStyle w:val="Normal"/>
              <w:spacing w:lineRule="auto" w:line="240"/>
              <w:jc w:val="center"/>
              <w:rPr>
                <w:color w:val="000000"/>
                <w:sz w:val="20"/>
                <w:szCs w:val="20"/>
              </w:rPr>
            </w:pPr>
            <w:r>
              <w:rPr>
                <w:color w:val="000000"/>
                <w:sz w:val="20"/>
                <w:szCs w:val="20"/>
                <w:lang w:eastAsia="en-US"/>
              </w:rPr>
              <w:t>27,72</w:t>
            </w:r>
          </w:p>
        </w:tc>
        <w:tc>
          <w:tcPr>
            <w:tcW w:w="1136" w:type="dxa"/>
            <w:tcBorders/>
          </w:tcPr>
          <w:p>
            <w:pPr>
              <w:pStyle w:val="Normal"/>
              <w:spacing w:lineRule="auto" w:line="240"/>
              <w:jc w:val="center"/>
              <w:rPr>
                <w:color w:val="000000"/>
                <w:sz w:val="20"/>
                <w:szCs w:val="20"/>
              </w:rPr>
            </w:pPr>
            <w:r>
              <w:rPr>
                <w:color w:val="000000"/>
                <w:sz w:val="20"/>
                <w:szCs w:val="20"/>
                <w:lang w:eastAsia="en-US"/>
              </w:rPr>
              <w:t>1,39</w:t>
            </w:r>
          </w:p>
        </w:tc>
        <w:tc>
          <w:tcPr>
            <w:tcW w:w="1166" w:type="dxa"/>
            <w:tcBorders/>
          </w:tcPr>
          <w:p>
            <w:pPr>
              <w:pStyle w:val="Normal"/>
              <w:spacing w:lineRule="auto" w:line="240"/>
              <w:jc w:val="center"/>
              <w:rPr>
                <w:color w:val="000000"/>
                <w:sz w:val="20"/>
                <w:szCs w:val="20"/>
              </w:rPr>
            </w:pPr>
            <w:r>
              <w:rPr>
                <w:color w:val="000000"/>
                <w:sz w:val="20"/>
                <w:szCs w:val="20"/>
                <w:lang w:eastAsia="en-US"/>
              </w:rPr>
              <w:t>2,22</w:t>
            </w:r>
          </w:p>
        </w:tc>
        <w:tc>
          <w:tcPr>
            <w:tcW w:w="1063" w:type="dxa"/>
            <w:gridSpan w:val="2"/>
            <w:tcBorders/>
          </w:tcPr>
          <w:p>
            <w:pPr>
              <w:pStyle w:val="Normal"/>
              <w:spacing w:lineRule="auto" w:line="240"/>
              <w:jc w:val="center"/>
              <w:rPr>
                <w:color w:val="000000"/>
                <w:sz w:val="20"/>
                <w:szCs w:val="20"/>
              </w:rPr>
            </w:pPr>
            <w:r>
              <w:rPr>
                <w:color w:val="000000"/>
                <w:sz w:val="20"/>
                <w:szCs w:val="20"/>
                <w:lang w:eastAsia="en-US"/>
              </w:rPr>
              <w:t>31,32</w:t>
            </w:r>
          </w:p>
        </w:tc>
      </w:tr>
      <w:tr>
        <w:trPr/>
        <w:tc>
          <w:tcPr>
            <w:tcW w:w="540" w:type="dxa"/>
            <w:gridSpan w:val="2"/>
            <w:tcBorders/>
          </w:tcPr>
          <w:p>
            <w:pPr>
              <w:pStyle w:val="Normal"/>
              <w:spacing w:lineRule="auto" w:line="240"/>
              <w:jc w:val="center"/>
              <w:rPr>
                <w:sz w:val="20"/>
                <w:szCs w:val="20"/>
              </w:rPr>
            </w:pPr>
            <w:r>
              <w:rPr>
                <w:sz w:val="20"/>
                <w:szCs w:val="20"/>
                <w:lang w:eastAsia="en-US"/>
              </w:rPr>
              <w:t>3</w:t>
            </w:r>
          </w:p>
        </w:tc>
        <w:tc>
          <w:tcPr>
            <w:tcW w:w="2009" w:type="dxa"/>
            <w:gridSpan w:val="2"/>
            <w:tcBorders/>
          </w:tcPr>
          <w:p>
            <w:pPr>
              <w:pStyle w:val="Normal"/>
              <w:spacing w:lineRule="auto" w:line="240"/>
              <w:jc w:val="left"/>
              <w:rPr>
                <w:bCs/>
                <w:sz w:val="20"/>
                <w:szCs w:val="24"/>
              </w:rPr>
            </w:pPr>
            <w:r>
              <w:rPr>
                <w:sz w:val="20"/>
                <w:szCs w:val="20"/>
                <w:lang w:eastAsia="en-US"/>
              </w:rPr>
              <w:t>п. Комсомольский</w:t>
            </w:r>
          </w:p>
        </w:tc>
        <w:tc>
          <w:tcPr>
            <w:tcW w:w="853" w:type="dxa"/>
            <w:gridSpan w:val="2"/>
            <w:tcBorders/>
          </w:tcPr>
          <w:p>
            <w:pPr>
              <w:pStyle w:val="Normal"/>
              <w:spacing w:lineRule="auto" w:line="240"/>
              <w:jc w:val="center"/>
              <w:rPr>
                <w:color w:val="000000"/>
                <w:sz w:val="20"/>
                <w:szCs w:val="20"/>
              </w:rPr>
            </w:pPr>
            <w:r>
              <w:rPr>
                <w:sz w:val="20"/>
                <w:szCs w:val="20"/>
                <w:lang w:eastAsia="en-US"/>
              </w:rPr>
              <w:t>213</w:t>
            </w:r>
          </w:p>
        </w:tc>
        <w:tc>
          <w:tcPr>
            <w:tcW w:w="850" w:type="dxa"/>
            <w:gridSpan w:val="2"/>
            <w:tcBorders/>
          </w:tcPr>
          <w:p>
            <w:pPr>
              <w:pStyle w:val="Normal"/>
              <w:spacing w:lineRule="auto" w:line="240"/>
              <w:jc w:val="center"/>
              <w:rPr>
                <w:color w:val="000000"/>
                <w:sz w:val="20"/>
                <w:szCs w:val="20"/>
              </w:rPr>
            </w:pPr>
            <w:r>
              <w:rPr>
                <w:sz w:val="20"/>
                <w:szCs w:val="20"/>
                <w:lang w:eastAsia="en-US"/>
              </w:rPr>
              <w:t>222</w:t>
            </w:r>
          </w:p>
        </w:tc>
        <w:tc>
          <w:tcPr>
            <w:tcW w:w="851" w:type="dxa"/>
            <w:tcBorders/>
          </w:tcPr>
          <w:p>
            <w:pPr>
              <w:pStyle w:val="Normal"/>
              <w:spacing w:lineRule="auto" w:line="240"/>
              <w:jc w:val="center"/>
              <w:rPr>
                <w:color w:val="000000"/>
                <w:sz w:val="20"/>
                <w:szCs w:val="20"/>
              </w:rPr>
            </w:pPr>
            <w:r>
              <w:rPr>
                <w:color w:val="000000"/>
                <w:sz w:val="20"/>
                <w:szCs w:val="20"/>
                <w:lang w:eastAsia="en-US"/>
              </w:rPr>
              <w:t>165</w:t>
            </w:r>
          </w:p>
        </w:tc>
        <w:tc>
          <w:tcPr>
            <w:tcW w:w="853" w:type="dxa"/>
            <w:tcBorders/>
          </w:tcPr>
          <w:p>
            <w:pPr>
              <w:pStyle w:val="Normal"/>
              <w:spacing w:lineRule="auto" w:line="240"/>
              <w:jc w:val="center"/>
              <w:rPr>
                <w:color w:val="000000"/>
                <w:sz w:val="20"/>
                <w:szCs w:val="20"/>
              </w:rPr>
            </w:pPr>
            <w:r>
              <w:rPr>
                <w:color w:val="000000"/>
                <w:sz w:val="20"/>
                <w:szCs w:val="20"/>
                <w:lang w:eastAsia="en-US"/>
              </w:rPr>
              <w:t>165</w:t>
            </w:r>
          </w:p>
        </w:tc>
        <w:tc>
          <w:tcPr>
            <w:tcW w:w="1137" w:type="dxa"/>
            <w:tcBorders/>
          </w:tcPr>
          <w:p>
            <w:pPr>
              <w:pStyle w:val="Normal"/>
              <w:spacing w:lineRule="auto" w:line="240"/>
              <w:jc w:val="center"/>
              <w:rPr>
                <w:color w:val="000000"/>
                <w:sz w:val="20"/>
                <w:szCs w:val="20"/>
              </w:rPr>
            </w:pPr>
            <w:r>
              <w:rPr>
                <w:color w:val="000000"/>
                <w:sz w:val="20"/>
                <w:szCs w:val="20"/>
                <w:lang w:eastAsia="en-US"/>
              </w:rPr>
              <w:t>42,17</w:t>
            </w:r>
          </w:p>
        </w:tc>
        <w:tc>
          <w:tcPr>
            <w:tcW w:w="1134" w:type="dxa"/>
            <w:gridSpan w:val="2"/>
            <w:tcBorders/>
          </w:tcPr>
          <w:p>
            <w:pPr>
              <w:pStyle w:val="Normal"/>
              <w:spacing w:lineRule="auto" w:line="240"/>
              <w:jc w:val="center"/>
              <w:rPr>
                <w:color w:val="000000"/>
                <w:sz w:val="20"/>
                <w:szCs w:val="20"/>
              </w:rPr>
            </w:pPr>
            <w:r>
              <w:rPr>
                <w:color w:val="000000"/>
                <w:sz w:val="20"/>
                <w:szCs w:val="20"/>
                <w:lang w:eastAsia="en-US"/>
              </w:rPr>
              <w:t>2,11</w:t>
            </w:r>
          </w:p>
        </w:tc>
        <w:tc>
          <w:tcPr>
            <w:tcW w:w="994" w:type="dxa"/>
            <w:gridSpan w:val="2"/>
            <w:tcBorders/>
          </w:tcPr>
          <w:p>
            <w:pPr>
              <w:pStyle w:val="Normal"/>
              <w:spacing w:lineRule="auto" w:line="240"/>
              <w:jc w:val="center"/>
              <w:rPr>
                <w:color w:val="000000"/>
                <w:sz w:val="20"/>
                <w:szCs w:val="20"/>
              </w:rPr>
            </w:pPr>
            <w:r>
              <w:rPr>
                <w:color w:val="000000"/>
                <w:sz w:val="20"/>
                <w:szCs w:val="20"/>
                <w:lang w:eastAsia="en-US"/>
              </w:rPr>
              <w:t>2,53</w:t>
            </w:r>
          </w:p>
        </w:tc>
        <w:tc>
          <w:tcPr>
            <w:tcW w:w="991" w:type="dxa"/>
            <w:gridSpan w:val="2"/>
            <w:tcBorders/>
          </w:tcPr>
          <w:p>
            <w:pPr>
              <w:pStyle w:val="Normal"/>
              <w:spacing w:lineRule="auto" w:line="240"/>
              <w:jc w:val="center"/>
              <w:rPr>
                <w:color w:val="000000"/>
                <w:sz w:val="20"/>
                <w:szCs w:val="20"/>
              </w:rPr>
            </w:pPr>
            <w:r>
              <w:rPr>
                <w:color w:val="000000"/>
                <w:sz w:val="20"/>
                <w:szCs w:val="20"/>
                <w:lang w:eastAsia="en-US"/>
              </w:rPr>
              <w:t>46,81</w:t>
            </w:r>
          </w:p>
        </w:tc>
        <w:tc>
          <w:tcPr>
            <w:tcW w:w="992" w:type="dxa"/>
            <w:tcBorders/>
          </w:tcPr>
          <w:p>
            <w:pPr>
              <w:pStyle w:val="Normal"/>
              <w:spacing w:lineRule="auto" w:line="240"/>
              <w:jc w:val="center"/>
              <w:rPr>
                <w:color w:val="000000"/>
                <w:sz w:val="20"/>
                <w:szCs w:val="20"/>
              </w:rPr>
            </w:pPr>
            <w:r>
              <w:rPr>
                <w:color w:val="000000"/>
                <w:sz w:val="20"/>
                <w:szCs w:val="20"/>
                <w:lang w:eastAsia="en-US"/>
              </w:rPr>
              <w:t>43,96</w:t>
            </w:r>
          </w:p>
        </w:tc>
        <w:tc>
          <w:tcPr>
            <w:tcW w:w="1136" w:type="dxa"/>
            <w:tcBorders/>
          </w:tcPr>
          <w:p>
            <w:pPr>
              <w:pStyle w:val="Normal"/>
              <w:spacing w:lineRule="auto" w:line="240"/>
              <w:jc w:val="center"/>
              <w:rPr>
                <w:color w:val="000000"/>
                <w:sz w:val="20"/>
                <w:szCs w:val="20"/>
              </w:rPr>
            </w:pPr>
            <w:r>
              <w:rPr>
                <w:color w:val="000000"/>
                <w:sz w:val="20"/>
                <w:szCs w:val="20"/>
                <w:lang w:eastAsia="en-US"/>
              </w:rPr>
              <w:t>2,20</w:t>
            </w:r>
          </w:p>
        </w:tc>
        <w:tc>
          <w:tcPr>
            <w:tcW w:w="1166" w:type="dxa"/>
            <w:tcBorders/>
          </w:tcPr>
          <w:p>
            <w:pPr>
              <w:pStyle w:val="Normal"/>
              <w:spacing w:lineRule="auto" w:line="240"/>
              <w:jc w:val="center"/>
              <w:rPr>
                <w:color w:val="000000"/>
                <w:sz w:val="20"/>
                <w:szCs w:val="20"/>
              </w:rPr>
            </w:pPr>
            <w:r>
              <w:rPr>
                <w:color w:val="000000"/>
                <w:sz w:val="20"/>
                <w:szCs w:val="20"/>
                <w:lang w:eastAsia="en-US"/>
              </w:rPr>
              <w:t>3,52</w:t>
            </w:r>
          </w:p>
        </w:tc>
        <w:tc>
          <w:tcPr>
            <w:tcW w:w="1063" w:type="dxa"/>
            <w:gridSpan w:val="2"/>
            <w:tcBorders/>
          </w:tcPr>
          <w:p>
            <w:pPr>
              <w:pStyle w:val="Normal"/>
              <w:spacing w:lineRule="auto" w:line="240"/>
              <w:jc w:val="center"/>
              <w:rPr>
                <w:color w:val="000000"/>
                <w:sz w:val="20"/>
                <w:szCs w:val="20"/>
              </w:rPr>
            </w:pPr>
            <w:r>
              <w:rPr>
                <w:color w:val="000000"/>
                <w:sz w:val="20"/>
                <w:szCs w:val="20"/>
                <w:lang w:eastAsia="en-US"/>
              </w:rPr>
              <w:t>49,67</w:t>
            </w:r>
          </w:p>
        </w:tc>
      </w:tr>
      <w:tr>
        <w:trPr/>
        <w:tc>
          <w:tcPr>
            <w:tcW w:w="540" w:type="dxa"/>
            <w:gridSpan w:val="2"/>
            <w:tcBorders/>
          </w:tcPr>
          <w:p>
            <w:pPr>
              <w:pStyle w:val="Normal"/>
              <w:spacing w:lineRule="auto" w:line="240"/>
              <w:jc w:val="center"/>
              <w:rPr>
                <w:sz w:val="20"/>
                <w:szCs w:val="20"/>
              </w:rPr>
            </w:pPr>
            <w:r>
              <w:rPr>
                <w:sz w:val="20"/>
                <w:szCs w:val="20"/>
                <w:lang w:eastAsia="en-US"/>
              </w:rPr>
              <w:t>4</w:t>
            </w:r>
          </w:p>
        </w:tc>
        <w:tc>
          <w:tcPr>
            <w:tcW w:w="2009" w:type="dxa"/>
            <w:gridSpan w:val="2"/>
            <w:tcBorders/>
          </w:tcPr>
          <w:p>
            <w:pPr>
              <w:pStyle w:val="Normal"/>
              <w:spacing w:lineRule="auto" w:line="240"/>
              <w:jc w:val="left"/>
              <w:rPr>
                <w:bCs/>
                <w:sz w:val="20"/>
                <w:szCs w:val="24"/>
              </w:rPr>
            </w:pPr>
            <w:r>
              <w:rPr>
                <w:sz w:val="20"/>
                <w:szCs w:val="20"/>
                <w:lang w:eastAsia="en-US"/>
              </w:rPr>
              <w:t>п. Красноармейский</w:t>
            </w:r>
          </w:p>
        </w:tc>
        <w:tc>
          <w:tcPr>
            <w:tcW w:w="853" w:type="dxa"/>
            <w:gridSpan w:val="2"/>
            <w:tcBorders/>
          </w:tcPr>
          <w:p>
            <w:pPr>
              <w:pStyle w:val="Normal"/>
              <w:spacing w:lineRule="auto" w:line="240"/>
              <w:jc w:val="center"/>
              <w:rPr>
                <w:color w:val="000000"/>
                <w:sz w:val="20"/>
                <w:szCs w:val="20"/>
              </w:rPr>
            </w:pPr>
            <w:r>
              <w:rPr>
                <w:sz w:val="20"/>
                <w:szCs w:val="20"/>
                <w:lang w:eastAsia="en-US"/>
              </w:rPr>
              <w:t>220</w:t>
            </w:r>
          </w:p>
        </w:tc>
        <w:tc>
          <w:tcPr>
            <w:tcW w:w="850" w:type="dxa"/>
            <w:gridSpan w:val="2"/>
            <w:tcBorders/>
          </w:tcPr>
          <w:p>
            <w:pPr>
              <w:pStyle w:val="Normal"/>
              <w:spacing w:lineRule="auto" w:line="240"/>
              <w:jc w:val="center"/>
              <w:rPr>
                <w:color w:val="000000"/>
                <w:sz w:val="20"/>
                <w:szCs w:val="20"/>
              </w:rPr>
            </w:pPr>
            <w:r>
              <w:rPr>
                <w:sz w:val="20"/>
                <w:szCs w:val="20"/>
                <w:lang w:eastAsia="en-US"/>
              </w:rPr>
              <w:t>228</w:t>
            </w:r>
          </w:p>
        </w:tc>
        <w:tc>
          <w:tcPr>
            <w:tcW w:w="851" w:type="dxa"/>
            <w:tcBorders/>
          </w:tcPr>
          <w:p>
            <w:pPr>
              <w:pStyle w:val="Normal"/>
              <w:spacing w:lineRule="auto" w:line="240"/>
              <w:jc w:val="center"/>
              <w:rPr>
                <w:color w:val="000000"/>
                <w:sz w:val="20"/>
                <w:szCs w:val="20"/>
              </w:rPr>
            </w:pPr>
            <w:r>
              <w:rPr>
                <w:color w:val="000000"/>
                <w:sz w:val="20"/>
                <w:szCs w:val="20"/>
                <w:lang w:eastAsia="en-US"/>
              </w:rPr>
              <w:t>165</w:t>
            </w:r>
          </w:p>
        </w:tc>
        <w:tc>
          <w:tcPr>
            <w:tcW w:w="853" w:type="dxa"/>
            <w:tcBorders/>
          </w:tcPr>
          <w:p>
            <w:pPr>
              <w:pStyle w:val="Normal"/>
              <w:spacing w:lineRule="auto" w:line="240"/>
              <w:jc w:val="center"/>
              <w:rPr>
                <w:color w:val="000000"/>
                <w:sz w:val="20"/>
                <w:szCs w:val="20"/>
              </w:rPr>
            </w:pPr>
            <w:r>
              <w:rPr>
                <w:color w:val="000000"/>
                <w:sz w:val="20"/>
                <w:szCs w:val="20"/>
                <w:lang w:eastAsia="en-US"/>
              </w:rPr>
              <w:t>165</w:t>
            </w:r>
          </w:p>
        </w:tc>
        <w:tc>
          <w:tcPr>
            <w:tcW w:w="1137" w:type="dxa"/>
            <w:tcBorders/>
          </w:tcPr>
          <w:p>
            <w:pPr>
              <w:pStyle w:val="Normal"/>
              <w:spacing w:lineRule="auto" w:line="240"/>
              <w:jc w:val="center"/>
              <w:rPr>
                <w:color w:val="000000"/>
                <w:sz w:val="20"/>
                <w:szCs w:val="20"/>
              </w:rPr>
            </w:pPr>
            <w:r>
              <w:rPr>
                <w:color w:val="000000"/>
                <w:sz w:val="20"/>
                <w:szCs w:val="20"/>
                <w:lang w:eastAsia="en-US"/>
              </w:rPr>
              <w:t>43,56</w:t>
            </w:r>
          </w:p>
        </w:tc>
        <w:tc>
          <w:tcPr>
            <w:tcW w:w="1134" w:type="dxa"/>
            <w:gridSpan w:val="2"/>
            <w:tcBorders/>
          </w:tcPr>
          <w:p>
            <w:pPr>
              <w:pStyle w:val="Normal"/>
              <w:spacing w:lineRule="auto" w:line="240"/>
              <w:jc w:val="center"/>
              <w:rPr>
                <w:color w:val="000000"/>
                <w:sz w:val="20"/>
                <w:szCs w:val="20"/>
              </w:rPr>
            </w:pPr>
            <w:r>
              <w:rPr>
                <w:color w:val="000000"/>
                <w:sz w:val="20"/>
                <w:szCs w:val="20"/>
                <w:lang w:eastAsia="en-US"/>
              </w:rPr>
              <w:t>2,18</w:t>
            </w:r>
          </w:p>
        </w:tc>
        <w:tc>
          <w:tcPr>
            <w:tcW w:w="994" w:type="dxa"/>
            <w:gridSpan w:val="2"/>
            <w:tcBorders/>
          </w:tcPr>
          <w:p>
            <w:pPr>
              <w:pStyle w:val="Normal"/>
              <w:spacing w:lineRule="auto" w:line="240"/>
              <w:jc w:val="center"/>
              <w:rPr>
                <w:color w:val="000000"/>
                <w:sz w:val="20"/>
                <w:szCs w:val="20"/>
              </w:rPr>
            </w:pPr>
            <w:r>
              <w:rPr>
                <w:color w:val="000000"/>
                <w:sz w:val="20"/>
                <w:szCs w:val="20"/>
                <w:lang w:eastAsia="en-US"/>
              </w:rPr>
              <w:t>2,61</w:t>
            </w:r>
          </w:p>
        </w:tc>
        <w:tc>
          <w:tcPr>
            <w:tcW w:w="991" w:type="dxa"/>
            <w:gridSpan w:val="2"/>
            <w:tcBorders/>
          </w:tcPr>
          <w:p>
            <w:pPr>
              <w:pStyle w:val="Normal"/>
              <w:spacing w:lineRule="auto" w:line="240"/>
              <w:jc w:val="center"/>
              <w:rPr>
                <w:color w:val="000000"/>
                <w:sz w:val="20"/>
                <w:szCs w:val="20"/>
              </w:rPr>
            </w:pPr>
            <w:r>
              <w:rPr>
                <w:color w:val="000000"/>
                <w:sz w:val="20"/>
                <w:szCs w:val="20"/>
                <w:lang w:eastAsia="en-US"/>
              </w:rPr>
              <w:t>48,35</w:t>
            </w:r>
          </w:p>
        </w:tc>
        <w:tc>
          <w:tcPr>
            <w:tcW w:w="992" w:type="dxa"/>
            <w:tcBorders/>
          </w:tcPr>
          <w:p>
            <w:pPr>
              <w:pStyle w:val="Normal"/>
              <w:spacing w:lineRule="auto" w:line="240"/>
              <w:jc w:val="center"/>
              <w:rPr>
                <w:color w:val="000000"/>
                <w:sz w:val="20"/>
                <w:szCs w:val="20"/>
              </w:rPr>
            </w:pPr>
            <w:r>
              <w:rPr>
                <w:color w:val="000000"/>
                <w:sz w:val="20"/>
                <w:szCs w:val="20"/>
                <w:lang w:eastAsia="en-US"/>
              </w:rPr>
              <w:t>45,14</w:t>
            </w:r>
          </w:p>
        </w:tc>
        <w:tc>
          <w:tcPr>
            <w:tcW w:w="1136" w:type="dxa"/>
            <w:tcBorders/>
          </w:tcPr>
          <w:p>
            <w:pPr>
              <w:pStyle w:val="Normal"/>
              <w:spacing w:lineRule="auto" w:line="240"/>
              <w:jc w:val="center"/>
              <w:rPr>
                <w:color w:val="000000"/>
                <w:sz w:val="20"/>
                <w:szCs w:val="20"/>
              </w:rPr>
            </w:pPr>
            <w:r>
              <w:rPr>
                <w:color w:val="000000"/>
                <w:sz w:val="20"/>
                <w:szCs w:val="20"/>
                <w:lang w:eastAsia="en-US"/>
              </w:rPr>
              <w:t>2,26</w:t>
            </w:r>
          </w:p>
        </w:tc>
        <w:tc>
          <w:tcPr>
            <w:tcW w:w="1166" w:type="dxa"/>
            <w:tcBorders/>
          </w:tcPr>
          <w:p>
            <w:pPr>
              <w:pStyle w:val="Normal"/>
              <w:spacing w:lineRule="auto" w:line="240"/>
              <w:jc w:val="center"/>
              <w:rPr>
                <w:color w:val="000000"/>
                <w:sz w:val="20"/>
                <w:szCs w:val="20"/>
              </w:rPr>
            </w:pPr>
            <w:r>
              <w:rPr>
                <w:color w:val="000000"/>
                <w:sz w:val="20"/>
                <w:szCs w:val="20"/>
                <w:lang w:eastAsia="en-US"/>
              </w:rPr>
              <w:t>3,61</w:t>
            </w:r>
          </w:p>
        </w:tc>
        <w:tc>
          <w:tcPr>
            <w:tcW w:w="1063" w:type="dxa"/>
            <w:gridSpan w:val="2"/>
            <w:tcBorders/>
          </w:tcPr>
          <w:p>
            <w:pPr>
              <w:pStyle w:val="Normal"/>
              <w:spacing w:lineRule="auto" w:line="240"/>
              <w:jc w:val="center"/>
              <w:rPr>
                <w:color w:val="000000"/>
                <w:sz w:val="20"/>
                <w:szCs w:val="20"/>
              </w:rPr>
            </w:pPr>
            <w:r>
              <w:rPr>
                <w:color w:val="000000"/>
                <w:sz w:val="20"/>
                <w:szCs w:val="20"/>
                <w:lang w:eastAsia="en-US"/>
              </w:rPr>
              <w:t>51,01</w:t>
            </w:r>
          </w:p>
        </w:tc>
      </w:tr>
      <w:tr>
        <w:trPr/>
        <w:tc>
          <w:tcPr>
            <w:tcW w:w="5956" w:type="dxa"/>
            <w:gridSpan w:val="10"/>
            <w:tcBorders/>
          </w:tcPr>
          <w:p>
            <w:pPr>
              <w:pStyle w:val="Normal"/>
              <w:spacing w:lineRule="auto" w:line="240"/>
              <w:jc w:val="left"/>
              <w:rPr>
                <w:b/>
                <w:b/>
                <w:sz w:val="20"/>
                <w:szCs w:val="20"/>
              </w:rPr>
            </w:pPr>
            <w:r>
              <w:rPr>
                <w:b/>
                <w:sz w:val="20"/>
                <w:szCs w:val="20"/>
                <w:lang w:eastAsia="en-US"/>
              </w:rPr>
              <w:t>Итого</w:t>
            </w:r>
          </w:p>
        </w:tc>
        <w:tc>
          <w:tcPr>
            <w:tcW w:w="1137" w:type="dxa"/>
            <w:tcBorders/>
          </w:tcPr>
          <w:p>
            <w:pPr>
              <w:pStyle w:val="Normal"/>
              <w:spacing w:lineRule="auto" w:line="240"/>
              <w:jc w:val="center"/>
              <w:rPr>
                <w:b/>
                <w:b/>
                <w:color w:val="000000"/>
                <w:sz w:val="20"/>
                <w:szCs w:val="20"/>
              </w:rPr>
            </w:pPr>
            <w:r>
              <w:rPr>
                <w:b/>
                <w:color w:val="000000"/>
                <w:sz w:val="20"/>
                <w:szCs w:val="20"/>
                <w:lang w:eastAsia="en-US"/>
              </w:rPr>
              <w:t>292,44</w:t>
            </w:r>
          </w:p>
        </w:tc>
        <w:tc>
          <w:tcPr>
            <w:tcW w:w="1134" w:type="dxa"/>
            <w:gridSpan w:val="2"/>
            <w:tcBorders/>
          </w:tcPr>
          <w:p>
            <w:pPr>
              <w:pStyle w:val="Normal"/>
              <w:spacing w:lineRule="auto" w:line="240"/>
              <w:jc w:val="center"/>
              <w:rPr>
                <w:b/>
                <w:b/>
                <w:color w:val="000000"/>
                <w:sz w:val="20"/>
                <w:szCs w:val="20"/>
              </w:rPr>
            </w:pPr>
            <w:r>
              <w:rPr>
                <w:b/>
                <w:color w:val="000000"/>
                <w:sz w:val="20"/>
                <w:szCs w:val="20"/>
                <w:lang w:eastAsia="en-US"/>
              </w:rPr>
              <w:t>14,63</w:t>
            </w:r>
          </w:p>
        </w:tc>
        <w:tc>
          <w:tcPr>
            <w:tcW w:w="994" w:type="dxa"/>
            <w:gridSpan w:val="2"/>
            <w:tcBorders/>
          </w:tcPr>
          <w:p>
            <w:pPr>
              <w:pStyle w:val="Normal"/>
              <w:spacing w:lineRule="auto" w:line="240"/>
              <w:jc w:val="center"/>
              <w:rPr>
                <w:b/>
                <w:b/>
                <w:color w:val="000000"/>
                <w:sz w:val="20"/>
                <w:szCs w:val="20"/>
              </w:rPr>
            </w:pPr>
            <w:r>
              <w:rPr>
                <w:b/>
                <w:color w:val="000000"/>
                <w:sz w:val="20"/>
                <w:szCs w:val="20"/>
                <w:lang w:eastAsia="en-US"/>
              </w:rPr>
              <w:t>17,54</w:t>
            </w:r>
          </w:p>
        </w:tc>
        <w:tc>
          <w:tcPr>
            <w:tcW w:w="991" w:type="dxa"/>
            <w:gridSpan w:val="2"/>
            <w:tcBorders/>
          </w:tcPr>
          <w:p>
            <w:pPr>
              <w:pStyle w:val="Normal"/>
              <w:spacing w:lineRule="auto" w:line="240"/>
              <w:jc w:val="center"/>
              <w:rPr>
                <w:b/>
                <w:b/>
                <w:color w:val="000000"/>
                <w:sz w:val="20"/>
                <w:szCs w:val="20"/>
              </w:rPr>
            </w:pPr>
            <w:r>
              <w:rPr>
                <w:b/>
                <w:color w:val="000000"/>
                <w:sz w:val="20"/>
                <w:szCs w:val="20"/>
                <w:lang w:eastAsia="en-US"/>
              </w:rPr>
              <w:t>324,61</w:t>
            </w:r>
          </w:p>
        </w:tc>
        <w:tc>
          <w:tcPr>
            <w:tcW w:w="992" w:type="dxa"/>
            <w:tcBorders/>
          </w:tcPr>
          <w:p>
            <w:pPr>
              <w:pStyle w:val="Normal"/>
              <w:spacing w:lineRule="auto" w:line="240"/>
              <w:jc w:val="center"/>
              <w:rPr>
                <w:b/>
                <w:b/>
                <w:color w:val="000000"/>
                <w:sz w:val="20"/>
                <w:szCs w:val="20"/>
              </w:rPr>
            </w:pPr>
            <w:r>
              <w:rPr>
                <w:b/>
                <w:color w:val="000000"/>
                <w:sz w:val="20"/>
                <w:szCs w:val="20"/>
                <w:lang w:eastAsia="en-US"/>
              </w:rPr>
              <w:t>300,96</w:t>
            </w:r>
          </w:p>
        </w:tc>
        <w:tc>
          <w:tcPr>
            <w:tcW w:w="1136" w:type="dxa"/>
            <w:tcBorders/>
          </w:tcPr>
          <w:p>
            <w:pPr>
              <w:pStyle w:val="Normal"/>
              <w:spacing w:lineRule="auto" w:line="240"/>
              <w:jc w:val="center"/>
              <w:rPr>
                <w:b/>
                <w:b/>
                <w:color w:val="000000"/>
                <w:sz w:val="20"/>
                <w:szCs w:val="20"/>
              </w:rPr>
            </w:pPr>
            <w:r>
              <w:rPr>
                <w:b/>
                <w:color w:val="000000"/>
                <w:sz w:val="20"/>
                <w:szCs w:val="20"/>
                <w:lang w:eastAsia="en-US"/>
              </w:rPr>
              <w:t>15,06</w:t>
            </w:r>
          </w:p>
        </w:tc>
        <w:tc>
          <w:tcPr>
            <w:tcW w:w="1166" w:type="dxa"/>
            <w:tcBorders/>
          </w:tcPr>
          <w:p>
            <w:pPr>
              <w:pStyle w:val="Normal"/>
              <w:spacing w:lineRule="auto" w:line="240"/>
              <w:jc w:val="center"/>
              <w:rPr>
                <w:b/>
                <w:b/>
                <w:color w:val="000000"/>
                <w:sz w:val="20"/>
                <w:szCs w:val="20"/>
              </w:rPr>
            </w:pPr>
            <w:r>
              <w:rPr>
                <w:b/>
                <w:color w:val="000000"/>
                <w:sz w:val="20"/>
                <w:szCs w:val="20"/>
                <w:lang w:eastAsia="en-US"/>
              </w:rPr>
              <w:t>24,08</w:t>
            </w:r>
          </w:p>
        </w:tc>
        <w:tc>
          <w:tcPr>
            <w:tcW w:w="1063" w:type="dxa"/>
            <w:gridSpan w:val="2"/>
            <w:tcBorders/>
          </w:tcPr>
          <w:p>
            <w:pPr>
              <w:pStyle w:val="Normal"/>
              <w:spacing w:lineRule="auto" w:line="240"/>
              <w:jc w:val="center"/>
              <w:rPr>
                <w:b/>
                <w:b/>
                <w:color w:val="000000"/>
                <w:sz w:val="20"/>
                <w:szCs w:val="20"/>
              </w:rPr>
            </w:pPr>
            <w:r>
              <w:rPr>
                <w:b/>
                <w:color w:val="000000"/>
                <w:sz w:val="20"/>
                <w:szCs w:val="20"/>
                <w:lang w:eastAsia="en-US"/>
              </w:rPr>
              <w:t>340,08</w:t>
            </w:r>
          </w:p>
        </w:tc>
      </w:tr>
    </w:tbl>
    <w:p>
      <w:pPr>
        <w:sectPr>
          <w:headerReference w:type="default" r:id="rId106"/>
          <w:footerReference w:type="default" r:id="rId107"/>
          <w:type w:val="nextPage"/>
          <w:pgSz w:orient="landscape" w:w="16838" w:h="11906"/>
          <w:pgMar w:left="1134" w:right="1134" w:header="567" w:top="1418" w:footer="567" w:bottom="624" w:gutter="0"/>
          <w:pgNumType w:fmt="decimal"/>
          <w:formProt w:val="false"/>
          <w:textDirection w:val="lrTb"/>
          <w:docGrid w:type="default" w:linePitch="100" w:charSpace="0"/>
        </w:sectPr>
      </w:pPr>
    </w:p>
    <w:p>
      <w:pPr>
        <w:pStyle w:val="3"/>
        <w:numPr>
          <w:ilvl w:val="1"/>
          <w:numId w:val="17"/>
        </w:numPr>
        <w:spacing w:lineRule="auto" w:line="276" w:before="0" w:after="0"/>
        <w:rPr>
          <w:rFonts w:ascii="Times New Roman" w:hAnsi="Times New Roman"/>
          <w:sz w:val="24"/>
          <w:szCs w:val="24"/>
        </w:rPr>
      </w:pPr>
      <w:bookmarkStart w:id="191" w:name="_Toc182210490"/>
      <w:r>
        <w:rPr>
          <w:rFonts w:ascii="Times New Roman" w:hAnsi="Times New Roman"/>
          <w:sz w:val="24"/>
          <w:szCs w:val="24"/>
        </w:rPr>
        <w:t>Ливневая канализация</w:t>
      </w:r>
      <w:bookmarkEnd w:id="191"/>
    </w:p>
    <w:p>
      <w:pPr>
        <w:pStyle w:val="Normal"/>
        <w:spacing w:lineRule="auto" w:line="276" w:before="120" w:after="200"/>
        <w:ind w:firstLine="709"/>
        <w:jc w:val="left"/>
        <w:rPr>
          <w:b/>
          <w:b/>
        </w:rPr>
      </w:pPr>
      <w:r>
        <w:rPr>
          <w:b/>
        </w:rPr>
        <w:t>Анализ существующего состояния</w:t>
      </w:r>
    </w:p>
    <w:p>
      <w:pPr>
        <w:pStyle w:val="Normal"/>
        <w:shd w:val="clear" w:color="auto" w:fill="FFFFFF" w:themeFill="background1"/>
        <w:spacing w:lineRule="auto" w:line="276"/>
        <w:ind w:firstLine="709"/>
        <w:rPr>
          <w:rFonts w:eastAsia="Times New Roman"/>
          <w:szCs w:val="24"/>
          <w:lang w:eastAsia="ru-RU"/>
        </w:rPr>
      </w:pPr>
      <w:r>
        <w:rPr>
          <w:rFonts w:eastAsia="Times New Roman"/>
          <w:szCs w:val="24"/>
          <w:lang w:eastAsia="ru-RU"/>
        </w:rPr>
        <w:t>В настоящее время на территории Катенинского сельского поселения Варненского муниципального района Челябинской области отсутствует организованная система сбора, отвода и очистки поверхностного стока.</w:t>
      </w:r>
      <w:bookmarkStart w:id="192" w:name="_Toc75023811"/>
      <w:bookmarkEnd w:id="192"/>
    </w:p>
    <w:p>
      <w:pPr>
        <w:pStyle w:val="Normal"/>
        <w:spacing w:lineRule="auto" w:line="276"/>
        <w:ind w:firstLine="709"/>
        <w:jc w:val="left"/>
        <w:rPr>
          <w:b/>
          <w:b/>
        </w:rPr>
      </w:pPr>
      <w:r>
        <w:rPr>
          <w:b/>
        </w:rPr>
        <w:t>Информация об основных проблемах и ограничениях</w:t>
      </w:r>
    </w:p>
    <w:p>
      <w:pPr>
        <w:pStyle w:val="Normal"/>
        <w:spacing w:lineRule="auto" w:line="276"/>
        <w:ind w:firstLine="709"/>
        <w:rPr>
          <w:rFonts w:eastAsia="Calibri" w:eastAsiaTheme="minorHAnsi"/>
          <w:color w:val="000000"/>
          <w:szCs w:val="24"/>
          <w:lang w:eastAsia="ru-RU"/>
        </w:rPr>
      </w:pPr>
      <w:r>
        <w:rPr>
          <w:rFonts w:eastAsia="Times New Roman"/>
          <w:szCs w:val="24"/>
          <w:lang w:eastAsia="ru-RU"/>
        </w:rPr>
        <w:t xml:space="preserve">Организованная система сбора, отвода и очистки поверхностного стока </w:t>
      </w:r>
      <w:r>
        <w:rPr>
          <w:rFonts w:eastAsia="Calibri" w:eastAsiaTheme="minorHAnsi"/>
          <w:color w:val="000000"/>
          <w:szCs w:val="24"/>
          <w:lang w:eastAsia="ru-RU"/>
        </w:rPr>
        <w:t xml:space="preserve">на территории </w:t>
      </w:r>
      <w:r>
        <w:rPr>
          <w:rFonts w:eastAsia="Times New Roman"/>
          <w:szCs w:val="24"/>
          <w:lang w:eastAsia="ru-RU"/>
        </w:rPr>
        <w:t xml:space="preserve">Катенинского сельского поселения </w:t>
      </w:r>
      <w:r>
        <w:rPr>
          <w:rFonts w:eastAsia="Calibri" w:eastAsiaTheme="minorHAnsi"/>
          <w:color w:val="000000"/>
          <w:szCs w:val="24"/>
          <w:lang w:eastAsia="ru-RU"/>
        </w:rPr>
        <w:t>отсутствует.</w:t>
      </w:r>
    </w:p>
    <w:p>
      <w:pPr>
        <w:pStyle w:val="Normal"/>
        <w:spacing w:lineRule="auto" w:line="276"/>
        <w:ind w:firstLine="709"/>
        <w:jc w:val="left"/>
        <w:rPr>
          <w:b/>
          <w:b/>
        </w:rPr>
      </w:pPr>
      <w:r>
        <w:rPr>
          <w:b/>
        </w:rPr>
        <w:t>Направления развития</w:t>
      </w:r>
    </w:p>
    <w:p>
      <w:pPr>
        <w:pStyle w:val="Normal"/>
        <w:spacing w:lineRule="auto" w:line="276"/>
        <w:ind w:firstLine="709"/>
        <w:rPr>
          <w:rFonts w:eastAsia="Times New Roman"/>
          <w:szCs w:val="24"/>
          <w:lang w:eastAsia="ru-RU"/>
        </w:rPr>
      </w:pPr>
      <w:bookmarkStart w:id="193" w:name="_Toc493509826"/>
      <w:bookmarkStart w:id="194" w:name="_Toc67415000"/>
      <w:bookmarkEnd w:id="193"/>
      <w:r>
        <w:rPr/>
        <w:t xml:space="preserve">В Проекте принята раздельная система канализации, при которой поверхностные стоки отводятся по </w:t>
      </w:r>
      <w:r>
        <w:rPr>
          <w:rFonts w:eastAsia="Times New Roman"/>
          <w:szCs w:val="24"/>
          <w:lang w:eastAsia="ru-RU"/>
        </w:rPr>
        <w:t>самостоятельной сети дождевой канализации. Для сбора дождевой воды и решения проблемы избытка талых вод с обслуживаемой территории необходимо на следующих этапах проектирования разработать отдельный проект в соответствии с действующими нормативными документами.</w:t>
      </w:r>
    </w:p>
    <w:p>
      <w:pPr>
        <w:pStyle w:val="Normal"/>
        <w:spacing w:lineRule="auto" w:line="276"/>
        <w:ind w:firstLine="709"/>
        <w:rPr>
          <w:rFonts w:eastAsia="Times New Roman"/>
          <w:szCs w:val="24"/>
          <w:lang w:eastAsia="ru-RU"/>
        </w:rPr>
      </w:pPr>
      <w:r>
        <w:rPr>
          <w:rFonts w:eastAsia="Times New Roman"/>
          <w:szCs w:val="24"/>
          <w:lang w:eastAsia="ru-RU"/>
        </w:rPr>
        <w:t>Для очистки поверхностных вод рекомендуется использовать модульные водоочистные установки различных производителей, в состав которых входят несколько модулей, в частности песко- и нефтеотделители, сорбционные фильтры и обеззараживатели.</w:t>
      </w:r>
    </w:p>
    <w:p>
      <w:pPr>
        <w:pStyle w:val="Normal"/>
        <w:spacing w:lineRule="auto" w:line="276"/>
        <w:ind w:firstLine="709"/>
        <w:rPr>
          <w:rFonts w:eastAsia="Times New Roman"/>
          <w:szCs w:val="24"/>
          <w:lang w:eastAsia="ru-RU"/>
        </w:rPr>
      </w:pPr>
      <w:r>
        <w:rPr>
          <w:rFonts w:eastAsia="Times New Roman"/>
          <w:szCs w:val="24"/>
          <w:lang w:eastAsia="ru-RU"/>
        </w:rPr>
        <w:t>Санитарно-защитную зону от очистных сооружений поверхностного стока закрытого типа до жилой территории следует принимать 50 метров в соответствии СанПиН 2.2.1/2.1.1.1200-03 «Санитарно-защитные зоны и санитарная классификация предприятий, сооружений и иных объектов». Местоположение очистных сооружений и их площадь будут уточняться на последующих стадиях проектирования.</w:t>
      </w:r>
    </w:p>
    <w:p>
      <w:pPr>
        <w:pStyle w:val="3"/>
        <w:numPr>
          <w:ilvl w:val="1"/>
          <w:numId w:val="17"/>
        </w:numPr>
        <w:spacing w:lineRule="auto" w:line="276" w:before="120" w:after="0"/>
        <w:rPr>
          <w:rFonts w:ascii="Times New Roman" w:hAnsi="Times New Roman"/>
          <w:sz w:val="24"/>
          <w:szCs w:val="24"/>
        </w:rPr>
      </w:pPr>
      <w:bookmarkStart w:id="195" w:name="_Toc67415000"/>
      <w:bookmarkStart w:id="196" w:name="_Toc182210491"/>
      <w:r>
        <w:rPr>
          <w:rFonts w:ascii="Times New Roman" w:hAnsi="Times New Roman"/>
          <w:sz w:val="24"/>
          <w:szCs w:val="24"/>
        </w:rPr>
        <w:t>Теплоснабжение</w:t>
      </w:r>
      <w:bookmarkStart w:id="197" w:name="_Toc67415002"/>
      <w:bookmarkStart w:id="198" w:name="_Toc69297564"/>
      <w:bookmarkEnd w:id="195"/>
      <w:bookmarkEnd w:id="196"/>
    </w:p>
    <w:p>
      <w:pPr>
        <w:pStyle w:val="Normal"/>
        <w:spacing w:lineRule="auto" w:line="300"/>
        <w:ind w:firstLine="709"/>
        <w:rPr>
          <w:b/>
          <w:b/>
          <w:szCs w:val="24"/>
        </w:rPr>
      </w:pPr>
      <w:r>
        <w:rPr>
          <w:b/>
          <w:szCs w:val="24"/>
        </w:rPr>
        <w:t>Анализ существующего состояния</w:t>
      </w:r>
    </w:p>
    <w:p>
      <w:pPr>
        <w:pStyle w:val="Normal"/>
        <w:tabs>
          <w:tab w:val="clear" w:pos="708"/>
          <w:tab w:val="left" w:pos="540" w:leader="none"/>
        </w:tabs>
        <w:spacing w:lineRule="auto" w:line="300"/>
        <w:ind w:firstLine="709"/>
        <w:rPr>
          <w:szCs w:val="24"/>
        </w:rPr>
      </w:pPr>
      <w:r>
        <w:rPr>
          <w:szCs w:val="24"/>
        </w:rPr>
        <w:t>В настоящее время на территории Катенинского сельского поселения Варненского муниципального района Челябинской области присутствует децентрализованная система теплоснабжения.</w:t>
      </w:r>
    </w:p>
    <w:p>
      <w:pPr>
        <w:pStyle w:val="Normal"/>
        <w:tabs>
          <w:tab w:val="clear" w:pos="708"/>
          <w:tab w:val="left" w:pos="540" w:leader="none"/>
        </w:tabs>
        <w:spacing w:lineRule="auto" w:line="300"/>
        <w:ind w:firstLine="709"/>
        <w:rPr>
          <w:szCs w:val="24"/>
        </w:rPr>
      </w:pPr>
      <w:r>
        <w:rPr>
          <w:szCs w:val="24"/>
        </w:rPr>
        <w:t xml:space="preserve">Теплоснабжение жилых и общественных потребителей поселения осуществляется от индивидуальных источников. Индивидуальная жилая застройка, мелкие общественные и коммунально-бытовые потребители оборудованы автономными газовыми бытовыми котлами и печами на твердом топливе. Для горячего водоснабжения указанные потребители используют проточные газовые водонагреватели, двухконтурные отопительные котлы и электрические водонагреватели. </w:t>
      </w:r>
    </w:p>
    <w:p>
      <w:pPr>
        <w:pStyle w:val="Normal"/>
        <w:spacing w:lineRule="auto" w:line="300"/>
        <w:ind w:firstLine="709"/>
        <w:rPr>
          <w:b/>
          <w:b/>
          <w:szCs w:val="24"/>
        </w:rPr>
      </w:pPr>
      <w:r>
        <w:rPr>
          <w:b/>
          <w:szCs w:val="24"/>
        </w:rPr>
        <w:t>Направления развития</w:t>
      </w:r>
    </w:p>
    <w:p>
      <w:pPr>
        <w:pStyle w:val="Normal"/>
        <w:spacing w:lineRule="auto" w:line="300"/>
        <w:ind w:firstLine="709"/>
        <w:rPr>
          <w:szCs w:val="24"/>
          <w:lang w:eastAsia="ru-RU"/>
        </w:rPr>
      </w:pPr>
      <w:r>
        <w:rPr>
          <w:szCs w:val="24"/>
          <w:lang w:eastAsia="ru-RU"/>
        </w:rPr>
        <w:t xml:space="preserve">Генеральным планом </w:t>
      </w:r>
      <w:r>
        <w:rPr>
          <w:szCs w:val="24"/>
        </w:rPr>
        <w:t xml:space="preserve">Катенинского сельского поселения Варненского муниципального района Челябинской области </w:t>
      </w:r>
      <w:r>
        <w:rPr>
          <w:szCs w:val="24"/>
          <w:lang w:eastAsia="ru-RU"/>
        </w:rPr>
        <w:t>предусматривается сохранение действующей системы теплоснабжения. Развитие системы централизованного теплоснабжения на первую очередь и расчетный срок не предусматривается.</w:t>
      </w:r>
    </w:p>
    <w:p>
      <w:pPr>
        <w:pStyle w:val="Normal"/>
        <w:spacing w:lineRule="auto" w:line="300"/>
        <w:ind w:firstLine="709"/>
        <w:rPr>
          <w:rFonts w:eastAsia="Times New Roman"/>
          <w:szCs w:val="24"/>
          <w:lang w:eastAsia="ru-RU"/>
        </w:rPr>
      </w:pPr>
      <w:r>
        <w:rPr>
          <w:rFonts w:eastAsia="Times New Roman"/>
          <w:szCs w:val="24"/>
          <w:lang w:eastAsia="ru-RU"/>
        </w:rPr>
        <w:t>Генеральным планом на первую очередь и расчетный срок предлагается:</w:t>
      </w:r>
    </w:p>
    <w:p>
      <w:pPr>
        <w:pStyle w:val="Normal"/>
        <w:numPr>
          <w:ilvl w:val="0"/>
          <w:numId w:val="18"/>
        </w:numPr>
        <w:spacing w:lineRule="auto" w:line="300"/>
        <w:ind w:left="0" w:firstLine="425"/>
        <w:rPr>
          <w:rFonts w:eastAsia="Times New Roman"/>
          <w:szCs w:val="24"/>
          <w:lang w:eastAsia="ru-RU"/>
        </w:rPr>
      </w:pPr>
      <w:r>
        <w:rPr>
          <w:rFonts w:eastAsia="Times New Roman"/>
          <w:szCs w:val="24"/>
          <w:lang w:eastAsia="ru-RU"/>
        </w:rPr>
        <w:t>для отопления и горячего водоснабжения индивидуальных домов применение индивидуальных двухконтурных котлов, работающих на газовом топливе.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прокладке;</w:t>
      </w:r>
    </w:p>
    <w:p>
      <w:pPr>
        <w:pStyle w:val="Normal"/>
        <w:numPr>
          <w:ilvl w:val="0"/>
          <w:numId w:val="18"/>
        </w:numPr>
        <w:spacing w:lineRule="auto" w:line="300"/>
        <w:ind w:left="0" w:firstLine="425"/>
        <w:rPr>
          <w:rFonts w:eastAsia="Times New Roman"/>
          <w:szCs w:val="24"/>
          <w:lang w:eastAsia="ru-RU"/>
        </w:rPr>
      </w:pPr>
      <w:r>
        <w:rPr>
          <w:rFonts w:eastAsia="Times New Roman"/>
          <w:szCs w:val="24"/>
          <w:lang w:eastAsia="ru-RU"/>
        </w:rPr>
        <w:t>для теплоснабжения административных зданий с небольшим теплопотреблением и промышленных объектов использовать автономные источники тепла – отдельно стоящие и пристроенные блочно-модульные газовые котельные малой мощности.</w:t>
      </w:r>
    </w:p>
    <w:p>
      <w:pPr>
        <w:sectPr>
          <w:headerReference w:type="default" r:id="rId108"/>
          <w:footerReference w:type="default" r:id="rId109"/>
          <w:type w:val="nextPage"/>
          <w:pgSz w:w="11906" w:h="16838"/>
          <w:pgMar w:left="1134" w:right="567" w:header="567" w:top="1134" w:footer="567" w:bottom="1134" w:gutter="0"/>
          <w:pgNumType w:fmt="decimal"/>
          <w:formProt w:val="false"/>
          <w:textDirection w:val="lrTb"/>
          <w:docGrid w:type="default" w:linePitch="326" w:charSpace="0"/>
        </w:sectPr>
        <w:pStyle w:val="Normal"/>
        <w:spacing w:lineRule="auto" w:line="300"/>
        <w:ind w:firstLine="709"/>
        <w:rPr>
          <w:sz w:val="28"/>
          <w:szCs w:val="28"/>
        </w:rPr>
      </w:pPr>
      <w:r>
        <w:rPr>
          <w:szCs w:val="24"/>
        </w:rPr>
        <w:t>Строительство централизованных источников теплоснабжения на территории сельского поселения не предусматривается</w:t>
      </w:r>
      <w:r>
        <w:rPr>
          <w:sz w:val="28"/>
          <w:szCs w:val="28"/>
        </w:rPr>
        <w:t>.</w:t>
      </w:r>
    </w:p>
    <w:p>
      <w:pPr>
        <w:pStyle w:val="Normal"/>
        <w:rPr>
          <w:rFonts w:eastAsia="Times New Roman"/>
          <w:szCs w:val="24"/>
          <w:lang w:eastAsia="ru-RU"/>
        </w:rPr>
      </w:pPr>
      <w:r>
        <w:rPr/>
      </w:r>
    </w:p>
    <w:p>
      <w:pPr>
        <w:pStyle w:val="0212161"/>
        <w:rPr>
          <w:rFonts w:eastAsia="Times New Roman"/>
          <w:szCs w:val="24"/>
          <w:lang w:eastAsia="ru-RU"/>
        </w:rPr>
      </w:pPr>
      <w:bookmarkStart w:id="199" w:name="_Toc182210492"/>
      <w:bookmarkEnd w:id="198"/>
      <w:r>
        <w:rPr/>
        <w:t>8.6 Газоснабжение</w:t>
      </w:r>
      <w:bookmarkEnd w:id="199"/>
    </w:p>
    <w:p>
      <w:pPr>
        <w:pStyle w:val="Normal"/>
        <w:spacing w:lineRule="auto" w:line="300"/>
        <w:ind w:firstLine="709"/>
        <w:rPr>
          <w:b/>
          <w:b/>
          <w:szCs w:val="24"/>
        </w:rPr>
      </w:pPr>
      <w:bookmarkStart w:id="200" w:name="_Toc80966041"/>
      <w:bookmarkStart w:id="201" w:name="_Toc69297567"/>
      <w:r>
        <w:rPr>
          <w:b/>
          <w:szCs w:val="24"/>
        </w:rPr>
        <w:t>Анализ существующего состояния</w:t>
      </w:r>
    </w:p>
    <w:p>
      <w:pPr>
        <w:pStyle w:val="Normal"/>
        <w:spacing w:lineRule="auto" w:line="300"/>
        <w:ind w:firstLine="709"/>
        <w:rPr>
          <w:szCs w:val="24"/>
        </w:rPr>
      </w:pPr>
      <w:r>
        <w:rPr>
          <w:szCs w:val="24"/>
        </w:rPr>
        <w:t>В настоящее время на территории Катенинского сельского поселения Варненского муниципального района Челябинской области централизованное газоснабжение присутствует во всех населенных пунктах, кроме п. Караоба.</w:t>
      </w:r>
    </w:p>
    <w:p>
      <w:pPr>
        <w:pStyle w:val="Normal"/>
        <w:spacing w:lineRule="auto" w:line="300" w:before="0" w:after="200"/>
        <w:ind w:firstLine="709"/>
        <w:contextualSpacing/>
        <w:rPr>
          <w:szCs w:val="24"/>
        </w:rPr>
      </w:pPr>
      <w:r>
        <w:rPr>
          <w:szCs w:val="24"/>
        </w:rPr>
        <w:t>Газ используется в качестве основного топлива для существующих индивидуальных котельных, а также для газоснабжения жилого фонда (пищеприготовление, горячее водоснабжение и отопление).</w:t>
      </w:r>
    </w:p>
    <w:p>
      <w:pPr>
        <w:pStyle w:val="Normal"/>
        <w:spacing w:lineRule="auto" w:line="300" w:before="0" w:after="200"/>
        <w:ind w:firstLine="709"/>
        <w:contextualSpacing/>
        <w:rPr>
          <w:szCs w:val="24"/>
        </w:rPr>
      </w:pPr>
      <w:r>
        <w:rPr>
          <w:szCs w:val="24"/>
        </w:rPr>
        <w:t>Газоснабжение сельского поселения осуществляется от двух газораспределительных станций — ГРС с. Варна и ГРС п. Новониколаевка, расположенных за границей поселения.</w:t>
      </w:r>
    </w:p>
    <w:p>
      <w:pPr>
        <w:pStyle w:val="Normal"/>
        <w:spacing w:lineRule="auto" w:line="300" w:before="0" w:after="200"/>
        <w:ind w:firstLine="709"/>
        <w:contextualSpacing/>
        <w:rPr>
          <w:szCs w:val="24"/>
        </w:rPr>
      </w:pPr>
      <w:r>
        <w:rPr>
          <w:szCs w:val="24"/>
        </w:rPr>
        <w:t xml:space="preserve">Схема газоснабжения поселения трехступенчатая, представлена тупиковыми распределительными газопроводами, от ГРС проложены распределительные газопроводы высокого давления </w:t>
      </w:r>
      <w:r>
        <w:rPr>
          <w:szCs w:val="24"/>
          <w:lang w:val="en-US"/>
        </w:rPr>
        <w:t>I</w:t>
      </w:r>
      <w:r>
        <w:rPr>
          <w:szCs w:val="24"/>
        </w:rPr>
        <w:t xml:space="preserve"> категории (Ру=0,6–1,2 МПа) до ГГРП, от них проложены газопроводы высокого давления </w:t>
      </w:r>
      <w:r>
        <w:rPr>
          <w:szCs w:val="24"/>
          <w:lang w:val="en-US"/>
        </w:rPr>
        <w:t>II</w:t>
      </w:r>
      <w:r>
        <w:rPr>
          <w:szCs w:val="24"/>
        </w:rPr>
        <w:t xml:space="preserve"> категории (Ру=0,3-0,6 МПа) до ПРГ от них проложены газопроводы среднего давления (Ру=0,005-0,3 МПа) и низкого давления (Ру до 0,005 МПа) до потребителей. Всего на территории сельского поселения располагается 5 единиц ПРГ. Общая протяженность газопроводов составляет 45,680 км, в том числе высокого давления </w:t>
      </w:r>
      <w:r>
        <w:rPr>
          <w:szCs w:val="24"/>
          <w:lang w:val="en-US"/>
        </w:rPr>
        <w:t>I</w:t>
      </w:r>
      <w:r>
        <w:rPr>
          <w:szCs w:val="24"/>
        </w:rPr>
        <w:t xml:space="preserve"> категории — 26,330 км, высокого давления </w:t>
      </w:r>
      <w:r>
        <w:rPr>
          <w:szCs w:val="24"/>
          <w:lang w:val="en-US"/>
        </w:rPr>
        <w:t>II</w:t>
      </w:r>
      <w:r>
        <w:rPr>
          <w:szCs w:val="24"/>
        </w:rPr>
        <w:t xml:space="preserve"> категории – 19,270 км, среднего давления – 0,080 км. Газопроводы выполнены из стальных и полиэтиленовых труб, прокладка подземная и надземная.</w:t>
      </w:r>
    </w:p>
    <w:p>
      <w:pPr>
        <w:pStyle w:val="Normal"/>
        <w:spacing w:lineRule="auto" w:line="300"/>
        <w:ind w:firstLine="709"/>
        <w:rPr>
          <w:b/>
          <w:b/>
        </w:rPr>
      </w:pPr>
      <w:r>
        <w:rPr>
          <w:b/>
        </w:rPr>
        <w:t>Направления развития</w:t>
      </w:r>
    </w:p>
    <w:p>
      <w:pPr>
        <w:pStyle w:val="Normal"/>
        <w:spacing w:lineRule="auto" w:line="300"/>
        <w:ind w:firstLine="709"/>
        <w:rPr>
          <w:bCs/>
          <w:iCs/>
          <w:szCs w:val="24"/>
        </w:rPr>
      </w:pPr>
      <w:r>
        <w:rPr>
          <w:bCs/>
          <w:iCs/>
          <w:szCs w:val="24"/>
        </w:rPr>
        <w:t xml:space="preserve">Генеральным планом </w:t>
      </w:r>
      <w:r>
        <w:rPr>
          <w:szCs w:val="24"/>
        </w:rPr>
        <w:t xml:space="preserve">Катенинского сельского поселения Варненского муниципального района Челябинской области </w:t>
      </w:r>
      <w:r>
        <w:rPr>
          <w:bCs/>
          <w:iCs/>
          <w:szCs w:val="24"/>
        </w:rPr>
        <w:t>предусматривается сохранение и развитие централизованной системы газоснабжения.</w:t>
      </w:r>
    </w:p>
    <w:p>
      <w:pPr>
        <w:pStyle w:val="Normal"/>
        <w:spacing w:lineRule="auto" w:line="300"/>
        <w:ind w:firstLine="709"/>
        <w:rPr>
          <w:bCs/>
          <w:iCs/>
          <w:szCs w:val="24"/>
        </w:rPr>
      </w:pPr>
      <w:r>
        <w:rPr>
          <w:bCs/>
          <w:iCs/>
          <w:szCs w:val="24"/>
        </w:rPr>
        <w:t xml:space="preserve">Газоснабжение сельского поселения будет осуществляться от </w:t>
        <w:br/>
      </w:r>
      <w:r>
        <w:rPr>
          <w:szCs w:val="24"/>
        </w:rPr>
        <w:t>ГРС с. Варна и ГРС п. Новониколаевка</w:t>
      </w:r>
      <w:r>
        <w:rPr>
          <w:bCs/>
          <w:iCs/>
          <w:szCs w:val="24"/>
        </w:rPr>
        <w:t>, как и в настоящее время.</w:t>
      </w:r>
    </w:p>
    <w:p>
      <w:pPr>
        <w:pStyle w:val="Normal"/>
        <w:spacing w:lineRule="auto" w:line="300"/>
        <w:ind w:firstLine="709"/>
        <w:rPr>
          <w:sz w:val="22"/>
          <w:szCs w:val="20"/>
        </w:rPr>
      </w:pPr>
      <w:r>
        <w:rPr>
          <w:bCs/>
          <w:iCs/>
          <w:szCs w:val="24"/>
        </w:rPr>
        <w:t>Газ предполагается использовать на пищеприготовление, отопление, горячее водоснабжение жилого фонда, на нужды промпредприятий и как топливо для индивидуальных котельных.</w:t>
      </w:r>
      <w:r>
        <w:rPr>
          <w:sz w:val="22"/>
          <w:szCs w:val="20"/>
        </w:rPr>
        <w:t xml:space="preserve"> </w:t>
      </w:r>
    </w:p>
    <w:p>
      <w:pPr>
        <w:pStyle w:val="Normal"/>
        <w:spacing w:lineRule="auto" w:line="300"/>
        <w:ind w:firstLine="709"/>
        <w:rPr>
          <w:bCs/>
          <w:iCs/>
          <w:szCs w:val="24"/>
        </w:rPr>
      </w:pPr>
      <w:r>
        <w:rPr>
          <w:bCs/>
          <w:iCs/>
          <w:szCs w:val="24"/>
        </w:rPr>
        <w:t xml:space="preserve">Прокладка газопроводов предусматривается подземная с преодолением водных преград методом наклонного или горизонтального бурения. При пересечении железных и автомобильных дорог — подземная прокладка газопровода в защитных футлярах, с бестраншейной прокладкой на пересечении дорог с твердым покрытием и укладкой футляров открытым способом на грунтовых дорогах. На концах защитных футляров устанавливаются контрольные трубки для проверки утечки газа. Глубина прокладки газопровода принята не менее 0,8 м до верха трубы. </w:t>
      </w:r>
    </w:p>
    <w:p>
      <w:pPr>
        <w:pStyle w:val="Normal"/>
        <w:spacing w:lineRule="auto" w:line="300"/>
        <w:ind w:firstLine="709"/>
        <w:rPr>
          <w:bCs/>
          <w:iCs/>
          <w:szCs w:val="24"/>
        </w:rPr>
      </w:pPr>
      <w:r>
        <w:rPr>
          <w:bCs/>
          <w:iCs/>
          <w:szCs w:val="24"/>
        </w:rPr>
        <w:t>Газорегуляторные пункты применяются в шкафном и блочном исполнении в зависимости от производительности и назначения. Проектируемые индивидуальные котельные предлагается подключать к внутриквартальным сетям низкого давления.</w:t>
      </w:r>
    </w:p>
    <w:p>
      <w:pPr>
        <w:pStyle w:val="Normal"/>
        <w:spacing w:lineRule="auto" w:line="300"/>
        <w:ind w:firstLine="720"/>
        <w:rPr>
          <w:bCs/>
          <w:iCs/>
          <w:szCs w:val="24"/>
        </w:rPr>
      </w:pPr>
      <w:r>
        <w:rPr>
          <w:bCs/>
          <w:iCs/>
          <w:szCs w:val="24"/>
        </w:rPr>
        <w:t>Перечень планируемых мероприятий федерального и регионального значений по развитию системы газоснабжения представлен в таблице 1.8.5.7</w:t>
      </w:r>
    </w:p>
    <w:p>
      <w:pPr>
        <w:pStyle w:val="Normal"/>
        <w:spacing w:lineRule="auto" w:line="300"/>
        <w:ind w:firstLine="720"/>
        <w:rPr>
          <w:bCs/>
          <w:iCs/>
          <w:szCs w:val="24"/>
        </w:rPr>
      </w:pPr>
      <w:r>
        <w:rPr>
          <w:bCs/>
          <w:iCs/>
          <w:szCs w:val="24"/>
        </w:rPr>
        <w:t>Перечень планируемых мероприятий местного значения муниципального района по развитию системы газоснабжения приведен в таблице 1.8.5.7</w:t>
      </w:r>
    </w:p>
    <w:p>
      <w:pPr>
        <w:sectPr>
          <w:headerReference w:type="default" r:id="rId110"/>
          <w:footerReference w:type="default" r:id="rId111"/>
          <w:type w:val="nextPage"/>
          <w:pgSz w:w="11906" w:h="16838"/>
          <w:pgMar w:left="1134" w:right="567" w:header="567" w:top="1134" w:footer="567" w:bottom="1134" w:gutter="0"/>
          <w:pgNumType w:fmt="decimal"/>
          <w:formProt w:val="false"/>
          <w:textDirection w:val="lrTb"/>
          <w:docGrid w:type="default" w:linePitch="326" w:charSpace="0"/>
        </w:sectPr>
        <w:pStyle w:val="Normal"/>
        <w:spacing w:lineRule="auto" w:line="240"/>
        <w:ind w:firstLine="720"/>
        <w:rPr>
          <w:sz w:val="28"/>
          <w:szCs w:val="28"/>
          <w:lang w:eastAsia="ru-RU"/>
        </w:rPr>
      </w:pPr>
      <w:r>
        <w:rPr>
          <w:sz w:val="28"/>
          <w:szCs w:val="28"/>
          <w:lang w:eastAsia="ru-RU"/>
        </w:rPr>
      </w:r>
    </w:p>
    <w:p>
      <w:pPr>
        <w:pStyle w:val="Normal"/>
        <w:widowControl w:val="false"/>
        <w:tabs>
          <w:tab w:val="clear" w:pos="708"/>
          <w:tab w:val="left" w:pos="1276" w:leader="none"/>
        </w:tabs>
        <w:spacing w:lineRule="auto" w:line="276" w:before="0" w:after="200"/>
        <w:ind w:left="709" w:firstLine="720"/>
        <w:contextualSpacing/>
        <w:jc w:val="right"/>
        <w:rPr>
          <w:szCs w:val="24"/>
        </w:rPr>
      </w:pPr>
      <w:r>
        <w:rPr>
          <w:rFonts w:eastAsia="Times New Roman"/>
          <w:szCs w:val="24"/>
        </w:rPr>
        <w:t>Таблица 1.8.5.6</w:t>
      </w:r>
    </w:p>
    <w:p>
      <w:pPr>
        <w:pStyle w:val="Normal"/>
        <w:spacing w:lineRule="auto" w:line="276" w:before="0" w:after="200"/>
        <w:ind w:right="-2" w:hanging="0"/>
        <w:contextualSpacing/>
        <w:jc w:val="center"/>
        <w:rPr>
          <w:rFonts w:eastAsia="Times New Roman"/>
          <w:iCs/>
          <w:color w:val="000000"/>
          <w:szCs w:val="24"/>
          <w:lang w:eastAsia="ru-RU"/>
        </w:rPr>
      </w:pPr>
      <w:r>
        <w:rPr>
          <w:rFonts w:eastAsia="Times New Roman"/>
          <w:iCs/>
          <w:color w:val="000000"/>
          <w:szCs w:val="24"/>
          <w:lang w:eastAsia="ru-RU"/>
        </w:rPr>
        <w:t xml:space="preserve">Перечень мероприятий федерального и регионального значений по развитию системы </w:t>
      </w:r>
      <w:r>
        <w:rPr/>
        <w:t>газоснабжения</w:t>
      </w:r>
    </w:p>
    <w:tbl>
      <w:tblPr>
        <w:tblStyle w:val="aff"/>
        <w:tblW w:w="5000" w:type="pct"/>
        <w:jc w:val="left"/>
        <w:tblInd w:w="-108" w:type="dxa"/>
        <w:tblCellMar>
          <w:top w:w="0" w:type="dxa"/>
          <w:left w:w="108" w:type="dxa"/>
          <w:bottom w:w="0" w:type="dxa"/>
          <w:right w:w="108" w:type="dxa"/>
        </w:tblCellMar>
        <w:tblLook w:firstRow="1" w:noVBand="1" w:lastRow="0" w:firstColumn="1" w:lastColumn="0" w:noHBand="0" w:val="04a0"/>
      </w:tblPr>
      <w:tblGrid>
        <w:gridCol w:w="419"/>
        <w:gridCol w:w="991"/>
        <w:gridCol w:w="4532"/>
        <w:gridCol w:w="1978"/>
        <w:gridCol w:w="2407"/>
        <w:gridCol w:w="4242"/>
      </w:tblGrid>
      <w:tr>
        <w:trPr>
          <w:trHeight w:val="1629" w:hRule="atLeast"/>
        </w:trPr>
        <w:tc>
          <w:tcPr>
            <w:tcW w:w="419" w:type="dxa"/>
            <w:tcBorders>
              <w:bottom w:val="nil"/>
            </w:tcBorders>
            <w:vAlign w:val="center"/>
          </w:tcPr>
          <w:p>
            <w:pPr>
              <w:pStyle w:val="Normal"/>
              <w:widowControl w:val="false"/>
              <w:tabs>
                <w:tab w:val="clear" w:pos="708"/>
                <w:tab w:val="left" w:pos="1276" w:leader="none"/>
              </w:tabs>
              <w:spacing w:lineRule="auto" w:line="240"/>
              <w:jc w:val="center"/>
              <w:rPr>
                <w:b/>
                <w:b/>
                <w:sz w:val="20"/>
              </w:rPr>
            </w:pPr>
            <w:r>
              <w:rPr>
                <w:b/>
                <w:sz w:val="20"/>
              </w:rPr>
              <w:t>№</w:t>
            </w:r>
          </w:p>
        </w:tc>
        <w:tc>
          <w:tcPr>
            <w:tcW w:w="991" w:type="dxa"/>
            <w:tcBorders>
              <w:bottom w:val="nil"/>
            </w:tcBorders>
            <w:vAlign w:val="center"/>
          </w:tcPr>
          <w:p>
            <w:pPr>
              <w:pStyle w:val="Normal"/>
              <w:widowControl w:val="false"/>
              <w:tabs>
                <w:tab w:val="clear" w:pos="708"/>
                <w:tab w:val="left" w:pos="1276" w:leader="none"/>
              </w:tabs>
              <w:spacing w:lineRule="auto" w:line="240"/>
              <w:ind w:right="142" w:hanging="0"/>
              <w:jc w:val="center"/>
              <w:rPr>
                <w:b/>
                <w:b/>
                <w:sz w:val="20"/>
              </w:rPr>
            </w:pPr>
            <w:r>
              <w:rPr>
                <w:b/>
                <w:bCs/>
                <w:color w:val="000000"/>
                <w:sz w:val="20"/>
              </w:rPr>
              <w:t xml:space="preserve">№ </w:t>
            </w:r>
            <w:r>
              <w:rPr>
                <w:b/>
                <w:bCs/>
                <w:color w:val="000000"/>
                <w:sz w:val="20"/>
              </w:rPr>
              <w:t>на карте</w:t>
            </w:r>
          </w:p>
        </w:tc>
        <w:tc>
          <w:tcPr>
            <w:tcW w:w="4532" w:type="dxa"/>
            <w:tcBorders>
              <w:bottom w:val="nil"/>
            </w:tcBorders>
            <w:vAlign w:val="center"/>
          </w:tcPr>
          <w:p>
            <w:pPr>
              <w:pStyle w:val="Normal"/>
              <w:widowControl w:val="false"/>
              <w:tabs>
                <w:tab w:val="clear" w:pos="708"/>
                <w:tab w:val="left" w:pos="1276" w:leader="none"/>
              </w:tabs>
              <w:spacing w:lineRule="auto" w:line="240"/>
              <w:ind w:right="142" w:hanging="0"/>
              <w:jc w:val="center"/>
              <w:rPr>
                <w:b/>
                <w:b/>
                <w:sz w:val="20"/>
              </w:rPr>
            </w:pPr>
            <w:r>
              <w:rPr>
                <w:b/>
                <w:sz w:val="20"/>
              </w:rPr>
              <w:t>Мероприятие</w:t>
            </w:r>
          </w:p>
        </w:tc>
        <w:tc>
          <w:tcPr>
            <w:tcW w:w="1978" w:type="dxa"/>
            <w:tcBorders>
              <w:bottom w:val="nil"/>
            </w:tcBorders>
            <w:vAlign w:val="center"/>
          </w:tcPr>
          <w:p>
            <w:pPr>
              <w:pStyle w:val="Normal"/>
              <w:widowControl w:val="false"/>
              <w:tabs>
                <w:tab w:val="clear" w:pos="708"/>
                <w:tab w:val="left" w:pos="1276" w:leader="none"/>
              </w:tabs>
              <w:spacing w:lineRule="auto" w:line="240"/>
              <w:ind w:right="142" w:hanging="0"/>
              <w:jc w:val="center"/>
              <w:rPr>
                <w:b/>
                <w:b/>
                <w:sz w:val="20"/>
              </w:rPr>
            </w:pPr>
            <w:r>
              <w:rPr>
                <w:b/>
                <w:bCs/>
                <w:sz w:val="20"/>
              </w:rPr>
              <w:t>Планируемый срок реализации</w:t>
            </w:r>
          </w:p>
        </w:tc>
        <w:tc>
          <w:tcPr>
            <w:tcW w:w="2407" w:type="dxa"/>
            <w:tcBorders>
              <w:bottom w:val="nil"/>
            </w:tcBorders>
            <w:vAlign w:val="center"/>
          </w:tcPr>
          <w:p>
            <w:pPr>
              <w:pStyle w:val="Normal"/>
              <w:widowControl w:val="false"/>
              <w:tabs>
                <w:tab w:val="clear" w:pos="708"/>
                <w:tab w:val="left" w:pos="1276" w:leader="none"/>
              </w:tabs>
              <w:spacing w:lineRule="auto" w:line="240"/>
              <w:ind w:right="142" w:hanging="0"/>
              <w:jc w:val="center"/>
              <w:rPr>
                <w:b/>
                <w:b/>
                <w:sz w:val="20"/>
              </w:rPr>
            </w:pPr>
            <w:r>
              <w:rPr>
                <w:b/>
                <w:sz w:val="20"/>
              </w:rPr>
              <w:t>Параметры *</w:t>
            </w:r>
          </w:p>
        </w:tc>
        <w:tc>
          <w:tcPr>
            <w:tcW w:w="4242" w:type="dxa"/>
            <w:tcBorders>
              <w:bottom w:val="nil"/>
            </w:tcBorders>
            <w:vAlign w:val="center"/>
          </w:tcPr>
          <w:p>
            <w:pPr>
              <w:pStyle w:val="Normal"/>
              <w:widowControl w:val="false"/>
              <w:tabs>
                <w:tab w:val="clear" w:pos="708"/>
                <w:tab w:val="left" w:pos="1276" w:leader="none"/>
              </w:tabs>
              <w:spacing w:lineRule="auto" w:line="240"/>
              <w:ind w:right="142" w:hanging="0"/>
              <w:jc w:val="center"/>
              <w:rPr>
                <w:b/>
                <w:b/>
                <w:sz w:val="20"/>
              </w:rPr>
            </w:pPr>
            <w:r>
              <w:rPr>
                <w:b/>
                <w:sz w:val="20"/>
              </w:rPr>
              <w:t>Наименование документов стратегического планирования, национальных проектов, инвестиционных программ субъектов естественных монополий, организаций коммунального комплекса, решений органов местного самоуправления, иных главных распорядителей средств соответствующих бюджетов, предусматривающих создание объекта</w:t>
            </w:r>
          </w:p>
        </w:tc>
      </w:tr>
    </w:tbl>
    <w:p>
      <w:pPr>
        <w:pStyle w:val="Normal"/>
        <w:widowControl w:val="false"/>
        <w:tabs>
          <w:tab w:val="clear" w:pos="708"/>
          <w:tab w:val="left" w:pos="1276" w:leader="none"/>
        </w:tabs>
        <w:spacing w:lineRule="auto" w:line="12"/>
        <w:ind w:right="142" w:hanging="0"/>
        <w:rPr>
          <w:szCs w:val="24"/>
        </w:rPr>
      </w:pPr>
      <w:r>
        <w:rPr>
          <w:szCs w:val="24"/>
        </w:rPr>
      </w:r>
    </w:p>
    <w:tbl>
      <w:tblPr>
        <w:tblStyle w:val="aff"/>
        <w:tblW w:w="5000" w:type="pct"/>
        <w:jc w:val="left"/>
        <w:tblInd w:w="-108" w:type="dxa"/>
        <w:tblCellMar>
          <w:top w:w="0" w:type="dxa"/>
          <w:left w:w="108" w:type="dxa"/>
          <w:bottom w:w="0" w:type="dxa"/>
          <w:right w:w="108" w:type="dxa"/>
        </w:tblCellMar>
        <w:tblLook w:firstRow="1" w:noVBand="1" w:lastRow="0" w:firstColumn="1" w:lastColumn="0" w:noHBand="0" w:val="04a0"/>
      </w:tblPr>
      <w:tblGrid>
        <w:gridCol w:w="419"/>
        <w:gridCol w:w="991"/>
        <w:gridCol w:w="4528"/>
        <w:gridCol w:w="1982"/>
        <w:gridCol w:w="2404"/>
        <w:gridCol w:w="4245"/>
      </w:tblGrid>
      <w:tr>
        <w:trPr>
          <w:tblHeader w:val="true"/>
        </w:trPr>
        <w:tc>
          <w:tcPr>
            <w:tcW w:w="419" w:type="dxa"/>
            <w:tcBorders/>
            <w:shd w:color="auto" w:fill="auto" w:val="clear"/>
            <w:vAlign w:val="center"/>
          </w:tcPr>
          <w:p>
            <w:pPr>
              <w:pStyle w:val="Normal"/>
              <w:widowControl w:val="false"/>
              <w:tabs>
                <w:tab w:val="clear" w:pos="708"/>
                <w:tab w:val="left" w:pos="1276" w:leader="none"/>
              </w:tabs>
              <w:spacing w:lineRule="auto" w:line="240"/>
              <w:ind w:right="142" w:hanging="0"/>
              <w:jc w:val="center"/>
              <w:rPr>
                <w:b/>
                <w:b/>
                <w:sz w:val="20"/>
              </w:rPr>
            </w:pPr>
            <w:r>
              <w:rPr>
                <w:b/>
                <w:sz w:val="20"/>
              </w:rPr>
              <w:t>1</w:t>
            </w:r>
          </w:p>
        </w:tc>
        <w:tc>
          <w:tcPr>
            <w:tcW w:w="991" w:type="dxa"/>
            <w:tcBorders/>
            <w:shd w:color="auto" w:fill="auto" w:val="clear"/>
          </w:tcPr>
          <w:p>
            <w:pPr>
              <w:pStyle w:val="Normal"/>
              <w:widowControl w:val="false"/>
              <w:tabs>
                <w:tab w:val="clear" w:pos="708"/>
                <w:tab w:val="left" w:pos="1276" w:leader="none"/>
              </w:tabs>
              <w:spacing w:lineRule="auto" w:line="240"/>
              <w:ind w:right="142" w:hanging="0"/>
              <w:jc w:val="center"/>
              <w:rPr>
                <w:b/>
                <w:b/>
                <w:sz w:val="20"/>
              </w:rPr>
            </w:pPr>
            <w:r>
              <w:rPr>
                <w:b/>
                <w:sz w:val="20"/>
              </w:rPr>
              <w:t>2</w:t>
            </w:r>
          </w:p>
        </w:tc>
        <w:tc>
          <w:tcPr>
            <w:tcW w:w="4528" w:type="dxa"/>
            <w:tcBorders/>
            <w:shd w:color="auto" w:fill="auto" w:val="clear"/>
            <w:vAlign w:val="center"/>
          </w:tcPr>
          <w:p>
            <w:pPr>
              <w:pStyle w:val="Normal"/>
              <w:widowControl w:val="false"/>
              <w:tabs>
                <w:tab w:val="clear" w:pos="708"/>
                <w:tab w:val="left" w:pos="1276" w:leader="none"/>
              </w:tabs>
              <w:spacing w:lineRule="auto" w:line="240"/>
              <w:ind w:right="142" w:hanging="0"/>
              <w:jc w:val="center"/>
              <w:rPr>
                <w:b/>
                <w:b/>
                <w:sz w:val="20"/>
              </w:rPr>
            </w:pPr>
            <w:r>
              <w:rPr>
                <w:b/>
                <w:sz w:val="20"/>
              </w:rPr>
              <w:t>3</w:t>
            </w:r>
          </w:p>
        </w:tc>
        <w:tc>
          <w:tcPr>
            <w:tcW w:w="1982" w:type="dxa"/>
            <w:tcBorders/>
            <w:shd w:color="auto" w:fill="auto" w:val="clear"/>
            <w:vAlign w:val="center"/>
          </w:tcPr>
          <w:p>
            <w:pPr>
              <w:pStyle w:val="Normal"/>
              <w:widowControl w:val="false"/>
              <w:tabs>
                <w:tab w:val="clear" w:pos="708"/>
                <w:tab w:val="left" w:pos="1276" w:leader="none"/>
              </w:tabs>
              <w:spacing w:lineRule="auto" w:line="240"/>
              <w:ind w:right="142" w:hanging="0"/>
              <w:jc w:val="center"/>
              <w:rPr>
                <w:b/>
                <w:b/>
                <w:sz w:val="20"/>
              </w:rPr>
            </w:pPr>
            <w:r>
              <w:rPr>
                <w:b/>
                <w:sz w:val="20"/>
              </w:rPr>
              <w:t>4</w:t>
            </w:r>
          </w:p>
        </w:tc>
        <w:tc>
          <w:tcPr>
            <w:tcW w:w="2404" w:type="dxa"/>
            <w:tcBorders/>
            <w:shd w:color="auto" w:fill="auto" w:val="clear"/>
            <w:vAlign w:val="center"/>
          </w:tcPr>
          <w:p>
            <w:pPr>
              <w:pStyle w:val="Normal"/>
              <w:widowControl w:val="false"/>
              <w:tabs>
                <w:tab w:val="clear" w:pos="708"/>
                <w:tab w:val="left" w:pos="1276" w:leader="none"/>
              </w:tabs>
              <w:spacing w:lineRule="auto" w:line="240"/>
              <w:ind w:right="142" w:hanging="0"/>
              <w:jc w:val="center"/>
              <w:rPr>
                <w:b/>
                <w:b/>
                <w:sz w:val="20"/>
              </w:rPr>
            </w:pPr>
            <w:r>
              <w:rPr>
                <w:b/>
                <w:sz w:val="20"/>
              </w:rPr>
              <w:t>5</w:t>
            </w:r>
          </w:p>
        </w:tc>
        <w:tc>
          <w:tcPr>
            <w:tcW w:w="4245" w:type="dxa"/>
            <w:tcBorders/>
            <w:shd w:color="auto" w:fill="auto" w:val="clear"/>
          </w:tcPr>
          <w:p>
            <w:pPr>
              <w:pStyle w:val="Normal"/>
              <w:widowControl w:val="false"/>
              <w:tabs>
                <w:tab w:val="clear" w:pos="708"/>
                <w:tab w:val="left" w:pos="1276" w:leader="none"/>
              </w:tabs>
              <w:spacing w:lineRule="auto" w:line="240"/>
              <w:ind w:right="142" w:hanging="0"/>
              <w:jc w:val="center"/>
              <w:rPr>
                <w:b/>
                <w:b/>
                <w:sz w:val="20"/>
              </w:rPr>
            </w:pPr>
            <w:r>
              <w:rPr>
                <w:b/>
                <w:sz w:val="20"/>
              </w:rPr>
              <w:t>6</w:t>
            </w:r>
          </w:p>
        </w:tc>
      </w:tr>
      <w:tr>
        <w:trPr/>
        <w:tc>
          <w:tcPr>
            <w:tcW w:w="419" w:type="dxa"/>
            <w:tcBorders/>
            <w:shd w:color="auto" w:fill="auto" w:val="clear"/>
          </w:tcPr>
          <w:p>
            <w:pPr>
              <w:pStyle w:val="Normal"/>
              <w:widowControl w:val="false"/>
              <w:numPr>
                <w:ilvl w:val="0"/>
                <w:numId w:val="19"/>
              </w:numPr>
              <w:tabs>
                <w:tab w:val="clear" w:pos="708"/>
                <w:tab w:val="left" w:pos="1276" w:leader="none"/>
              </w:tabs>
              <w:spacing w:lineRule="auto" w:line="240" w:before="0" w:after="200"/>
              <w:ind w:left="0" w:hanging="0"/>
              <w:contextualSpacing/>
              <w:jc w:val="center"/>
              <w:rPr>
                <w:rFonts w:eastAsia="Times New Roman"/>
                <w:sz w:val="20"/>
                <w:lang w:eastAsia="ru-RU"/>
              </w:rPr>
            </w:pPr>
            <w:r>
              <w:rPr>
                <w:rFonts w:eastAsia="Times New Roman"/>
                <w:sz w:val="20"/>
                <w:lang w:eastAsia="ru-RU"/>
              </w:rPr>
            </w:r>
          </w:p>
        </w:tc>
        <w:tc>
          <w:tcPr>
            <w:tcW w:w="991" w:type="dxa"/>
            <w:tcBorders/>
            <w:shd w:color="auto" w:fill="auto" w:val="clear"/>
          </w:tcPr>
          <w:p>
            <w:pPr>
              <w:pStyle w:val="Normal"/>
              <w:spacing w:lineRule="auto" w:line="240"/>
              <w:ind w:right="-109" w:hanging="6"/>
              <w:jc w:val="center"/>
              <w:rPr>
                <w:rFonts w:eastAsia="Times New Roman"/>
                <w:iCs/>
                <w:color w:val="000000"/>
                <w:sz w:val="20"/>
                <w:szCs w:val="20"/>
                <w:lang w:eastAsia="ru-RU"/>
              </w:rPr>
            </w:pPr>
            <w:r>
              <w:rPr>
                <w:sz w:val="20"/>
                <w:szCs w:val="20"/>
              </w:rPr>
              <w:t>РТ.1.1</w:t>
            </w:r>
          </w:p>
        </w:tc>
        <w:tc>
          <w:tcPr>
            <w:tcW w:w="4528" w:type="dxa"/>
            <w:tcBorders/>
            <w:shd w:color="auto" w:fill="auto" w:val="clear"/>
          </w:tcPr>
          <w:p>
            <w:pPr>
              <w:pStyle w:val="Normal"/>
              <w:spacing w:lineRule="auto" w:line="240"/>
              <w:jc w:val="left"/>
              <w:rPr>
                <w:rFonts w:eastAsia="Times New Roman"/>
                <w:color w:val="000000"/>
                <w:sz w:val="20"/>
                <w:szCs w:val="20"/>
                <w:lang w:eastAsia="ru-RU"/>
              </w:rPr>
            </w:pPr>
            <w:r>
              <w:rPr>
                <w:sz w:val="20"/>
                <w:szCs w:val="20"/>
              </w:rPr>
              <w:t>Газопровод распределительный высокого давления</w:t>
            </w:r>
          </w:p>
        </w:tc>
        <w:tc>
          <w:tcPr>
            <w:tcW w:w="1982" w:type="dxa"/>
            <w:tcBorders/>
            <w:shd w:color="auto" w:fill="auto" w:val="clear"/>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до 2045 года</w:t>
            </w:r>
          </w:p>
        </w:tc>
        <w:tc>
          <w:tcPr>
            <w:tcW w:w="2404" w:type="dxa"/>
            <w:tcBorders/>
            <w:shd w:color="auto" w:fill="auto" w:val="clear"/>
          </w:tcPr>
          <w:p>
            <w:pPr>
              <w:pStyle w:val="Normal"/>
              <w:spacing w:lineRule="auto" w:line="240"/>
              <w:jc w:val="left"/>
              <w:rPr>
                <w:sz w:val="20"/>
                <w:szCs w:val="20"/>
              </w:rPr>
            </w:pPr>
            <w:r>
              <w:rPr>
                <w:sz w:val="20"/>
                <w:szCs w:val="20"/>
              </w:rPr>
              <w:t xml:space="preserve">Высокое давление </w:t>
            </w:r>
            <w:r>
              <w:rPr>
                <w:sz w:val="20"/>
                <w:szCs w:val="20"/>
                <w:lang w:val="en-US"/>
              </w:rPr>
              <w:t>I</w:t>
            </w:r>
            <w:r>
              <w:rPr>
                <w:sz w:val="20"/>
                <w:szCs w:val="20"/>
              </w:rPr>
              <w:t xml:space="preserve"> категории (св. 0,6 до 1,2 МПа включительно);</w:t>
            </w:r>
          </w:p>
          <w:p>
            <w:pPr>
              <w:pStyle w:val="Normal"/>
              <w:spacing w:lineRule="auto" w:line="240"/>
              <w:jc w:val="left"/>
              <w:rPr>
                <w:rFonts w:eastAsia="Times New Roman"/>
                <w:color w:val="000000"/>
                <w:sz w:val="20"/>
                <w:szCs w:val="20"/>
                <w:lang w:eastAsia="ru-RU"/>
              </w:rPr>
            </w:pPr>
            <w:r>
              <w:rPr>
                <w:sz w:val="20"/>
                <w:szCs w:val="20"/>
              </w:rPr>
              <w:t>Протяженность — 2,580 км</w:t>
            </w:r>
          </w:p>
        </w:tc>
        <w:tc>
          <w:tcPr>
            <w:tcW w:w="4245" w:type="dxa"/>
            <w:tcBorders/>
            <w:shd w:color="auto" w:fill="auto" w:val="clear"/>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Генеральная схема газоснабжения и газификации Челябинской области.</w:t>
            </w:r>
          </w:p>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r>
          </w:p>
        </w:tc>
      </w:tr>
    </w:tbl>
    <w:p>
      <w:pPr>
        <w:pStyle w:val="Normal"/>
        <w:spacing w:lineRule="auto" w:line="240" w:before="0" w:after="200"/>
        <w:ind w:left="425" w:hanging="0"/>
        <w:contextualSpacing/>
        <w:jc w:val="left"/>
        <w:rPr>
          <w:rFonts w:ascii="Calibri" w:hAnsi="Calibri" w:eastAsia="Times New Roman"/>
          <w:color w:val="000000"/>
          <w:sz w:val="28"/>
          <w:szCs w:val="28"/>
          <w:lang w:eastAsia="ru-RU"/>
        </w:rPr>
      </w:pPr>
      <w:r>
        <w:rPr>
          <w:rFonts w:eastAsia="Times New Roman"/>
          <w:sz w:val="20"/>
          <w:szCs w:val="20"/>
          <w:lang w:eastAsia="ru-RU"/>
        </w:rPr>
        <w:t>Примечание — * характеристики объектов федерального и регионального значения уточнить при рабочем проектировании</w:t>
      </w:r>
    </w:p>
    <w:p>
      <w:pPr>
        <w:pStyle w:val="Normal"/>
        <w:spacing w:lineRule="auto" w:line="276" w:before="0" w:after="200"/>
        <w:ind w:right="-2" w:hanging="0"/>
        <w:contextualSpacing/>
        <w:jc w:val="right"/>
        <w:rPr>
          <w:rFonts w:eastAsia="Times New Roman"/>
          <w:iCs/>
          <w:color w:val="000000"/>
          <w:szCs w:val="24"/>
          <w:lang w:eastAsia="ru-RU"/>
        </w:rPr>
      </w:pPr>
      <w:r>
        <w:rPr>
          <w:rFonts w:eastAsia="Times New Roman"/>
          <w:iCs/>
          <w:color w:val="000000"/>
          <w:szCs w:val="24"/>
          <w:lang w:eastAsia="ru-RU"/>
        </w:rPr>
        <w:t>Таблица 1.8.5.7</w:t>
      </w:r>
    </w:p>
    <w:p>
      <w:pPr>
        <w:pStyle w:val="Normal"/>
        <w:spacing w:lineRule="auto" w:line="276" w:before="0" w:after="200"/>
        <w:ind w:right="-2" w:hanging="0"/>
        <w:contextualSpacing/>
        <w:jc w:val="center"/>
        <w:rPr>
          <w:rFonts w:eastAsia="Times New Roman"/>
          <w:iCs/>
          <w:color w:val="000000"/>
          <w:szCs w:val="24"/>
          <w:lang w:eastAsia="ru-RU"/>
        </w:rPr>
      </w:pPr>
      <w:r>
        <w:rPr>
          <w:rFonts w:eastAsia="Times New Roman"/>
          <w:iCs/>
          <w:color w:val="000000"/>
          <w:szCs w:val="24"/>
          <w:lang w:eastAsia="ru-RU"/>
        </w:rPr>
        <w:t>Перечень планируемых мероприятий местного значения муниципального района по развитию системы газоснабжения</w:t>
      </w:r>
    </w:p>
    <w:tbl>
      <w:tblPr>
        <w:tblW w:w="5000" w:type="pct"/>
        <w:jc w:val="left"/>
        <w:tblInd w:w="-255" w:type="dxa"/>
        <w:tblCellMar>
          <w:top w:w="0" w:type="dxa"/>
          <w:left w:w="108" w:type="dxa"/>
          <w:bottom w:w="0" w:type="dxa"/>
          <w:right w:w="108" w:type="dxa"/>
        </w:tblCellMar>
        <w:tblLook w:firstRow="1" w:noVBand="1" w:lastRow="0" w:firstColumn="1" w:lastColumn="0" w:noHBand="0" w:val="04a0"/>
      </w:tblPr>
      <w:tblGrid>
        <w:gridCol w:w="562"/>
        <w:gridCol w:w="1266"/>
        <w:gridCol w:w="1265"/>
        <w:gridCol w:w="419"/>
        <w:gridCol w:w="1545"/>
        <w:gridCol w:w="1965"/>
        <w:gridCol w:w="1967"/>
        <w:gridCol w:w="842"/>
        <w:gridCol w:w="2104"/>
        <w:gridCol w:w="2633"/>
      </w:tblGrid>
      <w:tr>
        <w:trPr>
          <w:trHeight w:val="20" w:hRule="atLeast"/>
        </w:trPr>
        <w:tc>
          <w:tcPr>
            <w:tcW w:w="562"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bCs/>
                <w:color w:val="000000"/>
                <w:sz w:val="20"/>
                <w:szCs w:val="20"/>
                <w:lang w:eastAsia="ru-RU"/>
              </w:rPr>
            </w:pPr>
            <w:r>
              <w:rPr>
                <w:b/>
                <w:bCs/>
                <w:sz w:val="20"/>
                <w:szCs w:val="20"/>
              </w:rPr>
              <w:t>№</w:t>
            </w:r>
            <w:r>
              <w:rPr>
                <w:b/>
                <w:bCs/>
                <w:sz w:val="20"/>
                <w:szCs w:val="20"/>
              </w:rPr>
              <w:t>п/п</w:t>
            </w:r>
          </w:p>
        </w:tc>
        <w:tc>
          <w:tcPr>
            <w:tcW w:w="1266"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color w:val="000000"/>
                <w:sz w:val="20"/>
                <w:szCs w:val="20"/>
                <w:lang w:eastAsia="ru-RU"/>
              </w:rPr>
            </w:pPr>
            <w:r>
              <w:rPr>
                <w:b/>
                <w:bCs/>
                <w:color w:val="000000"/>
                <w:sz w:val="20"/>
                <w:szCs w:val="20"/>
              </w:rPr>
              <w:t xml:space="preserve">№ </w:t>
            </w:r>
            <w:r>
              <w:rPr>
                <w:b/>
                <w:bCs/>
                <w:color w:val="000000"/>
                <w:sz w:val="20"/>
                <w:szCs w:val="20"/>
              </w:rPr>
              <w:t>на карте</w:t>
            </w:r>
          </w:p>
        </w:tc>
        <w:tc>
          <w:tcPr>
            <w:tcW w:w="1265"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bCs/>
                <w:color w:val="000000"/>
                <w:sz w:val="20"/>
                <w:szCs w:val="20"/>
                <w:lang w:eastAsia="ru-RU"/>
              </w:rPr>
            </w:pPr>
            <w:r>
              <w:rPr>
                <w:b/>
                <w:bCs/>
                <w:sz w:val="20"/>
                <w:szCs w:val="20"/>
              </w:rPr>
              <w:t>Наименование объекта</w:t>
            </w:r>
          </w:p>
        </w:tc>
        <w:tc>
          <w:tcPr>
            <w:tcW w:w="419" w:type="dxa"/>
            <w:tcBorders>
              <w:top w:val="single" w:sz="4" w:space="0" w:color="000000"/>
              <w:left w:val="single" w:sz="4" w:space="0" w:color="000000"/>
              <w:right w:val="single" w:sz="4" w:space="0" w:color="000000"/>
            </w:tcBorders>
            <w:shd w:color="auto" w:fill="auto" w:val="clear"/>
            <w:textDirection w:val="btLr"/>
            <w:vAlign w:val="center"/>
          </w:tcPr>
          <w:p>
            <w:pPr>
              <w:pStyle w:val="Normal"/>
              <w:spacing w:lineRule="auto" w:line="240"/>
              <w:jc w:val="center"/>
              <w:rPr>
                <w:rFonts w:eastAsia="Times New Roman"/>
                <w:b/>
                <w:b/>
                <w:bCs/>
                <w:color w:val="000000"/>
                <w:sz w:val="20"/>
                <w:szCs w:val="20"/>
                <w:lang w:eastAsia="ru-RU"/>
              </w:rPr>
            </w:pPr>
            <w:r>
              <w:rPr>
                <w:b/>
                <w:bCs/>
                <w:sz w:val="20"/>
                <w:szCs w:val="20"/>
              </w:rPr>
              <w:t>Статус *</w:t>
            </w:r>
          </w:p>
        </w:tc>
        <w:tc>
          <w:tcPr>
            <w:tcW w:w="1545"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bCs/>
                <w:color w:val="000000"/>
                <w:sz w:val="20"/>
                <w:szCs w:val="20"/>
                <w:lang w:eastAsia="ru-RU"/>
              </w:rPr>
            </w:pPr>
            <w:r>
              <w:rPr>
                <w:b/>
                <w:bCs/>
                <w:sz w:val="20"/>
                <w:szCs w:val="20"/>
              </w:rPr>
              <w:t>Местоположение</w:t>
            </w:r>
          </w:p>
        </w:tc>
        <w:tc>
          <w:tcPr>
            <w:tcW w:w="1965"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bCs/>
                <w:color w:val="000000"/>
                <w:sz w:val="20"/>
                <w:szCs w:val="20"/>
                <w:lang w:eastAsia="ru-RU"/>
              </w:rPr>
            </w:pPr>
            <w:r>
              <w:rPr>
                <w:b/>
                <w:bCs/>
                <w:sz w:val="20"/>
                <w:szCs w:val="20"/>
              </w:rPr>
              <w:t>Основные характеристики **</w:t>
            </w:r>
          </w:p>
        </w:tc>
        <w:tc>
          <w:tcPr>
            <w:tcW w:w="1967"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bCs/>
                <w:color w:val="000000"/>
                <w:sz w:val="20"/>
                <w:szCs w:val="20"/>
                <w:lang w:eastAsia="ru-RU"/>
              </w:rPr>
            </w:pPr>
            <w:r>
              <w:rPr>
                <w:b/>
                <w:bCs/>
                <w:sz w:val="20"/>
                <w:szCs w:val="20"/>
              </w:rPr>
              <w:t>Назначение</w:t>
            </w:r>
          </w:p>
        </w:tc>
        <w:tc>
          <w:tcPr>
            <w:tcW w:w="842" w:type="dxa"/>
            <w:tcBorders>
              <w:top w:val="single" w:sz="4" w:space="0" w:color="000000"/>
              <w:left w:val="single" w:sz="4" w:space="0" w:color="000000"/>
              <w:right w:val="single" w:sz="4" w:space="0" w:color="000000"/>
            </w:tcBorders>
            <w:shd w:color="auto" w:fill="auto" w:val="clear"/>
            <w:textDirection w:val="btLr"/>
            <w:vAlign w:val="center"/>
          </w:tcPr>
          <w:p>
            <w:pPr>
              <w:pStyle w:val="Normal"/>
              <w:spacing w:lineRule="auto" w:line="240"/>
              <w:jc w:val="center"/>
              <w:rPr>
                <w:rFonts w:eastAsia="Times New Roman"/>
                <w:b/>
                <w:b/>
                <w:bCs/>
                <w:color w:val="000000"/>
                <w:sz w:val="20"/>
                <w:szCs w:val="20"/>
                <w:lang w:eastAsia="ru-RU"/>
              </w:rPr>
            </w:pPr>
            <w:r>
              <w:rPr>
                <w:b/>
                <w:bCs/>
                <w:sz w:val="20"/>
                <w:szCs w:val="20"/>
              </w:rPr>
              <w:t>Планируемый срок реализации</w:t>
            </w:r>
          </w:p>
        </w:tc>
        <w:tc>
          <w:tcPr>
            <w:tcW w:w="2104"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bCs/>
                <w:color w:val="000000"/>
                <w:sz w:val="20"/>
                <w:szCs w:val="20"/>
                <w:lang w:eastAsia="ru-RU"/>
              </w:rPr>
            </w:pPr>
            <w:r>
              <w:rPr>
                <w:b/>
                <w:bCs/>
                <w:sz w:val="20"/>
                <w:szCs w:val="20"/>
              </w:rPr>
              <w:t>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p>
        </w:tc>
        <w:tc>
          <w:tcPr>
            <w:tcW w:w="2633"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bCs/>
                <w:color w:val="000000"/>
                <w:sz w:val="20"/>
                <w:szCs w:val="20"/>
                <w:lang w:eastAsia="ru-RU"/>
              </w:rPr>
            </w:pPr>
            <w:r>
              <w:rPr>
                <w:b/>
                <w:bCs/>
                <w:sz w:val="20"/>
                <w:szCs w:val="20"/>
              </w:rPr>
              <w:t>Наименование документов стратегического планирования, национальных проектов, инвестиционных программ субъектов естественных монополий, организаций коммунального комплекса, решений органов местного самоуправления, иных главных распорядителей средств соответствующих бюджетов, предусматривающих создание объекта</w:t>
            </w:r>
          </w:p>
        </w:tc>
      </w:tr>
    </w:tbl>
    <w:p>
      <w:pPr>
        <w:pStyle w:val="Normal"/>
        <w:spacing w:lineRule="auto" w:line="12" w:before="0" w:after="200"/>
        <w:contextualSpacing/>
        <w:jc w:val="center"/>
        <w:rPr>
          <w:rFonts w:eastAsia="Times New Roman"/>
          <w:iCs/>
          <w:color w:val="000000"/>
          <w:szCs w:val="24"/>
          <w:lang w:eastAsia="ru-RU"/>
        </w:rPr>
      </w:pPr>
      <w:r>
        <w:rPr>
          <w:rFonts w:eastAsia="Times New Roman"/>
          <w:iCs/>
          <w:color w:val="000000"/>
          <w:szCs w:val="24"/>
          <w:lang w:eastAsia="ru-RU"/>
        </w:rPr>
      </w:r>
    </w:p>
    <w:p>
      <w:pPr>
        <w:pStyle w:val="Normal"/>
        <w:tabs>
          <w:tab w:val="clear" w:pos="708"/>
          <w:tab w:val="left" w:pos="14317" w:leader="none"/>
        </w:tabs>
        <w:spacing w:lineRule="auto" w:line="12" w:before="0" w:after="200"/>
        <w:ind w:right="255" w:hanging="0"/>
        <w:contextualSpacing/>
        <w:jc w:val="center"/>
        <w:rPr>
          <w:szCs w:val="24"/>
        </w:rPr>
      </w:pPr>
      <w:r>
        <w:rPr>
          <w:szCs w:val="24"/>
        </w:rPr>
      </w:r>
    </w:p>
    <w:tbl>
      <w:tblPr>
        <w:tblW w:w="5000" w:type="pct"/>
        <w:jc w:val="left"/>
        <w:tblInd w:w="-255" w:type="dxa"/>
        <w:tblCellMar>
          <w:top w:w="0" w:type="dxa"/>
          <w:left w:w="108" w:type="dxa"/>
          <w:bottom w:w="0" w:type="dxa"/>
          <w:right w:w="108" w:type="dxa"/>
        </w:tblCellMar>
        <w:tblLook w:firstRow="1" w:noVBand="1" w:lastRow="0" w:firstColumn="1" w:lastColumn="0" w:noHBand="0" w:val="04a0"/>
      </w:tblPr>
      <w:tblGrid>
        <w:gridCol w:w="562"/>
        <w:gridCol w:w="1266"/>
        <w:gridCol w:w="1265"/>
        <w:gridCol w:w="419"/>
        <w:gridCol w:w="1545"/>
        <w:gridCol w:w="1965"/>
        <w:gridCol w:w="1967"/>
        <w:gridCol w:w="842"/>
        <w:gridCol w:w="2104"/>
        <w:gridCol w:w="2633"/>
      </w:tblGrid>
      <w:tr>
        <w:trPr>
          <w:trHeight w:val="20" w:hRule="atLeast"/>
        </w:trPr>
        <w:tc>
          <w:tcPr>
            <w:tcW w:w="5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Times New Roman"/>
                <w:b/>
                <w:b/>
                <w:bCs/>
                <w:color w:val="000000"/>
                <w:sz w:val="20"/>
                <w:szCs w:val="20"/>
                <w:lang w:eastAsia="ru-RU"/>
              </w:rPr>
            </w:pPr>
            <w:r>
              <w:rPr>
                <w:rFonts w:eastAsia="Times New Roman"/>
                <w:b/>
                <w:bCs/>
                <w:color w:val="000000"/>
                <w:sz w:val="20"/>
                <w:szCs w:val="20"/>
                <w:lang w:eastAsia="ru-RU"/>
              </w:rPr>
              <w:t>1</w:t>
            </w:r>
          </w:p>
        </w:tc>
        <w:tc>
          <w:tcPr>
            <w:tcW w:w="1266"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rFonts w:eastAsia="Times New Roman"/>
                <w:b/>
                <w:b/>
                <w:bCs/>
                <w:color w:val="000000"/>
                <w:sz w:val="20"/>
                <w:szCs w:val="20"/>
                <w:lang w:eastAsia="ru-RU"/>
              </w:rPr>
            </w:pPr>
            <w:r>
              <w:rPr>
                <w:rFonts w:eastAsia="Times New Roman"/>
                <w:b/>
                <w:bCs/>
                <w:color w:val="000000"/>
                <w:sz w:val="20"/>
                <w:szCs w:val="20"/>
                <w:lang w:eastAsia="ru-RU"/>
              </w:rPr>
              <w:t>2</w:t>
            </w:r>
          </w:p>
        </w:tc>
        <w:tc>
          <w:tcPr>
            <w:tcW w:w="126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Times New Roman"/>
                <w:b/>
                <w:b/>
                <w:bCs/>
                <w:color w:val="000000"/>
                <w:sz w:val="20"/>
                <w:szCs w:val="20"/>
                <w:lang w:eastAsia="ru-RU"/>
              </w:rPr>
            </w:pPr>
            <w:r>
              <w:rPr>
                <w:rFonts w:eastAsia="Times New Roman"/>
                <w:b/>
                <w:bCs/>
                <w:color w:val="000000"/>
                <w:sz w:val="20"/>
                <w:szCs w:val="20"/>
                <w:lang w:eastAsia="ru-RU"/>
              </w:rPr>
              <w:t>3</w:t>
            </w:r>
          </w:p>
        </w:tc>
        <w:tc>
          <w:tcPr>
            <w:tcW w:w="4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Times New Roman"/>
                <w:b/>
                <w:b/>
                <w:bCs/>
                <w:color w:val="000000"/>
                <w:sz w:val="20"/>
                <w:szCs w:val="20"/>
                <w:lang w:eastAsia="ru-RU"/>
              </w:rPr>
            </w:pPr>
            <w:r>
              <w:rPr>
                <w:rFonts w:eastAsia="Times New Roman"/>
                <w:b/>
                <w:bCs/>
                <w:color w:val="000000"/>
                <w:sz w:val="20"/>
                <w:szCs w:val="20"/>
                <w:lang w:eastAsia="ru-RU"/>
              </w:rPr>
              <w:t>4</w:t>
            </w:r>
          </w:p>
        </w:tc>
        <w:tc>
          <w:tcPr>
            <w:tcW w:w="154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Times New Roman"/>
                <w:b/>
                <w:b/>
                <w:bCs/>
                <w:color w:val="000000"/>
                <w:sz w:val="20"/>
                <w:szCs w:val="20"/>
                <w:lang w:eastAsia="ru-RU"/>
              </w:rPr>
            </w:pPr>
            <w:r>
              <w:rPr>
                <w:rFonts w:eastAsia="Times New Roman"/>
                <w:b/>
                <w:bCs/>
                <w:color w:val="000000"/>
                <w:sz w:val="20"/>
                <w:szCs w:val="20"/>
                <w:lang w:eastAsia="ru-RU"/>
              </w:rPr>
              <w:t>5</w:t>
            </w:r>
          </w:p>
        </w:tc>
        <w:tc>
          <w:tcPr>
            <w:tcW w:w="196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Times New Roman"/>
                <w:b/>
                <w:b/>
                <w:bCs/>
                <w:color w:val="000000"/>
                <w:sz w:val="20"/>
                <w:szCs w:val="20"/>
                <w:lang w:eastAsia="ru-RU"/>
              </w:rPr>
            </w:pPr>
            <w:r>
              <w:rPr>
                <w:rFonts w:eastAsia="Times New Roman"/>
                <w:b/>
                <w:bCs/>
                <w:color w:val="000000"/>
                <w:sz w:val="20"/>
                <w:szCs w:val="20"/>
                <w:lang w:eastAsia="ru-RU"/>
              </w:rPr>
              <w:t>6</w:t>
            </w:r>
          </w:p>
        </w:tc>
        <w:tc>
          <w:tcPr>
            <w:tcW w:w="19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Times New Roman"/>
                <w:b/>
                <w:b/>
                <w:bCs/>
                <w:color w:val="000000"/>
                <w:sz w:val="20"/>
                <w:szCs w:val="20"/>
                <w:lang w:eastAsia="ru-RU"/>
              </w:rPr>
            </w:pPr>
            <w:r>
              <w:rPr>
                <w:rFonts w:eastAsia="Times New Roman"/>
                <w:b/>
                <w:bCs/>
                <w:color w:val="000000"/>
                <w:sz w:val="20"/>
                <w:szCs w:val="20"/>
                <w:lang w:eastAsia="ru-RU"/>
              </w:rPr>
              <w:t>7</w:t>
            </w:r>
          </w:p>
        </w:tc>
        <w:tc>
          <w:tcPr>
            <w:tcW w:w="84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Times New Roman"/>
                <w:b/>
                <w:b/>
                <w:bCs/>
                <w:color w:val="000000"/>
                <w:sz w:val="20"/>
                <w:szCs w:val="20"/>
                <w:lang w:eastAsia="ru-RU"/>
              </w:rPr>
            </w:pPr>
            <w:r>
              <w:rPr>
                <w:rFonts w:eastAsia="Times New Roman"/>
                <w:b/>
                <w:bCs/>
                <w:color w:val="000000"/>
                <w:sz w:val="20"/>
                <w:szCs w:val="20"/>
                <w:lang w:eastAsia="ru-RU"/>
              </w:rPr>
              <w:t>8</w:t>
            </w:r>
          </w:p>
        </w:tc>
        <w:tc>
          <w:tcPr>
            <w:tcW w:w="210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Times New Roman"/>
                <w:b/>
                <w:b/>
                <w:bCs/>
                <w:color w:val="000000"/>
                <w:sz w:val="20"/>
                <w:szCs w:val="20"/>
                <w:lang w:eastAsia="ru-RU"/>
              </w:rPr>
            </w:pPr>
            <w:r>
              <w:rPr>
                <w:rFonts w:eastAsia="Times New Roman"/>
                <w:b/>
                <w:bCs/>
                <w:color w:val="000000"/>
                <w:sz w:val="20"/>
                <w:szCs w:val="20"/>
                <w:lang w:eastAsia="ru-RU"/>
              </w:rPr>
              <w:t>9</w:t>
            </w:r>
          </w:p>
        </w:tc>
        <w:tc>
          <w:tcPr>
            <w:tcW w:w="2633"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rFonts w:eastAsia="Times New Roman"/>
                <w:b/>
                <w:b/>
                <w:bCs/>
                <w:color w:val="000000"/>
                <w:sz w:val="20"/>
                <w:szCs w:val="20"/>
                <w:lang w:eastAsia="ru-RU"/>
              </w:rPr>
            </w:pPr>
            <w:r>
              <w:rPr>
                <w:rFonts w:eastAsia="Times New Roman"/>
                <w:b/>
                <w:bCs/>
                <w:color w:val="000000"/>
                <w:sz w:val="20"/>
                <w:szCs w:val="20"/>
                <w:lang w:eastAsia="ru-RU"/>
              </w:rPr>
              <w:t>10</w:t>
            </w:r>
          </w:p>
        </w:tc>
      </w:tr>
      <w:tr>
        <w:trPr>
          <w:trHeight w:val="20" w:hRule="atLeast"/>
        </w:trPr>
        <w:tc>
          <w:tcPr>
            <w:tcW w:w="562"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lang w:val="en-US"/>
              </w:rPr>
              <w:t>I</w:t>
            </w:r>
            <w:r>
              <w:rPr>
                <w:sz w:val="20"/>
                <w:szCs w:val="20"/>
              </w:rPr>
              <w:t>.</w:t>
            </w:r>
          </w:p>
        </w:tc>
        <w:tc>
          <w:tcPr>
            <w:tcW w:w="14006" w:type="dxa"/>
            <w:gridSpan w:val="9"/>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Объекты добычи и транспортировки газа</w:t>
            </w:r>
          </w:p>
        </w:tc>
      </w:tr>
      <w:tr>
        <w:trPr>
          <w:trHeight w:val="20" w:hRule="atLeast"/>
        </w:trPr>
        <w:tc>
          <w:tcPr>
            <w:tcW w:w="562"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contextualSpacing/>
              <w:jc w:val="center"/>
              <w:rPr>
                <w:rFonts w:eastAsia="Times New Roman"/>
                <w:color w:val="000000"/>
                <w:sz w:val="20"/>
                <w:szCs w:val="20"/>
                <w:lang w:eastAsia="ru-RU"/>
              </w:rPr>
            </w:pPr>
            <w:r>
              <w:rPr>
                <w:rFonts w:eastAsia="Times New Roman"/>
                <w:color w:val="000000"/>
                <w:sz w:val="20"/>
                <w:szCs w:val="20"/>
                <w:lang w:eastAsia="ru-RU"/>
              </w:rPr>
              <w:t>1.</w:t>
            </w:r>
          </w:p>
        </w:tc>
        <w:tc>
          <w:tcPr>
            <w:tcW w:w="1266"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color w:val="000000"/>
                <w:sz w:val="20"/>
                <w:szCs w:val="20"/>
                <w:lang w:eastAsia="ru-RU"/>
              </w:rPr>
            </w:pPr>
            <w:r>
              <w:rPr>
                <w:sz w:val="20"/>
                <w:szCs w:val="20"/>
              </w:rPr>
              <w:t>ДТГ.14.1</w:t>
            </w:r>
          </w:p>
        </w:tc>
        <w:tc>
          <w:tcPr>
            <w:tcW w:w="126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color w:val="000000"/>
                <w:sz w:val="20"/>
                <w:szCs w:val="20"/>
                <w:lang w:eastAsia="ru-RU"/>
              </w:rPr>
            </w:pPr>
            <w:r>
              <w:rPr>
                <w:sz w:val="20"/>
                <w:szCs w:val="20"/>
              </w:rPr>
              <w:t>Пункт редуцирования газа (ПРГ)</w:t>
            </w:r>
          </w:p>
        </w:tc>
        <w:tc>
          <w:tcPr>
            <w:tcW w:w="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color w:val="000000"/>
                <w:sz w:val="20"/>
                <w:szCs w:val="20"/>
                <w:lang w:eastAsia="ru-RU"/>
              </w:rPr>
            </w:pPr>
            <w:r>
              <w:rPr>
                <w:sz w:val="20"/>
                <w:szCs w:val="20"/>
              </w:rPr>
              <w:t>С</w:t>
            </w:r>
          </w:p>
        </w:tc>
        <w:tc>
          <w:tcPr>
            <w:tcW w:w="154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color w:val="000000"/>
                <w:sz w:val="20"/>
                <w:szCs w:val="20"/>
                <w:lang w:eastAsia="ru-RU"/>
              </w:rPr>
            </w:pPr>
            <w:r>
              <w:rPr>
                <w:rFonts w:eastAsia="Times New Roman"/>
                <w:color w:val="000000"/>
                <w:sz w:val="20"/>
                <w:szCs w:val="20"/>
                <w:lang w:eastAsia="ru-RU"/>
              </w:rPr>
              <w:t>п. Караоба</w:t>
            </w:r>
          </w:p>
        </w:tc>
        <w:tc>
          <w:tcPr>
            <w:tcW w:w="196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color w:val="000000"/>
                <w:sz w:val="20"/>
                <w:szCs w:val="20"/>
                <w:lang w:eastAsia="ru-RU"/>
              </w:rPr>
            </w:pPr>
            <w:r>
              <w:rPr>
                <w:sz w:val="20"/>
                <w:szCs w:val="20"/>
              </w:rPr>
              <w:t xml:space="preserve">Снижение давления газа с высокого </w:t>
            </w:r>
            <w:r>
              <w:rPr>
                <w:sz w:val="20"/>
                <w:szCs w:val="20"/>
                <w:lang w:val="en-US"/>
              </w:rPr>
              <w:t>I</w:t>
            </w:r>
            <w:r>
              <w:rPr>
                <w:sz w:val="20"/>
                <w:szCs w:val="20"/>
              </w:rPr>
              <w:t xml:space="preserve"> категории на низкое</w:t>
            </w:r>
          </w:p>
        </w:tc>
        <w:tc>
          <w:tcPr>
            <w:tcW w:w="196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color w:val="000000"/>
                <w:sz w:val="20"/>
                <w:szCs w:val="20"/>
              </w:rPr>
              <w:t>Газификация населенных пунктов и повышение надежности газоснабжения промышленных и бытовых потребителей</w:t>
            </w:r>
          </w:p>
        </w:tc>
        <w:tc>
          <w:tcPr>
            <w:tcW w:w="842"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color w:val="000000"/>
                <w:sz w:val="20"/>
                <w:szCs w:val="20"/>
                <w:lang w:eastAsia="ru-RU"/>
              </w:rPr>
            </w:pPr>
            <w:r>
              <w:rPr>
                <w:rFonts w:eastAsia="Times New Roman"/>
                <w:color w:val="000000"/>
                <w:sz w:val="20"/>
                <w:szCs w:val="20"/>
                <w:lang w:eastAsia="ru-RU"/>
              </w:rPr>
              <w:t>до 2045 года</w:t>
            </w:r>
          </w:p>
        </w:tc>
        <w:tc>
          <w:tcPr>
            <w:tcW w:w="210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color w:val="000000"/>
                <w:sz w:val="20"/>
                <w:szCs w:val="20"/>
                <w:lang w:eastAsia="ru-RU"/>
              </w:rPr>
            </w:pPr>
            <w:r>
              <w:rPr>
                <w:color w:val="000000"/>
                <w:sz w:val="20"/>
                <w:szCs w:val="20"/>
              </w:rPr>
              <w:t>Охранная зона устанавливается в соответствии с постановлением Правительства Российской Федерации «Об утверждении Правил охраны газораспределительных сетей» от 20.11.2000 № 878</w:t>
            </w:r>
          </w:p>
        </w:tc>
        <w:tc>
          <w:tcPr>
            <w:tcW w:w="263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color w:val="000000"/>
                <w:sz w:val="20"/>
                <w:szCs w:val="20"/>
              </w:rPr>
            </w:pPr>
            <w:r>
              <w:rPr>
                <w:color w:val="000000"/>
                <w:sz w:val="20"/>
                <w:szCs w:val="20"/>
              </w:rPr>
              <w:t>Генеральная схема газоснабжения и газификации Челябинской области</w:t>
            </w:r>
          </w:p>
        </w:tc>
      </w:tr>
    </w:tbl>
    <w:p>
      <w:pPr>
        <w:pStyle w:val="Normal"/>
        <w:spacing w:lineRule="auto" w:line="240"/>
        <w:rPr>
          <w:rFonts w:eastAsia="Times New Roman"/>
          <w:sz w:val="20"/>
          <w:szCs w:val="20"/>
          <w:lang w:eastAsia="ru-RU"/>
        </w:rPr>
      </w:pPr>
      <w:r>
        <w:rPr>
          <w:rFonts w:eastAsia="Times New Roman"/>
          <w:sz w:val="20"/>
          <w:szCs w:val="20"/>
          <w:lang w:eastAsia="ru-RU"/>
        </w:rPr>
        <w:t>Примечания:</w:t>
      </w:r>
    </w:p>
    <w:p>
      <w:pPr>
        <w:pStyle w:val="Normal"/>
        <w:spacing w:lineRule="auto" w:line="240"/>
        <w:rPr>
          <w:rFonts w:eastAsia="Times New Roman"/>
          <w:sz w:val="20"/>
          <w:szCs w:val="20"/>
          <w:lang w:eastAsia="ru-RU"/>
        </w:rPr>
      </w:pPr>
      <w:r>
        <w:rPr>
          <w:sz w:val="20"/>
          <w:szCs w:val="20"/>
        </w:rPr>
        <w:t xml:space="preserve">* </w:t>
      </w:r>
      <w:r>
        <w:rPr>
          <w:rFonts w:eastAsia="Times New Roman"/>
          <w:sz w:val="20"/>
          <w:szCs w:val="20"/>
          <w:lang w:eastAsia="ru-RU"/>
        </w:rPr>
        <w:t>С — строительство;</w:t>
      </w:r>
    </w:p>
    <w:p>
      <w:pPr>
        <w:pStyle w:val="Normal"/>
        <w:spacing w:lineRule="auto" w:line="240"/>
        <w:rPr>
          <w:sz w:val="20"/>
          <w:szCs w:val="20"/>
        </w:rPr>
      </w:pPr>
      <w:r>
        <w:rPr>
          <w:sz w:val="20"/>
          <w:szCs w:val="20"/>
        </w:rPr>
        <w:t>** Мощности и характеристики объектов газоснабжения необходимо уточнить при рабочем проектировании.</w:t>
      </w:r>
    </w:p>
    <w:p>
      <w:pPr>
        <w:sectPr>
          <w:headerReference w:type="default" r:id="rId112"/>
          <w:footerReference w:type="default" r:id="rId113"/>
          <w:type w:val="nextPage"/>
          <w:pgSz w:orient="landscape" w:w="16838" w:h="11906"/>
          <w:pgMar w:left="1134" w:right="1134" w:header="567" w:top="1134" w:footer="567" w:bottom="624" w:gutter="0"/>
          <w:pgNumType w:fmt="decimal"/>
          <w:formProt w:val="false"/>
          <w:textDirection w:val="lrTb"/>
          <w:docGrid w:type="default" w:linePitch="326" w:charSpace="0"/>
        </w:sectPr>
        <w:pStyle w:val="Normal"/>
        <w:spacing w:lineRule="auto" w:line="240"/>
        <w:rPr>
          <w:sz w:val="20"/>
          <w:szCs w:val="20"/>
        </w:rPr>
      </w:pPr>
      <w:r>
        <w:rPr>
          <w:sz w:val="20"/>
          <w:szCs w:val="20"/>
        </w:rPr>
      </w:r>
    </w:p>
    <w:p>
      <w:pPr>
        <w:pStyle w:val="Normal"/>
        <w:spacing w:lineRule="auto" w:line="300"/>
        <w:ind w:firstLine="709"/>
        <w:rPr>
          <w:rFonts w:eastAsia="Times New Roman"/>
          <w:b/>
          <w:b/>
          <w:color w:val="000000"/>
          <w:szCs w:val="24"/>
          <w:lang w:eastAsia="ru-RU"/>
        </w:rPr>
      </w:pPr>
      <w:r>
        <w:rPr>
          <w:rFonts w:eastAsia="Times New Roman"/>
          <w:b/>
          <w:color w:val="000000"/>
          <w:szCs w:val="24"/>
          <w:lang w:eastAsia="ru-RU"/>
        </w:rPr>
        <w:t>Расчет газопотребления</w:t>
      </w:r>
    </w:p>
    <w:p>
      <w:pPr>
        <w:pStyle w:val="Normal"/>
        <w:spacing w:lineRule="auto" w:line="300"/>
        <w:ind w:firstLine="709"/>
        <w:rPr>
          <w:rFonts w:eastAsia="Times New Roman"/>
          <w:color w:val="000000"/>
          <w:szCs w:val="24"/>
          <w:lang w:eastAsia="ru-RU"/>
        </w:rPr>
      </w:pPr>
      <w:r>
        <w:rPr>
          <w:rFonts w:eastAsia="Times New Roman"/>
          <w:color w:val="000000"/>
          <w:szCs w:val="24"/>
          <w:lang w:eastAsia="ru-RU"/>
        </w:rPr>
        <w:t>Для определения расходов газа на бытовые нужды приняты укрупненные нормы годового потребления, согласно</w:t>
      </w:r>
      <w:r>
        <w:rPr>
          <w:szCs w:val="24"/>
          <w:lang w:eastAsia="ru-RU"/>
        </w:rPr>
        <w:t xml:space="preserve"> </w:t>
      </w:r>
      <w:r>
        <w:rPr>
          <w:rFonts w:eastAsia="Times New Roman"/>
          <w:color w:val="000000"/>
          <w:szCs w:val="24"/>
          <w:lang w:eastAsia="ru-RU"/>
        </w:rPr>
        <w:t>СП 42-101-2003 «Свод правил по проектированию и строительству. Общие положения по проектированию и строительству газораспределительных систем из металлических и полиэтиленовых труб» и СП 62.13330.2011* «Свод правил. Газораспределительные системы. Актуализированная редакция СНиП 42-01-2002». На основании этих норм определена годовая норма газопотребления на одного человека при горячем водоснабжении от газовых водонагревателей — 300 м</w:t>
      </w:r>
      <w:r>
        <w:rPr>
          <w:rFonts w:eastAsia="Times New Roman"/>
          <w:color w:val="000000"/>
          <w:szCs w:val="24"/>
          <w:vertAlign w:val="superscript"/>
          <w:lang w:eastAsia="ru-RU"/>
        </w:rPr>
        <w:t>3</w:t>
      </w:r>
      <w:r>
        <w:rPr>
          <w:rFonts w:eastAsia="Times New Roman"/>
          <w:color w:val="000000"/>
          <w:szCs w:val="24"/>
          <w:lang w:eastAsia="ru-RU"/>
        </w:rPr>
        <w:t>/год. Коэффициенты часового максимума расхода газа на хозяйственно-бытовые нужды приняты по таблице 4 тех же норм. Прогноз газопотребления приведен в таблице 1.8.5.8</w:t>
      </w:r>
    </w:p>
    <w:p>
      <w:pPr>
        <w:pStyle w:val="Normal"/>
        <w:spacing w:lineRule="auto" w:line="300"/>
        <w:jc w:val="right"/>
        <w:rPr>
          <w:rFonts w:eastAsia="Times New Roman"/>
          <w:color w:val="000000"/>
          <w:szCs w:val="24"/>
          <w:lang w:eastAsia="ru-RU"/>
        </w:rPr>
      </w:pPr>
      <w:r>
        <w:rPr>
          <w:rFonts w:eastAsia="Times New Roman"/>
          <w:color w:val="000000"/>
          <w:szCs w:val="24"/>
          <w:lang w:eastAsia="ru-RU"/>
        </w:rPr>
        <w:t>Таблица 1.8.5.8</w:t>
      </w:r>
    </w:p>
    <w:p>
      <w:pPr>
        <w:pStyle w:val="Normal"/>
        <w:spacing w:lineRule="auto" w:line="300"/>
        <w:jc w:val="center"/>
        <w:rPr>
          <w:rFonts w:eastAsia="Times New Roman"/>
          <w:color w:val="000000"/>
          <w:szCs w:val="24"/>
          <w:lang w:eastAsia="ru-RU"/>
        </w:rPr>
      </w:pPr>
      <w:r>
        <w:rPr>
          <w:rFonts w:eastAsia="Times New Roman"/>
          <w:color w:val="000000"/>
          <w:szCs w:val="24"/>
          <w:lang w:eastAsia="ru-RU"/>
        </w:rPr>
        <w:t>Прогноз газопотребления</w:t>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576"/>
        <w:gridCol w:w="3065"/>
        <w:gridCol w:w="1020"/>
        <w:gridCol w:w="1028"/>
        <w:gridCol w:w="1169"/>
        <w:gridCol w:w="1168"/>
        <w:gridCol w:w="1077"/>
        <w:gridCol w:w="1100"/>
      </w:tblGrid>
      <w:tr>
        <w:trPr>
          <w:tblHeader w:val="true"/>
          <w:trHeight w:val="218" w:hRule="atLeast"/>
        </w:trPr>
        <w:tc>
          <w:tcPr>
            <w:tcW w:w="576" w:type="dxa"/>
            <w:vMerge w:val="restart"/>
            <w:tcBorders>
              <w:top w:val="single" w:sz="4" w:space="0" w:color="000000"/>
              <w:left w:val="single" w:sz="4" w:space="0" w:color="000000"/>
              <w:right w:val="single" w:sz="4" w:space="0" w:color="000000"/>
            </w:tcBorders>
          </w:tcPr>
          <w:p>
            <w:pPr>
              <w:pStyle w:val="Normal"/>
              <w:spacing w:lineRule="auto" w:line="240" w:before="0" w:after="200"/>
              <w:contextualSpacing/>
              <w:jc w:val="center"/>
              <w:rPr>
                <w:bCs/>
                <w:sz w:val="20"/>
                <w:szCs w:val="20"/>
              </w:rPr>
            </w:pPr>
            <w:r>
              <w:rPr>
                <w:bCs/>
                <w:sz w:val="20"/>
                <w:szCs w:val="20"/>
              </w:rPr>
              <w:t xml:space="preserve">№ </w:t>
            </w:r>
            <w:r>
              <w:rPr>
                <w:bCs/>
                <w:sz w:val="20"/>
                <w:szCs w:val="20"/>
              </w:rPr>
              <w:t>п/п</w:t>
            </w:r>
          </w:p>
        </w:tc>
        <w:tc>
          <w:tcPr>
            <w:tcW w:w="3065" w:type="dxa"/>
            <w:vMerge w:val="restart"/>
            <w:tcBorders>
              <w:top w:val="single" w:sz="4" w:space="0" w:color="000000"/>
              <w:left w:val="single" w:sz="4" w:space="0" w:color="000000"/>
              <w:right w:val="single" w:sz="4" w:space="0" w:color="000000"/>
            </w:tcBorders>
            <w:shd w:color="auto" w:fill="auto" w:val="clear"/>
            <w:vAlign w:val="center"/>
          </w:tcPr>
          <w:p>
            <w:pPr>
              <w:pStyle w:val="Normal"/>
              <w:spacing w:lineRule="auto" w:line="240" w:before="0" w:after="200"/>
              <w:contextualSpacing/>
              <w:jc w:val="center"/>
              <w:rPr>
                <w:bCs/>
                <w:sz w:val="20"/>
                <w:szCs w:val="20"/>
              </w:rPr>
            </w:pPr>
            <w:r>
              <w:rPr>
                <w:bCs/>
                <w:sz w:val="20"/>
                <w:szCs w:val="20"/>
              </w:rPr>
              <w:t>Наименование муниципального образования</w:t>
            </w:r>
          </w:p>
        </w:tc>
        <w:tc>
          <w:tcPr>
            <w:tcW w:w="2048" w:type="dxa"/>
            <w:gridSpan w:val="2"/>
            <w:tcBorders>
              <w:top w:val="single" w:sz="4" w:space="0" w:color="000000"/>
              <w:bottom w:val="single" w:sz="4" w:space="0" w:color="000000"/>
              <w:right w:val="single" w:sz="4" w:space="0" w:color="000000"/>
            </w:tcBorders>
            <w:shd w:color="auto" w:fill="auto" w:val="clear"/>
            <w:vAlign w:val="center"/>
          </w:tcPr>
          <w:p>
            <w:pPr>
              <w:pStyle w:val="Normal"/>
              <w:spacing w:lineRule="auto" w:line="240" w:before="0" w:after="200"/>
              <w:contextualSpacing/>
              <w:jc w:val="center"/>
              <w:rPr>
                <w:bCs/>
                <w:color w:val="000000"/>
                <w:sz w:val="20"/>
                <w:szCs w:val="20"/>
              </w:rPr>
            </w:pPr>
            <w:r>
              <w:rPr>
                <w:rFonts w:eastAsia="Times New Roman"/>
                <w:bCs/>
                <w:color w:val="000000"/>
                <w:sz w:val="20"/>
                <w:szCs w:val="20"/>
                <w:lang w:eastAsia="ru-RU"/>
              </w:rPr>
              <w:t xml:space="preserve">Численность населения, </w:t>
              <w:br/>
              <w:t>тыс. человек</w:t>
            </w:r>
          </w:p>
        </w:tc>
        <w:tc>
          <w:tcPr>
            <w:tcW w:w="2337" w:type="dxa"/>
            <w:gridSpan w:val="2"/>
            <w:tcBorders>
              <w:top w:val="single" w:sz="4" w:space="0" w:color="000000"/>
              <w:bottom w:val="single" w:sz="4" w:space="0" w:color="000000"/>
              <w:right w:val="single" w:sz="4" w:space="0" w:color="000000"/>
            </w:tcBorders>
            <w:shd w:color="auto" w:fill="auto" w:val="clear"/>
            <w:vAlign w:val="center"/>
          </w:tcPr>
          <w:p>
            <w:pPr>
              <w:pStyle w:val="Normal"/>
              <w:spacing w:lineRule="auto" w:line="240" w:before="0" w:after="200"/>
              <w:contextualSpacing/>
              <w:jc w:val="center"/>
              <w:rPr>
                <w:bCs/>
                <w:color w:val="000000"/>
                <w:sz w:val="20"/>
                <w:szCs w:val="20"/>
              </w:rPr>
            </w:pPr>
            <w:r>
              <w:rPr>
                <w:rFonts w:eastAsia="Times New Roman"/>
                <w:bCs/>
                <w:color w:val="000000"/>
                <w:sz w:val="20"/>
                <w:szCs w:val="20"/>
                <w:lang w:eastAsia="ru-RU"/>
              </w:rPr>
              <w:t>Расход газа на хозяйственно-бытовые нужды, м</w:t>
            </w:r>
            <w:r>
              <w:rPr>
                <w:rFonts w:eastAsia="Times New Roman"/>
                <w:bCs/>
                <w:color w:val="000000"/>
                <w:sz w:val="20"/>
                <w:szCs w:val="20"/>
                <w:vertAlign w:val="superscript"/>
                <w:lang w:eastAsia="ru-RU"/>
              </w:rPr>
              <w:t>3</w:t>
            </w:r>
            <w:r>
              <w:rPr>
                <w:rFonts w:eastAsia="Times New Roman"/>
                <w:bCs/>
                <w:color w:val="000000"/>
                <w:sz w:val="20"/>
                <w:szCs w:val="20"/>
                <w:lang w:eastAsia="ru-RU"/>
              </w:rPr>
              <w:t>/год</w:t>
            </w:r>
          </w:p>
        </w:tc>
        <w:tc>
          <w:tcPr>
            <w:tcW w:w="2177" w:type="dxa"/>
            <w:gridSpan w:val="2"/>
            <w:tcBorders>
              <w:top w:val="single" w:sz="4" w:space="0" w:color="000000"/>
              <w:bottom w:val="single" w:sz="4" w:space="0" w:color="000000"/>
              <w:right w:val="single" w:sz="4" w:space="0" w:color="000000"/>
            </w:tcBorders>
            <w:shd w:color="auto" w:fill="auto" w:val="clear"/>
            <w:vAlign w:val="center"/>
          </w:tcPr>
          <w:p>
            <w:pPr>
              <w:pStyle w:val="Normal"/>
              <w:spacing w:lineRule="auto" w:line="240" w:before="0" w:after="200"/>
              <w:contextualSpacing/>
              <w:jc w:val="center"/>
              <w:rPr>
                <w:bCs/>
                <w:color w:val="000000"/>
                <w:sz w:val="20"/>
                <w:szCs w:val="20"/>
              </w:rPr>
            </w:pPr>
            <w:r>
              <w:rPr>
                <w:rFonts w:eastAsia="Times New Roman"/>
                <w:bCs/>
                <w:color w:val="000000"/>
                <w:sz w:val="20"/>
                <w:szCs w:val="20"/>
                <w:lang w:eastAsia="ru-RU"/>
              </w:rPr>
              <w:t>Расход газа на предприятия обслуживания, м</w:t>
            </w:r>
            <w:r>
              <w:rPr>
                <w:rFonts w:eastAsia="Times New Roman"/>
                <w:bCs/>
                <w:color w:val="000000"/>
                <w:sz w:val="20"/>
                <w:szCs w:val="20"/>
                <w:vertAlign w:val="superscript"/>
                <w:lang w:eastAsia="ru-RU"/>
              </w:rPr>
              <w:t>3</w:t>
            </w:r>
            <w:r>
              <w:rPr>
                <w:rFonts w:eastAsia="Times New Roman"/>
                <w:bCs/>
                <w:color w:val="000000"/>
                <w:sz w:val="20"/>
                <w:szCs w:val="20"/>
                <w:lang w:eastAsia="ru-RU"/>
              </w:rPr>
              <w:t>/год</w:t>
            </w:r>
          </w:p>
        </w:tc>
      </w:tr>
      <w:tr>
        <w:trPr>
          <w:tblHeader w:val="true"/>
          <w:trHeight w:val="369" w:hRule="atLeast"/>
        </w:trPr>
        <w:tc>
          <w:tcPr>
            <w:tcW w:w="576" w:type="dxa"/>
            <w:vMerge w:val="continue"/>
            <w:tcBorders>
              <w:left w:val="single" w:sz="4" w:space="0" w:color="000000"/>
              <w:right w:val="single" w:sz="4" w:space="0" w:color="000000"/>
            </w:tcBorders>
          </w:tcPr>
          <w:p>
            <w:pPr>
              <w:pStyle w:val="Normal"/>
              <w:spacing w:lineRule="auto" w:line="240" w:before="0" w:after="200"/>
              <w:contextualSpacing/>
              <w:jc w:val="center"/>
              <w:rPr>
                <w:bCs/>
                <w:sz w:val="20"/>
                <w:szCs w:val="20"/>
              </w:rPr>
            </w:pPr>
            <w:r>
              <w:rPr>
                <w:bCs/>
                <w:sz w:val="20"/>
                <w:szCs w:val="20"/>
              </w:rPr>
            </w:r>
          </w:p>
        </w:tc>
        <w:tc>
          <w:tcPr>
            <w:tcW w:w="3065" w:type="dxa"/>
            <w:vMerge w:val="continue"/>
            <w:tcBorders>
              <w:left w:val="single" w:sz="4" w:space="0" w:color="000000"/>
              <w:right w:val="single" w:sz="4" w:space="0" w:color="000000"/>
            </w:tcBorders>
            <w:shd w:color="auto" w:fill="auto" w:val="clear"/>
            <w:vAlign w:val="center"/>
          </w:tcPr>
          <w:p>
            <w:pPr>
              <w:pStyle w:val="Normal"/>
              <w:spacing w:lineRule="auto" w:line="240" w:before="0" w:after="200"/>
              <w:contextualSpacing/>
              <w:jc w:val="center"/>
              <w:rPr>
                <w:bCs/>
                <w:sz w:val="20"/>
                <w:szCs w:val="20"/>
              </w:rPr>
            </w:pPr>
            <w:r>
              <w:rPr>
                <w:bCs/>
                <w:sz w:val="20"/>
                <w:szCs w:val="20"/>
              </w:rPr>
            </w:r>
          </w:p>
        </w:tc>
        <w:tc>
          <w:tcPr>
            <w:tcW w:w="1020" w:type="dxa"/>
            <w:tcBorders>
              <w:top w:val="single" w:sz="4" w:space="0" w:color="000000"/>
              <w:right w:val="single" w:sz="4" w:space="0" w:color="000000"/>
            </w:tcBorders>
            <w:shd w:color="auto" w:fill="auto" w:val="clear"/>
            <w:vAlign w:val="center"/>
          </w:tcPr>
          <w:p>
            <w:pPr>
              <w:pStyle w:val="Normal"/>
              <w:spacing w:lineRule="auto" w:line="240"/>
              <w:jc w:val="center"/>
              <w:rPr>
                <w:rFonts w:eastAsia="Times New Roman"/>
                <w:bCs/>
                <w:color w:val="000000"/>
                <w:sz w:val="20"/>
                <w:szCs w:val="20"/>
                <w:lang w:eastAsia="ru-RU"/>
              </w:rPr>
            </w:pPr>
            <w:r>
              <w:rPr>
                <w:rFonts w:eastAsia="Times New Roman"/>
                <w:bCs/>
                <w:color w:val="000000"/>
                <w:sz w:val="20"/>
                <w:szCs w:val="20"/>
                <w:lang w:eastAsia="ru-RU"/>
              </w:rPr>
              <w:t>на</w:t>
            </w:r>
          </w:p>
          <w:p>
            <w:pPr>
              <w:pStyle w:val="Normal"/>
              <w:spacing w:lineRule="auto" w:line="240" w:before="0" w:after="200"/>
              <w:contextualSpacing/>
              <w:jc w:val="center"/>
              <w:rPr>
                <w:bCs/>
                <w:color w:val="000000"/>
                <w:sz w:val="20"/>
                <w:szCs w:val="20"/>
              </w:rPr>
            </w:pPr>
            <w:r>
              <w:rPr>
                <w:rFonts w:eastAsia="Times New Roman"/>
                <w:bCs/>
                <w:color w:val="000000"/>
                <w:sz w:val="20"/>
                <w:szCs w:val="20"/>
                <w:lang w:eastAsia="ru-RU"/>
              </w:rPr>
              <w:t>первую очередь</w:t>
            </w:r>
          </w:p>
        </w:tc>
        <w:tc>
          <w:tcPr>
            <w:tcW w:w="1028" w:type="dxa"/>
            <w:tcBorders>
              <w:top w:val="single" w:sz="4" w:space="0" w:color="000000"/>
              <w:right w:val="single" w:sz="4" w:space="0" w:color="000000"/>
            </w:tcBorders>
            <w:shd w:color="auto" w:fill="auto" w:val="clear"/>
            <w:vAlign w:val="center"/>
          </w:tcPr>
          <w:p>
            <w:pPr>
              <w:pStyle w:val="Normal"/>
              <w:spacing w:lineRule="auto" w:line="240" w:before="0" w:after="200"/>
              <w:contextualSpacing/>
              <w:jc w:val="center"/>
              <w:rPr>
                <w:bCs/>
                <w:color w:val="000000"/>
                <w:sz w:val="20"/>
                <w:szCs w:val="20"/>
              </w:rPr>
            </w:pPr>
            <w:r>
              <w:rPr>
                <w:rFonts w:eastAsia="Times New Roman"/>
                <w:bCs/>
                <w:color w:val="000000"/>
                <w:sz w:val="20"/>
                <w:szCs w:val="20"/>
                <w:lang w:eastAsia="ru-RU"/>
              </w:rPr>
              <w:t>на расчетный срок</w:t>
            </w:r>
          </w:p>
        </w:tc>
        <w:tc>
          <w:tcPr>
            <w:tcW w:w="1169" w:type="dxa"/>
            <w:tcBorders>
              <w:top w:val="single" w:sz="4" w:space="0" w:color="000000"/>
              <w:right w:val="single" w:sz="4" w:space="0" w:color="000000"/>
            </w:tcBorders>
            <w:shd w:color="auto" w:fill="auto" w:val="clear"/>
            <w:vAlign w:val="center"/>
          </w:tcPr>
          <w:p>
            <w:pPr>
              <w:pStyle w:val="Normal"/>
              <w:spacing w:lineRule="auto" w:line="240"/>
              <w:jc w:val="center"/>
              <w:rPr>
                <w:rFonts w:eastAsia="Times New Roman"/>
                <w:bCs/>
                <w:color w:val="000000"/>
                <w:sz w:val="20"/>
                <w:szCs w:val="20"/>
                <w:lang w:eastAsia="ru-RU"/>
              </w:rPr>
            </w:pPr>
            <w:r>
              <w:rPr>
                <w:rFonts w:eastAsia="Times New Roman"/>
                <w:bCs/>
                <w:color w:val="000000"/>
                <w:sz w:val="20"/>
                <w:szCs w:val="20"/>
                <w:lang w:eastAsia="ru-RU"/>
              </w:rPr>
              <w:t>на</w:t>
            </w:r>
          </w:p>
          <w:p>
            <w:pPr>
              <w:pStyle w:val="Normal"/>
              <w:spacing w:lineRule="auto" w:line="240" w:before="0" w:after="200"/>
              <w:contextualSpacing/>
              <w:jc w:val="center"/>
              <w:rPr>
                <w:bCs/>
                <w:color w:val="000000"/>
                <w:sz w:val="20"/>
                <w:szCs w:val="20"/>
              </w:rPr>
            </w:pPr>
            <w:r>
              <w:rPr>
                <w:rFonts w:eastAsia="Times New Roman"/>
                <w:bCs/>
                <w:color w:val="000000"/>
                <w:sz w:val="20"/>
                <w:szCs w:val="20"/>
                <w:lang w:eastAsia="ru-RU"/>
              </w:rPr>
              <w:t>первую очередь</w:t>
            </w:r>
          </w:p>
        </w:tc>
        <w:tc>
          <w:tcPr>
            <w:tcW w:w="1168" w:type="dxa"/>
            <w:tcBorders>
              <w:top w:val="single" w:sz="4" w:space="0" w:color="000000"/>
              <w:right w:val="single" w:sz="4" w:space="0" w:color="000000"/>
            </w:tcBorders>
            <w:shd w:color="auto" w:fill="auto" w:val="clear"/>
            <w:vAlign w:val="center"/>
          </w:tcPr>
          <w:p>
            <w:pPr>
              <w:pStyle w:val="Normal"/>
              <w:spacing w:lineRule="auto" w:line="240" w:before="0" w:after="200"/>
              <w:contextualSpacing/>
              <w:jc w:val="center"/>
              <w:rPr>
                <w:bCs/>
                <w:color w:val="000000"/>
                <w:sz w:val="20"/>
                <w:szCs w:val="20"/>
              </w:rPr>
            </w:pPr>
            <w:r>
              <w:rPr>
                <w:rFonts w:eastAsia="Times New Roman"/>
                <w:bCs/>
                <w:color w:val="000000"/>
                <w:sz w:val="20"/>
                <w:szCs w:val="20"/>
                <w:lang w:eastAsia="ru-RU"/>
              </w:rPr>
              <w:t>на расчетный срок</w:t>
            </w:r>
          </w:p>
        </w:tc>
        <w:tc>
          <w:tcPr>
            <w:tcW w:w="1077" w:type="dxa"/>
            <w:tcBorders>
              <w:top w:val="single" w:sz="4" w:space="0" w:color="000000"/>
              <w:right w:val="single" w:sz="4" w:space="0" w:color="000000"/>
            </w:tcBorders>
            <w:shd w:color="auto" w:fill="auto" w:val="clear"/>
            <w:vAlign w:val="center"/>
          </w:tcPr>
          <w:p>
            <w:pPr>
              <w:pStyle w:val="Normal"/>
              <w:spacing w:lineRule="auto" w:line="240"/>
              <w:jc w:val="center"/>
              <w:rPr>
                <w:rFonts w:eastAsia="Times New Roman"/>
                <w:bCs/>
                <w:color w:val="000000"/>
                <w:sz w:val="20"/>
                <w:szCs w:val="20"/>
                <w:lang w:eastAsia="ru-RU"/>
              </w:rPr>
            </w:pPr>
            <w:r>
              <w:rPr>
                <w:rFonts w:eastAsia="Times New Roman"/>
                <w:bCs/>
                <w:color w:val="000000"/>
                <w:sz w:val="20"/>
                <w:szCs w:val="20"/>
                <w:lang w:eastAsia="ru-RU"/>
              </w:rPr>
              <w:t>на</w:t>
            </w:r>
          </w:p>
          <w:p>
            <w:pPr>
              <w:pStyle w:val="Normal"/>
              <w:spacing w:lineRule="auto" w:line="240" w:before="0" w:after="200"/>
              <w:contextualSpacing/>
              <w:jc w:val="center"/>
              <w:rPr>
                <w:bCs/>
                <w:color w:val="000000"/>
                <w:sz w:val="20"/>
                <w:szCs w:val="20"/>
              </w:rPr>
            </w:pPr>
            <w:r>
              <w:rPr>
                <w:rFonts w:eastAsia="Times New Roman"/>
                <w:bCs/>
                <w:color w:val="000000"/>
                <w:sz w:val="20"/>
                <w:szCs w:val="20"/>
                <w:lang w:eastAsia="ru-RU"/>
              </w:rPr>
              <w:t>первую очередь</w:t>
            </w:r>
          </w:p>
        </w:tc>
        <w:tc>
          <w:tcPr>
            <w:tcW w:w="1100" w:type="dxa"/>
            <w:tcBorders>
              <w:top w:val="single" w:sz="4" w:space="0" w:color="000000"/>
              <w:right w:val="single" w:sz="4" w:space="0" w:color="000000"/>
            </w:tcBorders>
            <w:shd w:color="auto" w:fill="auto" w:val="clear"/>
            <w:vAlign w:val="center"/>
          </w:tcPr>
          <w:p>
            <w:pPr>
              <w:pStyle w:val="Normal"/>
              <w:spacing w:lineRule="auto" w:line="240" w:before="0" w:after="200"/>
              <w:contextualSpacing/>
              <w:jc w:val="center"/>
              <w:rPr>
                <w:bCs/>
                <w:color w:val="000000"/>
                <w:sz w:val="20"/>
                <w:szCs w:val="20"/>
              </w:rPr>
            </w:pPr>
            <w:r>
              <w:rPr>
                <w:rFonts w:eastAsia="Times New Roman"/>
                <w:bCs/>
                <w:color w:val="000000"/>
                <w:sz w:val="20"/>
                <w:szCs w:val="20"/>
                <w:lang w:eastAsia="ru-RU"/>
              </w:rPr>
              <w:t>на расчетный срок</w:t>
            </w:r>
          </w:p>
        </w:tc>
      </w:tr>
    </w:tbl>
    <w:p>
      <w:pPr>
        <w:pStyle w:val="Normal"/>
        <w:spacing w:lineRule="auto" w:line="12"/>
        <w:jc w:val="center"/>
        <w:rPr>
          <w:rFonts w:eastAsia="Times New Roman"/>
          <w:color w:val="000000"/>
          <w:szCs w:val="24"/>
          <w:lang w:eastAsia="ru-RU"/>
        </w:rPr>
      </w:pPr>
      <w:r>
        <w:rPr>
          <w:rFonts w:eastAsia="Times New Roman"/>
          <w:color w:val="000000"/>
          <w:szCs w:val="24"/>
          <w:lang w:eastAsia="ru-RU"/>
        </w:rPr>
      </w:r>
    </w:p>
    <w:p>
      <w:pPr>
        <w:pStyle w:val="Normal"/>
        <w:spacing w:lineRule="auto" w:line="12"/>
        <w:ind w:firstLine="709"/>
        <w:rPr>
          <w:sz w:val="28"/>
        </w:rPr>
      </w:pPr>
      <w:r>
        <w:rPr>
          <w:sz w:val="28"/>
        </w:rPr>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576"/>
        <w:gridCol w:w="3065"/>
        <w:gridCol w:w="1020"/>
        <w:gridCol w:w="1028"/>
        <w:gridCol w:w="1169"/>
        <w:gridCol w:w="1168"/>
        <w:gridCol w:w="1077"/>
        <w:gridCol w:w="1100"/>
      </w:tblGrid>
      <w:tr>
        <w:trPr>
          <w:trHeight w:val="70" w:hRule="atLeast"/>
        </w:trPr>
        <w:tc>
          <w:tcPr>
            <w:tcW w:w="576"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200"/>
              <w:contextualSpacing/>
              <w:jc w:val="center"/>
              <w:rPr>
                <w:rFonts w:eastAsia="Times New Roman"/>
                <w:b/>
                <w:b/>
                <w:color w:val="000000"/>
                <w:sz w:val="20"/>
                <w:szCs w:val="20"/>
                <w:lang w:eastAsia="ru-RU"/>
              </w:rPr>
            </w:pPr>
            <w:r>
              <w:rPr>
                <w:rFonts w:eastAsia="Times New Roman"/>
                <w:b/>
                <w:color w:val="000000"/>
                <w:sz w:val="20"/>
                <w:szCs w:val="20"/>
                <w:lang w:eastAsia="ru-RU"/>
              </w:rPr>
              <w:t>1</w:t>
            </w:r>
          </w:p>
        </w:tc>
        <w:tc>
          <w:tcPr>
            <w:tcW w:w="306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before="0" w:after="200"/>
              <w:contextualSpacing/>
              <w:jc w:val="center"/>
              <w:rPr>
                <w:b/>
                <w:b/>
                <w:sz w:val="20"/>
                <w:szCs w:val="20"/>
              </w:rPr>
            </w:pPr>
            <w:r>
              <w:rPr>
                <w:b/>
                <w:sz w:val="20"/>
                <w:szCs w:val="20"/>
              </w:rPr>
              <w:t>2</w:t>
            </w:r>
          </w:p>
        </w:tc>
        <w:tc>
          <w:tcPr>
            <w:tcW w:w="1020"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before="0" w:after="200"/>
              <w:contextualSpacing/>
              <w:jc w:val="center"/>
              <w:rPr>
                <w:b/>
                <w:b/>
                <w:sz w:val="20"/>
                <w:szCs w:val="20"/>
              </w:rPr>
            </w:pPr>
            <w:r>
              <w:rPr>
                <w:b/>
                <w:sz w:val="20"/>
                <w:szCs w:val="20"/>
              </w:rPr>
              <w:t>3</w:t>
            </w:r>
          </w:p>
        </w:tc>
        <w:tc>
          <w:tcPr>
            <w:tcW w:w="1028"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before="0" w:after="200"/>
              <w:contextualSpacing/>
              <w:jc w:val="center"/>
              <w:rPr>
                <w:b/>
                <w:b/>
                <w:sz w:val="20"/>
                <w:szCs w:val="20"/>
              </w:rPr>
            </w:pPr>
            <w:r>
              <w:rPr>
                <w:b/>
                <w:sz w:val="20"/>
                <w:szCs w:val="20"/>
              </w:rPr>
              <w:t>4</w:t>
            </w:r>
          </w:p>
        </w:tc>
        <w:tc>
          <w:tcPr>
            <w:tcW w:w="1169"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before="0" w:after="200"/>
              <w:contextualSpacing/>
              <w:jc w:val="center"/>
              <w:rPr>
                <w:b/>
                <w:b/>
                <w:sz w:val="20"/>
                <w:szCs w:val="20"/>
              </w:rPr>
            </w:pPr>
            <w:r>
              <w:rPr>
                <w:b/>
                <w:sz w:val="20"/>
                <w:szCs w:val="20"/>
              </w:rPr>
              <w:t>5</w:t>
            </w:r>
          </w:p>
        </w:tc>
        <w:tc>
          <w:tcPr>
            <w:tcW w:w="1168"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before="0" w:after="200"/>
              <w:contextualSpacing/>
              <w:jc w:val="center"/>
              <w:rPr>
                <w:b/>
                <w:b/>
                <w:sz w:val="20"/>
                <w:szCs w:val="20"/>
              </w:rPr>
            </w:pPr>
            <w:r>
              <w:rPr>
                <w:b/>
                <w:sz w:val="20"/>
                <w:szCs w:val="20"/>
              </w:rPr>
              <w:t>6</w:t>
            </w:r>
          </w:p>
        </w:tc>
        <w:tc>
          <w:tcPr>
            <w:tcW w:w="1077"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before="0" w:after="200"/>
              <w:contextualSpacing/>
              <w:jc w:val="center"/>
              <w:rPr>
                <w:b/>
                <w:b/>
                <w:sz w:val="20"/>
                <w:szCs w:val="20"/>
              </w:rPr>
            </w:pPr>
            <w:r>
              <w:rPr>
                <w:b/>
                <w:sz w:val="20"/>
                <w:szCs w:val="20"/>
              </w:rPr>
              <w:t>7</w:t>
            </w:r>
          </w:p>
        </w:tc>
        <w:tc>
          <w:tcPr>
            <w:tcW w:w="1100"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before="0" w:after="200"/>
              <w:contextualSpacing/>
              <w:jc w:val="center"/>
              <w:rPr>
                <w:b/>
                <w:b/>
                <w:sz w:val="20"/>
                <w:szCs w:val="20"/>
              </w:rPr>
            </w:pPr>
            <w:r>
              <w:rPr>
                <w:b/>
                <w:sz w:val="20"/>
                <w:szCs w:val="20"/>
              </w:rPr>
              <w:t>8</w:t>
            </w:r>
          </w:p>
        </w:tc>
      </w:tr>
      <w:tr>
        <w:trPr>
          <w:trHeight w:val="70" w:hRule="atLeast"/>
        </w:trPr>
        <w:tc>
          <w:tcPr>
            <w:tcW w:w="576" w:type="dxa"/>
            <w:tcBorders>
              <w:top w:val="single" w:sz="4" w:space="0" w:color="000000"/>
              <w:left w:val="single" w:sz="4" w:space="0" w:color="000000"/>
              <w:bottom w:val="single" w:sz="4" w:space="0" w:color="000000"/>
              <w:right w:val="single" w:sz="4" w:space="0" w:color="000000"/>
            </w:tcBorders>
          </w:tcPr>
          <w:p>
            <w:pPr>
              <w:pStyle w:val="Normal"/>
              <w:spacing w:lineRule="auto" w:line="240" w:before="0" w:after="200"/>
              <w:contextualSpacing/>
              <w:jc w:val="center"/>
              <w:rPr>
                <w:rFonts w:eastAsia="Times New Roman"/>
                <w:bCs/>
                <w:color w:val="000000"/>
                <w:sz w:val="20"/>
                <w:szCs w:val="20"/>
                <w:lang w:eastAsia="ru-RU"/>
              </w:rPr>
            </w:pPr>
            <w:r>
              <w:rPr>
                <w:rFonts w:eastAsia="Times New Roman"/>
                <w:bCs/>
                <w:color w:val="000000"/>
                <w:sz w:val="20"/>
                <w:szCs w:val="20"/>
                <w:lang w:eastAsia="ru-RU"/>
              </w:rPr>
              <w:t>1</w:t>
            </w:r>
          </w:p>
        </w:tc>
        <w:tc>
          <w:tcPr>
            <w:tcW w:w="306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contextualSpacing/>
              <w:jc w:val="left"/>
              <w:rPr>
                <w:rFonts w:eastAsia="Times New Roman"/>
                <w:bCs/>
                <w:color w:val="000000"/>
                <w:sz w:val="20"/>
                <w:szCs w:val="20"/>
              </w:rPr>
            </w:pPr>
            <w:r>
              <w:rPr>
                <w:sz w:val="20"/>
                <w:szCs w:val="20"/>
              </w:rPr>
              <w:t>с. Катенино</w:t>
            </w:r>
          </w:p>
        </w:tc>
        <w:tc>
          <w:tcPr>
            <w:tcW w:w="1020" w:type="dxa"/>
            <w:tcBorders>
              <w:top w:val="single" w:sz="4" w:space="0" w:color="000000"/>
              <w:bottom w:val="single" w:sz="4" w:space="0" w:color="000000"/>
              <w:right w:val="single" w:sz="4" w:space="0" w:color="000000"/>
            </w:tcBorders>
            <w:shd w:color="auto" w:fill="auto" w:val="clear"/>
          </w:tcPr>
          <w:p>
            <w:pPr>
              <w:pStyle w:val="Normal"/>
              <w:spacing w:lineRule="auto" w:line="240" w:before="0" w:after="200"/>
              <w:contextualSpacing/>
              <w:jc w:val="center"/>
              <w:rPr>
                <w:bCs/>
                <w:sz w:val="20"/>
                <w:szCs w:val="20"/>
              </w:rPr>
            </w:pPr>
            <w:r>
              <w:rPr>
                <w:sz w:val="20"/>
                <w:szCs w:val="20"/>
              </w:rPr>
              <w:t>914</w:t>
            </w:r>
          </w:p>
        </w:tc>
        <w:tc>
          <w:tcPr>
            <w:tcW w:w="1028"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before="0" w:after="200"/>
              <w:contextualSpacing/>
              <w:jc w:val="center"/>
              <w:rPr>
                <w:bCs/>
                <w:sz w:val="20"/>
                <w:szCs w:val="20"/>
              </w:rPr>
            </w:pPr>
            <w:r>
              <w:rPr>
                <w:sz w:val="20"/>
                <w:szCs w:val="20"/>
              </w:rPr>
              <w:t>930</w:t>
            </w:r>
          </w:p>
        </w:tc>
        <w:tc>
          <w:tcPr>
            <w:tcW w:w="1169"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before="0" w:after="200"/>
              <w:contextualSpacing/>
              <w:jc w:val="center"/>
              <w:rPr>
                <w:bCs/>
                <w:sz w:val="20"/>
                <w:szCs w:val="20"/>
              </w:rPr>
            </w:pPr>
            <w:r>
              <w:rPr>
                <w:sz w:val="20"/>
                <w:szCs w:val="20"/>
              </w:rPr>
              <w:t>274200</w:t>
            </w:r>
          </w:p>
        </w:tc>
        <w:tc>
          <w:tcPr>
            <w:tcW w:w="1168"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before="0" w:after="200"/>
              <w:contextualSpacing/>
              <w:jc w:val="center"/>
              <w:rPr>
                <w:bCs/>
                <w:sz w:val="20"/>
                <w:szCs w:val="20"/>
              </w:rPr>
            </w:pPr>
            <w:r>
              <w:rPr>
                <w:sz w:val="20"/>
                <w:szCs w:val="20"/>
              </w:rPr>
              <w:t>279000</w:t>
            </w:r>
          </w:p>
        </w:tc>
        <w:tc>
          <w:tcPr>
            <w:tcW w:w="1077"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before="0" w:after="200"/>
              <w:contextualSpacing/>
              <w:jc w:val="center"/>
              <w:rPr>
                <w:bCs/>
                <w:sz w:val="20"/>
                <w:szCs w:val="20"/>
              </w:rPr>
            </w:pPr>
            <w:r>
              <w:rPr>
                <w:sz w:val="20"/>
                <w:szCs w:val="20"/>
              </w:rPr>
              <w:t>13710</w:t>
            </w:r>
          </w:p>
        </w:tc>
        <w:tc>
          <w:tcPr>
            <w:tcW w:w="1100"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before="0" w:after="200"/>
              <w:contextualSpacing/>
              <w:jc w:val="center"/>
              <w:rPr>
                <w:bCs/>
                <w:sz w:val="20"/>
                <w:szCs w:val="20"/>
              </w:rPr>
            </w:pPr>
            <w:r>
              <w:rPr>
                <w:sz w:val="20"/>
                <w:szCs w:val="20"/>
              </w:rPr>
              <w:t>13950</w:t>
            </w:r>
          </w:p>
        </w:tc>
      </w:tr>
      <w:tr>
        <w:trPr>
          <w:trHeight w:val="70" w:hRule="atLeast"/>
        </w:trPr>
        <w:tc>
          <w:tcPr>
            <w:tcW w:w="576" w:type="dxa"/>
            <w:tcBorders>
              <w:top w:val="single" w:sz="4" w:space="0" w:color="000000"/>
              <w:left w:val="single" w:sz="4" w:space="0" w:color="000000"/>
              <w:bottom w:val="single" w:sz="4" w:space="0" w:color="000000"/>
              <w:right w:val="single" w:sz="4" w:space="0" w:color="000000"/>
            </w:tcBorders>
          </w:tcPr>
          <w:p>
            <w:pPr>
              <w:pStyle w:val="Normal"/>
              <w:spacing w:lineRule="auto" w:line="240" w:before="0" w:after="200"/>
              <w:contextualSpacing/>
              <w:jc w:val="center"/>
              <w:rPr>
                <w:rFonts w:eastAsia="Times New Roman"/>
                <w:bCs/>
                <w:color w:val="000000"/>
                <w:sz w:val="20"/>
                <w:szCs w:val="20"/>
                <w:lang w:eastAsia="ru-RU"/>
              </w:rPr>
            </w:pPr>
            <w:r>
              <w:rPr>
                <w:rFonts w:eastAsia="Times New Roman"/>
                <w:bCs/>
                <w:color w:val="000000"/>
                <w:sz w:val="20"/>
                <w:szCs w:val="20"/>
                <w:lang w:eastAsia="ru-RU"/>
              </w:rPr>
              <w:t>2</w:t>
            </w:r>
          </w:p>
        </w:tc>
        <w:tc>
          <w:tcPr>
            <w:tcW w:w="306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contextualSpacing/>
              <w:jc w:val="left"/>
              <w:rPr>
                <w:rFonts w:eastAsia="Times New Roman"/>
                <w:bCs/>
                <w:color w:val="000000"/>
                <w:sz w:val="20"/>
                <w:szCs w:val="20"/>
                <w:lang w:eastAsia="ru-RU"/>
              </w:rPr>
            </w:pPr>
            <w:r>
              <w:rPr>
                <w:sz w:val="20"/>
                <w:szCs w:val="20"/>
              </w:rPr>
              <w:t>п. Караоба</w:t>
            </w:r>
          </w:p>
        </w:tc>
        <w:tc>
          <w:tcPr>
            <w:tcW w:w="1020" w:type="dxa"/>
            <w:tcBorders>
              <w:top w:val="single" w:sz="4" w:space="0" w:color="000000"/>
              <w:bottom w:val="single" w:sz="4" w:space="0" w:color="000000"/>
              <w:right w:val="single" w:sz="4" w:space="0" w:color="000000"/>
            </w:tcBorders>
            <w:shd w:color="auto" w:fill="auto" w:val="clear"/>
          </w:tcPr>
          <w:p>
            <w:pPr>
              <w:pStyle w:val="Normal"/>
              <w:spacing w:lineRule="auto" w:line="240" w:before="0" w:after="200"/>
              <w:contextualSpacing/>
              <w:jc w:val="center"/>
              <w:rPr>
                <w:bCs/>
                <w:sz w:val="20"/>
                <w:szCs w:val="20"/>
              </w:rPr>
            </w:pPr>
            <w:r>
              <w:rPr>
                <w:sz w:val="20"/>
                <w:szCs w:val="20"/>
              </w:rPr>
              <w:t>130</w:t>
            </w:r>
          </w:p>
        </w:tc>
        <w:tc>
          <w:tcPr>
            <w:tcW w:w="1028"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before="0" w:after="200"/>
              <w:contextualSpacing/>
              <w:jc w:val="center"/>
              <w:rPr>
                <w:bCs/>
                <w:sz w:val="20"/>
                <w:szCs w:val="20"/>
              </w:rPr>
            </w:pPr>
            <w:r>
              <w:rPr>
                <w:sz w:val="20"/>
                <w:szCs w:val="20"/>
              </w:rPr>
              <w:t>140</w:t>
            </w:r>
          </w:p>
        </w:tc>
        <w:tc>
          <w:tcPr>
            <w:tcW w:w="1169"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before="0" w:after="200"/>
              <w:contextualSpacing/>
              <w:jc w:val="center"/>
              <w:rPr>
                <w:bCs/>
                <w:sz w:val="20"/>
                <w:szCs w:val="20"/>
              </w:rPr>
            </w:pPr>
            <w:r>
              <w:rPr>
                <w:sz w:val="20"/>
                <w:szCs w:val="20"/>
              </w:rPr>
              <w:t>-</w:t>
            </w:r>
          </w:p>
        </w:tc>
        <w:tc>
          <w:tcPr>
            <w:tcW w:w="1168"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before="0" w:after="200"/>
              <w:contextualSpacing/>
              <w:jc w:val="center"/>
              <w:rPr>
                <w:bCs/>
                <w:sz w:val="20"/>
                <w:szCs w:val="20"/>
              </w:rPr>
            </w:pPr>
            <w:r>
              <w:rPr>
                <w:sz w:val="20"/>
                <w:szCs w:val="20"/>
              </w:rPr>
              <w:t>42000</w:t>
            </w:r>
          </w:p>
        </w:tc>
        <w:tc>
          <w:tcPr>
            <w:tcW w:w="1077"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before="0" w:after="200"/>
              <w:contextualSpacing/>
              <w:jc w:val="center"/>
              <w:rPr>
                <w:bCs/>
                <w:sz w:val="20"/>
                <w:szCs w:val="20"/>
              </w:rPr>
            </w:pPr>
            <w:r>
              <w:rPr>
                <w:sz w:val="20"/>
                <w:szCs w:val="20"/>
              </w:rPr>
              <w:t>-</w:t>
            </w:r>
          </w:p>
        </w:tc>
        <w:tc>
          <w:tcPr>
            <w:tcW w:w="1100"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before="0" w:after="200"/>
              <w:contextualSpacing/>
              <w:jc w:val="center"/>
              <w:rPr>
                <w:bCs/>
                <w:sz w:val="20"/>
                <w:szCs w:val="20"/>
              </w:rPr>
            </w:pPr>
            <w:r>
              <w:rPr>
                <w:sz w:val="20"/>
                <w:szCs w:val="20"/>
              </w:rPr>
              <w:t>2100</w:t>
            </w:r>
          </w:p>
        </w:tc>
      </w:tr>
      <w:tr>
        <w:trPr>
          <w:trHeight w:val="70" w:hRule="atLeast"/>
        </w:trPr>
        <w:tc>
          <w:tcPr>
            <w:tcW w:w="576" w:type="dxa"/>
            <w:tcBorders>
              <w:top w:val="single" w:sz="4" w:space="0" w:color="000000"/>
              <w:left w:val="single" w:sz="4" w:space="0" w:color="000000"/>
              <w:bottom w:val="single" w:sz="4" w:space="0" w:color="000000"/>
              <w:right w:val="single" w:sz="4" w:space="0" w:color="000000"/>
            </w:tcBorders>
          </w:tcPr>
          <w:p>
            <w:pPr>
              <w:pStyle w:val="Normal"/>
              <w:spacing w:lineRule="auto" w:line="240" w:before="0" w:after="200"/>
              <w:contextualSpacing/>
              <w:jc w:val="center"/>
              <w:rPr>
                <w:rFonts w:eastAsia="Times New Roman"/>
                <w:bCs/>
                <w:color w:val="000000"/>
                <w:sz w:val="20"/>
                <w:szCs w:val="20"/>
                <w:lang w:eastAsia="ru-RU"/>
              </w:rPr>
            </w:pPr>
            <w:r>
              <w:rPr>
                <w:rFonts w:eastAsia="Times New Roman"/>
                <w:bCs/>
                <w:color w:val="000000"/>
                <w:sz w:val="20"/>
                <w:szCs w:val="20"/>
                <w:lang w:eastAsia="ru-RU"/>
              </w:rPr>
              <w:t>3</w:t>
            </w:r>
          </w:p>
        </w:tc>
        <w:tc>
          <w:tcPr>
            <w:tcW w:w="306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contextualSpacing/>
              <w:jc w:val="left"/>
              <w:rPr>
                <w:rFonts w:eastAsia="Times New Roman"/>
                <w:bCs/>
                <w:color w:val="000000"/>
                <w:sz w:val="20"/>
                <w:szCs w:val="20"/>
                <w:lang w:eastAsia="ru-RU"/>
              </w:rPr>
            </w:pPr>
            <w:r>
              <w:rPr>
                <w:sz w:val="20"/>
                <w:szCs w:val="20"/>
              </w:rPr>
              <w:t>п. Комсомольский</w:t>
            </w:r>
          </w:p>
        </w:tc>
        <w:tc>
          <w:tcPr>
            <w:tcW w:w="1020" w:type="dxa"/>
            <w:tcBorders>
              <w:top w:val="single" w:sz="4" w:space="0" w:color="000000"/>
              <w:bottom w:val="single" w:sz="4" w:space="0" w:color="000000"/>
              <w:right w:val="single" w:sz="4" w:space="0" w:color="000000"/>
            </w:tcBorders>
            <w:shd w:color="auto" w:fill="auto" w:val="clear"/>
          </w:tcPr>
          <w:p>
            <w:pPr>
              <w:pStyle w:val="Normal"/>
              <w:spacing w:lineRule="auto" w:line="240" w:before="0" w:after="200"/>
              <w:contextualSpacing/>
              <w:jc w:val="center"/>
              <w:rPr>
                <w:bCs/>
                <w:sz w:val="20"/>
                <w:szCs w:val="20"/>
              </w:rPr>
            </w:pPr>
            <w:r>
              <w:rPr>
                <w:sz w:val="20"/>
                <w:szCs w:val="20"/>
              </w:rPr>
              <w:t>213</w:t>
            </w:r>
          </w:p>
        </w:tc>
        <w:tc>
          <w:tcPr>
            <w:tcW w:w="1028"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before="0" w:after="200"/>
              <w:contextualSpacing/>
              <w:jc w:val="center"/>
              <w:rPr>
                <w:bCs/>
                <w:sz w:val="20"/>
                <w:szCs w:val="20"/>
              </w:rPr>
            </w:pPr>
            <w:r>
              <w:rPr>
                <w:sz w:val="20"/>
                <w:szCs w:val="20"/>
              </w:rPr>
              <w:t>222</w:t>
            </w:r>
          </w:p>
        </w:tc>
        <w:tc>
          <w:tcPr>
            <w:tcW w:w="1169"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before="0" w:after="200"/>
              <w:contextualSpacing/>
              <w:jc w:val="center"/>
              <w:rPr>
                <w:bCs/>
                <w:sz w:val="20"/>
                <w:szCs w:val="20"/>
              </w:rPr>
            </w:pPr>
            <w:r>
              <w:rPr>
                <w:sz w:val="20"/>
                <w:szCs w:val="20"/>
              </w:rPr>
              <w:t>63900</w:t>
            </w:r>
          </w:p>
        </w:tc>
        <w:tc>
          <w:tcPr>
            <w:tcW w:w="1168"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before="0" w:after="200"/>
              <w:contextualSpacing/>
              <w:jc w:val="center"/>
              <w:rPr>
                <w:bCs/>
                <w:sz w:val="20"/>
                <w:szCs w:val="20"/>
              </w:rPr>
            </w:pPr>
            <w:r>
              <w:rPr>
                <w:sz w:val="20"/>
                <w:szCs w:val="20"/>
              </w:rPr>
              <w:t>66600</w:t>
            </w:r>
          </w:p>
        </w:tc>
        <w:tc>
          <w:tcPr>
            <w:tcW w:w="1077"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before="0" w:after="200"/>
              <w:contextualSpacing/>
              <w:jc w:val="center"/>
              <w:rPr>
                <w:bCs/>
                <w:sz w:val="20"/>
                <w:szCs w:val="20"/>
              </w:rPr>
            </w:pPr>
            <w:r>
              <w:rPr>
                <w:sz w:val="20"/>
                <w:szCs w:val="20"/>
              </w:rPr>
              <w:t>3195</w:t>
            </w:r>
          </w:p>
        </w:tc>
        <w:tc>
          <w:tcPr>
            <w:tcW w:w="1100"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before="0" w:after="200"/>
              <w:contextualSpacing/>
              <w:jc w:val="center"/>
              <w:rPr>
                <w:bCs/>
                <w:sz w:val="20"/>
                <w:szCs w:val="20"/>
              </w:rPr>
            </w:pPr>
            <w:r>
              <w:rPr>
                <w:sz w:val="20"/>
                <w:szCs w:val="20"/>
              </w:rPr>
              <w:t>3330</w:t>
            </w:r>
          </w:p>
        </w:tc>
      </w:tr>
      <w:tr>
        <w:trPr>
          <w:trHeight w:val="70" w:hRule="atLeast"/>
        </w:trPr>
        <w:tc>
          <w:tcPr>
            <w:tcW w:w="576" w:type="dxa"/>
            <w:tcBorders>
              <w:top w:val="single" w:sz="4" w:space="0" w:color="000000"/>
              <w:left w:val="single" w:sz="4" w:space="0" w:color="000000"/>
              <w:bottom w:val="single" w:sz="4" w:space="0" w:color="000000"/>
              <w:right w:val="single" w:sz="4" w:space="0" w:color="000000"/>
            </w:tcBorders>
          </w:tcPr>
          <w:p>
            <w:pPr>
              <w:pStyle w:val="Normal"/>
              <w:spacing w:lineRule="auto" w:line="240" w:before="0" w:after="200"/>
              <w:contextualSpacing/>
              <w:jc w:val="center"/>
              <w:rPr>
                <w:rFonts w:eastAsia="Times New Roman"/>
                <w:bCs/>
                <w:color w:val="000000"/>
                <w:sz w:val="20"/>
                <w:szCs w:val="20"/>
                <w:lang w:eastAsia="ru-RU"/>
              </w:rPr>
            </w:pPr>
            <w:r>
              <w:rPr>
                <w:rFonts w:eastAsia="Times New Roman"/>
                <w:bCs/>
                <w:color w:val="000000"/>
                <w:sz w:val="20"/>
                <w:szCs w:val="20"/>
                <w:lang w:eastAsia="ru-RU"/>
              </w:rPr>
              <w:t>4</w:t>
            </w:r>
          </w:p>
        </w:tc>
        <w:tc>
          <w:tcPr>
            <w:tcW w:w="306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before="0" w:after="200"/>
              <w:contextualSpacing/>
              <w:jc w:val="left"/>
              <w:rPr>
                <w:rFonts w:eastAsia="Times New Roman"/>
                <w:bCs/>
                <w:color w:val="000000"/>
                <w:sz w:val="20"/>
                <w:szCs w:val="20"/>
                <w:lang w:eastAsia="ru-RU"/>
              </w:rPr>
            </w:pPr>
            <w:r>
              <w:rPr>
                <w:sz w:val="20"/>
                <w:szCs w:val="20"/>
              </w:rPr>
              <w:t>п. Красноармейский</w:t>
            </w:r>
          </w:p>
        </w:tc>
        <w:tc>
          <w:tcPr>
            <w:tcW w:w="1020" w:type="dxa"/>
            <w:tcBorders>
              <w:top w:val="single" w:sz="4" w:space="0" w:color="000000"/>
              <w:bottom w:val="single" w:sz="4" w:space="0" w:color="000000"/>
              <w:right w:val="single" w:sz="4" w:space="0" w:color="000000"/>
            </w:tcBorders>
            <w:shd w:color="auto" w:fill="auto" w:val="clear"/>
          </w:tcPr>
          <w:p>
            <w:pPr>
              <w:pStyle w:val="Normal"/>
              <w:spacing w:lineRule="auto" w:line="240" w:before="0" w:after="200"/>
              <w:contextualSpacing/>
              <w:jc w:val="center"/>
              <w:rPr>
                <w:bCs/>
                <w:sz w:val="20"/>
                <w:szCs w:val="20"/>
              </w:rPr>
            </w:pPr>
            <w:r>
              <w:rPr>
                <w:sz w:val="20"/>
                <w:szCs w:val="20"/>
              </w:rPr>
              <w:t>220</w:t>
            </w:r>
          </w:p>
        </w:tc>
        <w:tc>
          <w:tcPr>
            <w:tcW w:w="1028"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before="0" w:after="200"/>
              <w:contextualSpacing/>
              <w:jc w:val="center"/>
              <w:rPr>
                <w:bCs/>
                <w:sz w:val="20"/>
                <w:szCs w:val="20"/>
              </w:rPr>
            </w:pPr>
            <w:r>
              <w:rPr>
                <w:sz w:val="20"/>
                <w:szCs w:val="20"/>
              </w:rPr>
              <w:t>228</w:t>
            </w:r>
          </w:p>
        </w:tc>
        <w:tc>
          <w:tcPr>
            <w:tcW w:w="1169"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before="0" w:after="200"/>
              <w:contextualSpacing/>
              <w:jc w:val="center"/>
              <w:rPr>
                <w:bCs/>
                <w:sz w:val="20"/>
                <w:szCs w:val="20"/>
              </w:rPr>
            </w:pPr>
            <w:r>
              <w:rPr>
                <w:sz w:val="20"/>
                <w:szCs w:val="20"/>
              </w:rPr>
              <w:t>66000</w:t>
            </w:r>
          </w:p>
        </w:tc>
        <w:tc>
          <w:tcPr>
            <w:tcW w:w="1168"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before="0" w:after="200"/>
              <w:contextualSpacing/>
              <w:jc w:val="center"/>
              <w:rPr>
                <w:bCs/>
                <w:sz w:val="20"/>
                <w:szCs w:val="20"/>
              </w:rPr>
            </w:pPr>
            <w:r>
              <w:rPr>
                <w:sz w:val="20"/>
                <w:szCs w:val="20"/>
              </w:rPr>
              <w:t>68400</w:t>
            </w:r>
          </w:p>
        </w:tc>
        <w:tc>
          <w:tcPr>
            <w:tcW w:w="1077"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before="0" w:after="200"/>
              <w:contextualSpacing/>
              <w:jc w:val="center"/>
              <w:rPr>
                <w:bCs/>
                <w:sz w:val="20"/>
                <w:szCs w:val="20"/>
              </w:rPr>
            </w:pPr>
            <w:r>
              <w:rPr>
                <w:sz w:val="20"/>
                <w:szCs w:val="20"/>
              </w:rPr>
              <w:t>3300</w:t>
            </w:r>
          </w:p>
        </w:tc>
        <w:tc>
          <w:tcPr>
            <w:tcW w:w="1100"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before="0" w:after="200"/>
              <w:contextualSpacing/>
              <w:jc w:val="center"/>
              <w:rPr>
                <w:bCs/>
                <w:sz w:val="20"/>
                <w:szCs w:val="20"/>
              </w:rPr>
            </w:pPr>
            <w:r>
              <w:rPr>
                <w:sz w:val="20"/>
                <w:szCs w:val="20"/>
              </w:rPr>
              <w:t>3420</w:t>
            </w:r>
          </w:p>
        </w:tc>
      </w:tr>
      <w:tr>
        <w:trPr>
          <w:trHeight w:val="20" w:hRule="atLeast"/>
        </w:trPr>
        <w:tc>
          <w:tcPr>
            <w:tcW w:w="5689" w:type="dxa"/>
            <w:gridSpan w:val="4"/>
            <w:tcBorders>
              <w:top w:val="single" w:sz="4" w:space="0" w:color="000000"/>
              <w:left w:val="single" w:sz="4" w:space="0" w:color="000000"/>
              <w:bottom w:val="single" w:sz="4" w:space="0" w:color="000000"/>
              <w:right w:val="single" w:sz="4" w:space="0" w:color="000000"/>
            </w:tcBorders>
          </w:tcPr>
          <w:p>
            <w:pPr>
              <w:pStyle w:val="Normal"/>
              <w:spacing w:lineRule="auto" w:line="240" w:before="0" w:after="200"/>
              <w:contextualSpacing/>
              <w:jc w:val="left"/>
              <w:rPr>
                <w:bCs/>
                <w:sz w:val="20"/>
                <w:szCs w:val="20"/>
              </w:rPr>
            </w:pPr>
            <w:r>
              <w:rPr>
                <w:bCs/>
                <w:sz w:val="20"/>
                <w:szCs w:val="20"/>
              </w:rPr>
              <w:t>Итого</w:t>
            </w:r>
          </w:p>
        </w:tc>
        <w:tc>
          <w:tcPr>
            <w:tcW w:w="1169" w:type="dxa"/>
            <w:tcBorders>
              <w:top w:val="single" w:sz="4" w:space="0" w:color="000000"/>
              <w:bottom w:val="single" w:sz="4" w:space="0" w:color="000000"/>
              <w:right w:val="single" w:sz="4" w:space="0" w:color="000000"/>
            </w:tcBorders>
            <w:shd w:color="auto" w:fill="auto" w:val="clear"/>
          </w:tcPr>
          <w:p>
            <w:pPr>
              <w:pStyle w:val="Normal"/>
              <w:spacing w:lineRule="auto" w:line="240" w:before="0" w:after="200"/>
              <w:contextualSpacing/>
              <w:jc w:val="center"/>
              <w:rPr>
                <w:b/>
                <w:b/>
                <w:color w:val="000000"/>
                <w:sz w:val="20"/>
                <w:szCs w:val="20"/>
              </w:rPr>
            </w:pPr>
            <w:r>
              <w:rPr>
                <w:b/>
                <w:color w:val="000000"/>
                <w:sz w:val="20"/>
                <w:szCs w:val="20"/>
              </w:rPr>
              <w:t>404100</w:t>
            </w:r>
          </w:p>
        </w:tc>
        <w:tc>
          <w:tcPr>
            <w:tcW w:w="1168" w:type="dxa"/>
            <w:tcBorders>
              <w:top w:val="single" w:sz="4" w:space="0" w:color="000000"/>
              <w:bottom w:val="single" w:sz="4" w:space="0" w:color="000000"/>
              <w:right w:val="single" w:sz="4" w:space="0" w:color="000000"/>
            </w:tcBorders>
            <w:shd w:color="auto" w:fill="auto" w:val="clear"/>
          </w:tcPr>
          <w:p>
            <w:pPr>
              <w:pStyle w:val="Normal"/>
              <w:spacing w:lineRule="auto" w:line="240" w:before="0" w:after="200"/>
              <w:contextualSpacing/>
              <w:jc w:val="center"/>
              <w:rPr>
                <w:b/>
                <w:b/>
                <w:color w:val="000000"/>
                <w:sz w:val="20"/>
                <w:szCs w:val="20"/>
              </w:rPr>
            </w:pPr>
            <w:r>
              <w:rPr>
                <w:b/>
                <w:color w:val="000000"/>
                <w:sz w:val="20"/>
                <w:szCs w:val="20"/>
              </w:rPr>
              <w:t>456000</w:t>
            </w:r>
          </w:p>
        </w:tc>
        <w:tc>
          <w:tcPr>
            <w:tcW w:w="1077" w:type="dxa"/>
            <w:tcBorders>
              <w:top w:val="single" w:sz="4" w:space="0" w:color="000000"/>
              <w:bottom w:val="single" w:sz="4" w:space="0" w:color="000000"/>
              <w:right w:val="single" w:sz="4" w:space="0" w:color="000000"/>
            </w:tcBorders>
            <w:shd w:color="auto" w:fill="auto" w:val="clear"/>
          </w:tcPr>
          <w:p>
            <w:pPr>
              <w:pStyle w:val="Normal"/>
              <w:spacing w:lineRule="auto" w:line="240" w:before="0" w:after="200"/>
              <w:contextualSpacing/>
              <w:jc w:val="center"/>
              <w:rPr>
                <w:b/>
                <w:b/>
                <w:color w:val="000000"/>
                <w:sz w:val="20"/>
                <w:szCs w:val="20"/>
              </w:rPr>
            </w:pPr>
            <w:r>
              <w:rPr>
                <w:b/>
                <w:color w:val="000000"/>
                <w:sz w:val="20"/>
                <w:szCs w:val="20"/>
              </w:rPr>
              <w:t>20205</w:t>
            </w:r>
          </w:p>
        </w:tc>
        <w:tc>
          <w:tcPr>
            <w:tcW w:w="1100" w:type="dxa"/>
            <w:tcBorders>
              <w:top w:val="single" w:sz="4" w:space="0" w:color="000000"/>
              <w:bottom w:val="single" w:sz="4" w:space="0" w:color="000000"/>
              <w:right w:val="single" w:sz="4" w:space="0" w:color="000000"/>
            </w:tcBorders>
            <w:shd w:color="auto" w:fill="auto" w:val="clear"/>
          </w:tcPr>
          <w:p>
            <w:pPr>
              <w:pStyle w:val="Normal"/>
              <w:spacing w:lineRule="auto" w:line="240" w:before="0" w:after="200"/>
              <w:contextualSpacing/>
              <w:jc w:val="center"/>
              <w:rPr>
                <w:b/>
                <w:b/>
                <w:color w:val="000000"/>
                <w:sz w:val="20"/>
                <w:szCs w:val="20"/>
              </w:rPr>
            </w:pPr>
            <w:r>
              <w:rPr>
                <w:b/>
                <w:color w:val="000000"/>
                <w:sz w:val="20"/>
                <w:szCs w:val="20"/>
              </w:rPr>
              <w:t>22800</w:t>
            </w:r>
          </w:p>
        </w:tc>
      </w:tr>
    </w:tbl>
    <w:p>
      <w:pPr>
        <w:sectPr>
          <w:headerReference w:type="default" r:id="rId114"/>
          <w:footerReference w:type="default" r:id="rId115"/>
          <w:type w:val="nextPage"/>
          <w:pgSz w:w="11906" w:h="16838"/>
          <w:pgMar w:left="1134" w:right="567" w:header="567" w:top="1134" w:footer="567" w:bottom="1134" w:gutter="0"/>
          <w:pgNumType w:fmt="decimal"/>
          <w:formProt w:val="false"/>
          <w:textDirection w:val="lrTb"/>
          <w:docGrid w:type="default" w:linePitch="100" w:charSpace="0"/>
        </w:sectPr>
      </w:pPr>
    </w:p>
    <w:p>
      <w:pPr>
        <w:pStyle w:val="0212161"/>
        <w:rPr>
          <w:rFonts w:eastAsia="Times New Roman"/>
          <w:b/>
          <w:b/>
          <w:caps/>
          <w:sz w:val="28"/>
          <w:szCs w:val="28"/>
          <w:lang w:eastAsia="ru-RU"/>
        </w:rPr>
      </w:pPr>
      <w:bookmarkStart w:id="202" w:name="_Toc182210493"/>
      <w:r>
        <w:rPr>
          <w:iCs/>
          <w:szCs w:val="28"/>
        </w:rPr>
        <w:t xml:space="preserve">8.7 </w:t>
      </w:r>
      <w:r>
        <w:rPr/>
        <w:t>Трубопроводный транспорт</w:t>
      </w:r>
      <w:bookmarkEnd w:id="200"/>
      <w:bookmarkEnd w:id="201"/>
      <w:bookmarkEnd w:id="202"/>
    </w:p>
    <w:p>
      <w:pPr>
        <w:pStyle w:val="Normal"/>
        <w:spacing w:lineRule="auto" w:line="276"/>
        <w:ind w:firstLine="709"/>
        <w:jc w:val="left"/>
        <w:rPr>
          <w:b/>
          <w:b/>
        </w:rPr>
      </w:pPr>
      <w:bookmarkStart w:id="203" w:name="_Toc493509826"/>
      <w:bookmarkStart w:id="204" w:name="_Toc47098755"/>
      <w:bookmarkEnd w:id="203"/>
      <w:bookmarkEnd w:id="197"/>
      <w:r>
        <w:rPr>
          <w:b/>
        </w:rPr>
        <w:t>Анализ существующего состояния</w:t>
      </w:r>
    </w:p>
    <w:p>
      <w:pPr>
        <w:pStyle w:val="Normal"/>
        <w:spacing w:lineRule="auto" w:line="276"/>
        <w:ind w:firstLine="709"/>
        <w:rPr>
          <w:szCs w:val="24"/>
        </w:rPr>
      </w:pPr>
      <w:r>
        <w:rPr>
          <w:szCs w:val="24"/>
        </w:rPr>
        <w:t>Магистральные трубопроводы на территории Катенинского сельского поселения Варненского муниципального района Челябинской области представлены магистральным газопроводами и газопроводами-отводами к ГРС. Транспортировку газа, нефти и нефтепродуктов по магистральным трубопроводам, строительство, реконструкцию и капитальный ремонт трубопроводов, а также профилактические, диагностические и аварийно-восстановительные работы осуществляет ООО «Газпром трансгаз Екатеринбург».</w:t>
      </w:r>
    </w:p>
    <w:p>
      <w:pPr>
        <w:pStyle w:val="Normal"/>
        <w:spacing w:lineRule="auto" w:line="276"/>
        <w:ind w:firstLine="709"/>
        <w:rPr>
          <w:szCs w:val="24"/>
        </w:rPr>
      </w:pPr>
      <w:r>
        <w:rPr>
          <w:szCs w:val="24"/>
        </w:rPr>
        <w:t>Перечень и характеристики действующих магистральных трубопроводов, проходящих по территории поселения, представлены в таблице 1.8.7.1</w:t>
      </w:r>
    </w:p>
    <w:p>
      <w:pPr>
        <w:pStyle w:val="Normal"/>
        <w:spacing w:lineRule="auto" w:line="300"/>
        <w:jc w:val="right"/>
        <w:rPr>
          <w:szCs w:val="24"/>
        </w:rPr>
      </w:pPr>
      <w:r>
        <w:rPr>
          <w:szCs w:val="24"/>
        </w:rPr>
        <w:t>Таблица 1.8.7.1</w:t>
      </w:r>
    </w:p>
    <w:p>
      <w:pPr>
        <w:pStyle w:val="Normal"/>
        <w:spacing w:lineRule="auto" w:line="300"/>
        <w:jc w:val="center"/>
        <w:rPr>
          <w:szCs w:val="24"/>
        </w:rPr>
      </w:pPr>
      <w:r>
        <w:rPr>
          <w:szCs w:val="24"/>
        </w:rPr>
        <w:t>Перечень и характеристики действующих магистральных трубопроводов</w:t>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420"/>
        <w:gridCol w:w="4828"/>
        <w:gridCol w:w="1137"/>
        <w:gridCol w:w="1419"/>
        <w:gridCol w:w="2117"/>
      </w:tblGrid>
      <w:tr>
        <w:trPr>
          <w:tblHeader w:val="true"/>
          <w:trHeight w:val="20" w:hRule="atLeast"/>
        </w:trPr>
        <w:tc>
          <w:tcPr>
            <w:tcW w:w="420"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rPr>
            </w:pPr>
            <w:r>
              <w:rPr>
                <w:b/>
                <w:sz w:val="20"/>
              </w:rPr>
              <w:t xml:space="preserve">№ </w:t>
            </w:r>
          </w:p>
        </w:tc>
        <w:tc>
          <w:tcPr>
            <w:tcW w:w="4828"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sz w:val="20"/>
              </w:rPr>
            </w:pPr>
            <w:r>
              <w:rPr>
                <w:b/>
                <w:sz w:val="20"/>
                <w:szCs w:val="24"/>
              </w:rPr>
              <w:t>Наименование трубопровода</w:t>
            </w:r>
          </w:p>
        </w:tc>
        <w:tc>
          <w:tcPr>
            <w:tcW w:w="1137"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rPr>
            </w:pPr>
            <w:r>
              <w:rPr>
                <w:b/>
                <w:sz w:val="20"/>
              </w:rPr>
              <w:t>Давление, МПа</w:t>
            </w:r>
          </w:p>
        </w:tc>
        <w:tc>
          <w:tcPr>
            <w:tcW w:w="1419"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sz w:val="20"/>
              </w:rPr>
            </w:pPr>
            <w:r>
              <w:rPr>
                <w:b/>
                <w:sz w:val="20"/>
              </w:rPr>
              <w:t>Диаметр, мм</w:t>
            </w:r>
          </w:p>
        </w:tc>
        <w:tc>
          <w:tcPr>
            <w:tcW w:w="2117"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sz w:val="20"/>
              </w:rPr>
            </w:pPr>
            <w:r>
              <w:rPr>
                <w:b/>
                <w:sz w:val="20"/>
              </w:rPr>
              <w:t>Протяженность по территории поселения, км</w:t>
            </w:r>
          </w:p>
        </w:tc>
      </w:tr>
    </w:tbl>
    <w:p>
      <w:pPr>
        <w:pStyle w:val="Normal"/>
        <w:spacing w:lineRule="auto" w:line="12"/>
        <w:jc w:val="left"/>
        <w:rPr>
          <w:sz w:val="22"/>
        </w:rPr>
      </w:pPr>
      <w:r>
        <w:rPr>
          <w:sz w:val="22"/>
        </w:rPr>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420"/>
        <w:gridCol w:w="4828"/>
        <w:gridCol w:w="1137"/>
        <w:gridCol w:w="1419"/>
        <w:gridCol w:w="2117"/>
      </w:tblGrid>
      <w:tr>
        <w:trPr>
          <w:tblHeader w:val="true"/>
          <w:trHeight w:val="20" w:hRule="atLeast"/>
        </w:trPr>
        <w:tc>
          <w:tcPr>
            <w:tcW w:w="4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before="0" w:after="200"/>
              <w:contextualSpacing/>
              <w:jc w:val="center"/>
              <w:rPr>
                <w:b/>
                <w:b/>
                <w:sz w:val="20"/>
                <w:szCs w:val="20"/>
              </w:rPr>
            </w:pPr>
            <w:r>
              <w:rPr>
                <w:b/>
                <w:sz w:val="20"/>
                <w:szCs w:val="20"/>
              </w:rPr>
              <w:t>1</w:t>
            </w:r>
          </w:p>
        </w:tc>
        <w:tc>
          <w:tcPr>
            <w:tcW w:w="48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2</w:t>
            </w:r>
          </w:p>
        </w:tc>
        <w:tc>
          <w:tcPr>
            <w:tcW w:w="113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3</w:t>
            </w:r>
          </w:p>
        </w:tc>
        <w:tc>
          <w:tcPr>
            <w:tcW w:w="14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4</w:t>
            </w:r>
          </w:p>
        </w:tc>
        <w:tc>
          <w:tcPr>
            <w:tcW w:w="211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5</w:t>
            </w:r>
          </w:p>
        </w:tc>
      </w:tr>
      <w:tr>
        <w:trPr>
          <w:trHeight w:val="20" w:hRule="atLeast"/>
        </w:trPr>
        <w:tc>
          <w:tcPr>
            <w:tcW w:w="4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numPr>
                <w:ilvl w:val="0"/>
                <w:numId w:val="20"/>
              </w:numPr>
              <w:spacing w:lineRule="auto" w:line="240" w:before="0" w:after="200"/>
              <w:ind w:left="0" w:hanging="0"/>
              <w:contextualSpacing/>
              <w:jc w:val="center"/>
              <w:rPr>
                <w:rFonts w:eastAsia="Times New Roman"/>
                <w:sz w:val="20"/>
                <w:szCs w:val="20"/>
                <w:lang w:eastAsia="ru-RU"/>
              </w:rPr>
            </w:pPr>
            <w:r>
              <w:rPr>
                <w:rFonts w:eastAsia="Times New Roman"/>
                <w:sz w:val="20"/>
                <w:szCs w:val="20"/>
                <w:lang w:eastAsia="ru-RU"/>
              </w:rPr>
            </w:r>
          </w:p>
        </w:tc>
        <w:tc>
          <w:tcPr>
            <w:tcW w:w="482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Газопровод «Бухара-Урал I»</w:t>
            </w:r>
          </w:p>
        </w:tc>
        <w:tc>
          <w:tcPr>
            <w:tcW w:w="113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5,5</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1020</w:t>
            </w:r>
          </w:p>
        </w:tc>
        <w:tc>
          <w:tcPr>
            <w:tcW w:w="211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15,800</w:t>
            </w:r>
          </w:p>
        </w:tc>
      </w:tr>
      <w:tr>
        <w:trPr>
          <w:trHeight w:val="20" w:hRule="atLeast"/>
        </w:trPr>
        <w:tc>
          <w:tcPr>
            <w:tcW w:w="4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numPr>
                <w:ilvl w:val="0"/>
                <w:numId w:val="20"/>
              </w:numPr>
              <w:spacing w:lineRule="auto" w:line="240" w:before="0" w:after="200"/>
              <w:ind w:left="0" w:hanging="0"/>
              <w:contextualSpacing/>
              <w:jc w:val="center"/>
              <w:rPr>
                <w:rFonts w:eastAsia="Times New Roman"/>
                <w:sz w:val="20"/>
                <w:szCs w:val="20"/>
                <w:lang w:eastAsia="ru-RU"/>
              </w:rPr>
            </w:pPr>
            <w:r>
              <w:rPr>
                <w:rFonts w:eastAsia="Times New Roman"/>
                <w:sz w:val="20"/>
                <w:szCs w:val="20"/>
                <w:lang w:eastAsia="ru-RU"/>
              </w:rPr>
            </w:r>
          </w:p>
        </w:tc>
        <w:tc>
          <w:tcPr>
            <w:tcW w:w="482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Газопровод «Бухара-Урал II»</w:t>
            </w:r>
          </w:p>
        </w:tc>
        <w:tc>
          <w:tcPr>
            <w:tcW w:w="113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5,5</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1020</w:t>
            </w:r>
          </w:p>
        </w:tc>
        <w:tc>
          <w:tcPr>
            <w:tcW w:w="211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15,800</w:t>
            </w:r>
          </w:p>
        </w:tc>
      </w:tr>
      <w:tr>
        <w:trPr>
          <w:trHeight w:val="20" w:hRule="atLeast"/>
        </w:trPr>
        <w:tc>
          <w:tcPr>
            <w:tcW w:w="4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numPr>
                <w:ilvl w:val="0"/>
                <w:numId w:val="20"/>
              </w:numPr>
              <w:spacing w:lineRule="auto" w:line="240" w:before="0" w:after="200"/>
              <w:ind w:left="0" w:hanging="0"/>
              <w:contextualSpacing/>
              <w:jc w:val="center"/>
              <w:rPr>
                <w:rFonts w:eastAsia="Times New Roman"/>
                <w:sz w:val="20"/>
                <w:szCs w:val="20"/>
                <w:lang w:eastAsia="ru-RU"/>
              </w:rPr>
            </w:pPr>
            <w:r>
              <w:rPr>
                <w:rFonts w:eastAsia="Times New Roman"/>
                <w:sz w:val="20"/>
                <w:szCs w:val="20"/>
                <w:lang w:eastAsia="ru-RU"/>
              </w:rPr>
            </w:r>
          </w:p>
        </w:tc>
        <w:tc>
          <w:tcPr>
            <w:tcW w:w="482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Газопровод «Бухара-Урал III»</w:t>
            </w:r>
          </w:p>
        </w:tc>
        <w:tc>
          <w:tcPr>
            <w:tcW w:w="113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5,5</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1020</w:t>
            </w:r>
          </w:p>
        </w:tc>
        <w:tc>
          <w:tcPr>
            <w:tcW w:w="211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15,800</w:t>
            </w:r>
          </w:p>
        </w:tc>
      </w:tr>
      <w:tr>
        <w:trPr>
          <w:trHeight w:val="20" w:hRule="atLeast"/>
        </w:trPr>
        <w:tc>
          <w:tcPr>
            <w:tcW w:w="4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numPr>
                <w:ilvl w:val="0"/>
                <w:numId w:val="20"/>
              </w:numPr>
              <w:spacing w:lineRule="auto" w:line="240" w:before="0" w:after="200"/>
              <w:ind w:left="0" w:hanging="0"/>
              <w:contextualSpacing/>
              <w:jc w:val="center"/>
              <w:rPr>
                <w:rFonts w:eastAsia="Times New Roman"/>
                <w:sz w:val="20"/>
                <w:szCs w:val="20"/>
                <w:lang w:eastAsia="ru-RU"/>
              </w:rPr>
            </w:pPr>
            <w:r>
              <w:rPr>
                <w:rFonts w:eastAsia="Times New Roman"/>
                <w:sz w:val="20"/>
                <w:szCs w:val="20"/>
                <w:lang w:eastAsia="ru-RU"/>
              </w:rPr>
            </w:r>
          </w:p>
        </w:tc>
        <w:tc>
          <w:tcPr>
            <w:tcW w:w="482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Газопровод-отвод к ГРС с. Варна</w:t>
            </w:r>
          </w:p>
        </w:tc>
        <w:tc>
          <w:tcPr>
            <w:tcW w:w="113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5,5</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325</w:t>
            </w:r>
          </w:p>
        </w:tc>
        <w:tc>
          <w:tcPr>
            <w:tcW w:w="211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1,400</w:t>
            </w:r>
          </w:p>
        </w:tc>
      </w:tr>
    </w:tbl>
    <w:p>
      <w:pPr>
        <w:pStyle w:val="0212161"/>
        <w:rPr>
          <w:rFonts w:eastAsia="Times New Roman"/>
          <w:b/>
          <w:b/>
          <w:caps/>
          <w:sz w:val="28"/>
          <w:szCs w:val="28"/>
          <w:lang w:eastAsia="ru-RU"/>
        </w:rPr>
      </w:pPr>
      <w:bookmarkStart w:id="205" w:name="_Toc182210494"/>
      <w:bookmarkStart w:id="206" w:name="_Toc120534670"/>
      <w:bookmarkStart w:id="207" w:name="_Toc69297565"/>
      <w:r>
        <w:rPr/>
        <w:t>8.8 Электроснабжение</w:t>
      </w:r>
      <w:bookmarkEnd w:id="205"/>
      <w:bookmarkEnd w:id="206"/>
      <w:bookmarkEnd w:id="207"/>
      <w:r>
        <w:rPr/>
        <w:t xml:space="preserve"> </w:t>
      </w:r>
    </w:p>
    <w:p>
      <w:pPr>
        <w:pStyle w:val="Normal"/>
        <w:spacing w:lineRule="auto" w:line="276" w:before="120" w:after="200"/>
        <w:ind w:firstLine="709"/>
        <w:rPr>
          <w:b/>
          <w:b/>
          <w:szCs w:val="28"/>
        </w:rPr>
      </w:pPr>
      <w:r>
        <w:rPr>
          <w:b/>
          <w:szCs w:val="28"/>
        </w:rPr>
        <w:t>Анализ существующего состояния</w:t>
      </w:r>
    </w:p>
    <w:p>
      <w:pPr>
        <w:pStyle w:val="Normal"/>
        <w:tabs>
          <w:tab w:val="clear" w:pos="708"/>
          <w:tab w:val="left" w:pos="142" w:leader="none"/>
        </w:tabs>
        <w:spacing w:lineRule="auto" w:line="276"/>
        <w:ind w:firstLine="709"/>
        <w:rPr>
          <w:szCs w:val="28"/>
        </w:rPr>
      </w:pPr>
      <w:r>
        <w:rPr>
          <w:szCs w:val="28"/>
        </w:rPr>
        <w:t xml:space="preserve">Электроснабжение потребителей </w:t>
      </w:r>
      <w:r>
        <w:rPr/>
        <w:t xml:space="preserve">Катенинского сельского поселения Варненского </w:t>
      </w:r>
      <w:r>
        <w:rPr>
          <w:szCs w:val="28"/>
        </w:rPr>
        <w:t>муниципального района осуществляется от сетей филиала ПАО «МРСК Урала» - филиал «Челябэнерго» и ПАО «ФСК ЕЭС».</w:t>
      </w:r>
    </w:p>
    <w:p>
      <w:pPr>
        <w:pStyle w:val="Normal"/>
        <w:tabs>
          <w:tab w:val="clear" w:pos="708"/>
          <w:tab w:val="left" w:pos="142" w:leader="none"/>
        </w:tabs>
        <w:spacing w:lineRule="auto" w:line="276"/>
        <w:ind w:firstLine="709"/>
        <w:rPr>
          <w:szCs w:val="28"/>
        </w:rPr>
      </w:pPr>
      <w:r>
        <w:rPr>
          <w:szCs w:val="28"/>
        </w:rPr>
        <w:t xml:space="preserve">Электроснабжение потребителей </w:t>
      </w:r>
      <w:r>
        <w:rPr/>
        <w:t xml:space="preserve">сельского поселения </w:t>
      </w:r>
      <w:r>
        <w:rPr>
          <w:szCs w:val="28"/>
        </w:rPr>
        <w:t>осуществляется по линиям электропередачи 220, 110, 35 и 10 (6) кВ.</w:t>
      </w:r>
    </w:p>
    <w:p>
      <w:pPr>
        <w:pStyle w:val="Normal"/>
        <w:tabs>
          <w:tab w:val="clear" w:pos="708"/>
          <w:tab w:val="left" w:pos="142" w:leader="none"/>
        </w:tabs>
        <w:spacing w:lineRule="auto" w:line="276"/>
        <w:ind w:firstLine="709"/>
        <w:rPr>
          <w:szCs w:val="28"/>
        </w:rPr>
      </w:pPr>
      <w:r>
        <w:rPr>
          <w:szCs w:val="28"/>
        </w:rPr>
        <w:t>Длина линий электропередачи составляет:</w:t>
      </w:r>
    </w:p>
    <w:p>
      <w:pPr>
        <w:pStyle w:val="Normal"/>
        <w:numPr>
          <w:ilvl w:val="0"/>
          <w:numId w:val="21"/>
        </w:numPr>
        <w:tabs>
          <w:tab w:val="clear" w:pos="708"/>
          <w:tab w:val="left" w:pos="709" w:leader="none"/>
          <w:tab w:val="left" w:pos="851" w:leader="none"/>
        </w:tabs>
        <w:spacing w:lineRule="auto" w:line="276"/>
        <w:ind w:left="0" w:firstLine="426"/>
        <w:rPr>
          <w:szCs w:val="28"/>
        </w:rPr>
      </w:pPr>
      <w:r>
        <w:rPr>
          <w:szCs w:val="28"/>
        </w:rPr>
        <w:t xml:space="preserve">ЛЭП 220 кВ </w:t>
      </w:r>
      <w:r>
        <w:rPr>
          <w:rFonts w:eastAsia="Times New Roman"/>
          <w:szCs w:val="28"/>
          <w:lang w:eastAsia="ru-RU"/>
        </w:rPr>
        <w:t>—</w:t>
      </w:r>
      <w:r>
        <w:rPr>
          <w:szCs w:val="28"/>
        </w:rPr>
        <w:t xml:space="preserve"> 2,78 км;</w:t>
      </w:r>
    </w:p>
    <w:p>
      <w:pPr>
        <w:pStyle w:val="Normal"/>
        <w:numPr>
          <w:ilvl w:val="0"/>
          <w:numId w:val="21"/>
        </w:numPr>
        <w:tabs>
          <w:tab w:val="clear" w:pos="708"/>
          <w:tab w:val="left" w:pos="709" w:leader="none"/>
          <w:tab w:val="left" w:pos="851" w:leader="none"/>
        </w:tabs>
        <w:spacing w:lineRule="auto" w:line="276"/>
        <w:ind w:left="0" w:firstLine="426"/>
        <w:rPr>
          <w:szCs w:val="28"/>
        </w:rPr>
      </w:pPr>
      <w:r>
        <w:rPr>
          <w:szCs w:val="28"/>
        </w:rPr>
        <w:t xml:space="preserve">ЛЭП 110 кВ </w:t>
      </w:r>
      <w:r>
        <w:rPr>
          <w:rFonts w:eastAsia="Times New Roman"/>
          <w:szCs w:val="28"/>
          <w:lang w:eastAsia="ru-RU"/>
        </w:rPr>
        <w:t>—</w:t>
      </w:r>
      <w:r>
        <w:rPr>
          <w:szCs w:val="28"/>
        </w:rPr>
        <w:t xml:space="preserve"> 29,72 км;</w:t>
      </w:r>
    </w:p>
    <w:p>
      <w:pPr>
        <w:pStyle w:val="Normal"/>
        <w:numPr>
          <w:ilvl w:val="0"/>
          <w:numId w:val="21"/>
        </w:numPr>
        <w:tabs>
          <w:tab w:val="clear" w:pos="708"/>
          <w:tab w:val="left" w:pos="709" w:leader="none"/>
          <w:tab w:val="left" w:pos="851" w:leader="none"/>
        </w:tabs>
        <w:spacing w:lineRule="auto" w:line="276"/>
        <w:ind w:left="0" w:firstLine="426"/>
        <w:rPr>
          <w:szCs w:val="28"/>
        </w:rPr>
      </w:pPr>
      <w:r>
        <w:rPr>
          <w:szCs w:val="28"/>
        </w:rPr>
        <w:t xml:space="preserve">ЛЭП 35 кВ </w:t>
      </w:r>
      <w:r>
        <w:rPr>
          <w:rFonts w:eastAsia="Times New Roman"/>
          <w:szCs w:val="28"/>
          <w:lang w:eastAsia="ru-RU"/>
        </w:rPr>
        <w:t>—</w:t>
      </w:r>
      <w:r>
        <w:rPr>
          <w:szCs w:val="28"/>
        </w:rPr>
        <w:t xml:space="preserve"> 42,46 км;</w:t>
      </w:r>
    </w:p>
    <w:p>
      <w:pPr>
        <w:pStyle w:val="Normal"/>
        <w:numPr>
          <w:ilvl w:val="0"/>
          <w:numId w:val="21"/>
        </w:numPr>
        <w:tabs>
          <w:tab w:val="clear" w:pos="708"/>
          <w:tab w:val="left" w:pos="709" w:leader="none"/>
          <w:tab w:val="left" w:pos="851" w:leader="none"/>
        </w:tabs>
        <w:spacing w:lineRule="auto" w:line="276"/>
        <w:ind w:left="0" w:firstLine="426"/>
        <w:rPr>
          <w:szCs w:val="28"/>
        </w:rPr>
      </w:pPr>
      <w:r>
        <w:rPr>
          <w:szCs w:val="28"/>
        </w:rPr>
        <w:t xml:space="preserve">ЛЭП 10 (6) кВ </w:t>
      </w:r>
      <w:r>
        <w:rPr>
          <w:rFonts w:eastAsia="Times New Roman"/>
          <w:szCs w:val="28"/>
          <w:lang w:eastAsia="ru-RU"/>
        </w:rPr>
        <w:t>—</w:t>
      </w:r>
      <w:r>
        <w:rPr>
          <w:szCs w:val="28"/>
        </w:rPr>
        <w:t xml:space="preserve"> 63,1 км.</w:t>
      </w:r>
    </w:p>
    <w:p>
      <w:pPr>
        <w:pStyle w:val="Normal"/>
        <w:tabs>
          <w:tab w:val="clear" w:pos="708"/>
          <w:tab w:val="left" w:pos="142" w:leader="none"/>
        </w:tabs>
        <w:spacing w:lineRule="auto" w:line="276"/>
        <w:ind w:firstLine="709"/>
        <w:rPr>
          <w:szCs w:val="28"/>
        </w:rPr>
      </w:pPr>
      <w:r>
        <w:rPr>
          <w:szCs w:val="28"/>
        </w:rPr>
        <w:t>На территории сельского поселения располагается газопоршневая электростанция «Михеевский ГОК».</w:t>
      </w:r>
    </w:p>
    <w:p>
      <w:pPr>
        <w:pStyle w:val="Normal"/>
        <w:tabs>
          <w:tab w:val="clear" w:pos="708"/>
          <w:tab w:val="left" w:pos="142" w:leader="none"/>
        </w:tabs>
        <w:spacing w:lineRule="auto" w:line="276"/>
        <w:ind w:firstLine="709"/>
        <w:rPr>
          <w:szCs w:val="28"/>
        </w:rPr>
      </w:pPr>
      <w:r>
        <w:rPr>
          <w:szCs w:val="28"/>
        </w:rPr>
        <w:t>Электроснабжение сельского поселения происходит следующим образом: от ПС 35/10 кВ Катенинская отходят ЛЭП 10 кВ, посредством которых запитываются трансформаторные подстанции.</w:t>
      </w:r>
    </w:p>
    <w:p>
      <w:pPr>
        <w:pStyle w:val="Normal"/>
        <w:tabs>
          <w:tab w:val="clear" w:pos="708"/>
          <w:tab w:val="left" w:pos="142" w:leader="none"/>
        </w:tabs>
        <w:spacing w:lineRule="auto" w:line="276"/>
        <w:ind w:firstLine="709"/>
        <w:rPr>
          <w:szCs w:val="28"/>
        </w:rPr>
      </w:pPr>
      <w:r>
        <w:rPr>
          <w:szCs w:val="28"/>
        </w:rPr>
        <w:t>На территории сельского поселения расположены трансформаторные подстанции в количестве 35 штук.</w:t>
      </w:r>
    </w:p>
    <w:p>
      <w:pPr>
        <w:sectPr>
          <w:headerReference w:type="default" r:id="rId116"/>
          <w:footerReference w:type="default" r:id="rId117"/>
          <w:type w:val="nextPage"/>
          <w:pgSz w:w="11906" w:h="16838"/>
          <w:pgMar w:left="1418" w:right="567" w:header="0" w:top="1134" w:footer="567" w:bottom="1134" w:gutter="0"/>
          <w:pgNumType w:fmt="decimal"/>
          <w:formProt w:val="false"/>
          <w:textDirection w:val="lrTb"/>
          <w:docGrid w:type="default" w:linePitch="326" w:charSpace="0"/>
        </w:sectPr>
        <w:pStyle w:val="Normal"/>
        <w:spacing w:lineRule="auto" w:line="276"/>
        <w:ind w:firstLine="709"/>
        <w:rPr>
          <w:szCs w:val="28"/>
        </w:rPr>
      </w:pPr>
      <w:r>
        <w:rPr>
          <w:szCs w:val="28"/>
        </w:rPr>
        <w:t>Характеристики электростанций, понизительных подстанций 35 кВ и выше, а также трансформаторных подстанций представлены в таблицах 3.8.7.1, 3.8.7.2, 3.8.7.3.</w:t>
      </w:r>
    </w:p>
    <w:p>
      <w:pPr>
        <w:pStyle w:val="Normal"/>
        <w:tabs>
          <w:tab w:val="clear" w:pos="708"/>
          <w:tab w:val="left" w:pos="142" w:leader="none"/>
        </w:tabs>
        <w:spacing w:lineRule="auto" w:line="276" w:before="120" w:after="200"/>
        <w:ind w:firstLine="709"/>
        <w:jc w:val="right"/>
        <w:rPr>
          <w:szCs w:val="28"/>
        </w:rPr>
      </w:pPr>
      <w:r>
        <w:rPr>
          <w:szCs w:val="28"/>
        </w:rPr>
        <w:t>Таблица 3.8.7.1</w:t>
      </w:r>
    </w:p>
    <w:p>
      <w:pPr>
        <w:pStyle w:val="Normal"/>
        <w:spacing w:lineRule="auto" w:line="276"/>
        <w:jc w:val="center"/>
        <w:rPr>
          <w:rFonts w:eastAsia="Times New Roman"/>
          <w:szCs w:val="28"/>
          <w:lang w:eastAsia="ru-RU"/>
        </w:rPr>
      </w:pPr>
      <w:r>
        <w:rPr>
          <w:rFonts w:eastAsia="Times New Roman"/>
          <w:szCs w:val="28"/>
          <w:lang w:eastAsia="ru-RU"/>
        </w:rPr>
        <w:t>Характеристика электростанций</w:t>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560"/>
        <w:gridCol w:w="1701"/>
        <w:gridCol w:w="2155"/>
        <w:gridCol w:w="1675"/>
        <w:gridCol w:w="1988"/>
        <w:gridCol w:w="2554"/>
        <w:gridCol w:w="2127"/>
        <w:gridCol w:w="1808"/>
      </w:tblGrid>
      <w:tr>
        <w:trPr>
          <w:trHeight w:val="745" w:hRule="atLeast"/>
          <w:cantSplit w:val="true"/>
        </w:trPr>
        <w:tc>
          <w:tcPr>
            <w:tcW w:w="560"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w:t>
            </w:r>
          </w:p>
        </w:tc>
        <w:tc>
          <w:tcPr>
            <w:tcW w:w="1701"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b/>
                <w:sz w:val="20"/>
                <w:szCs w:val="24"/>
              </w:rPr>
              <w:t>Наименование объекта</w:t>
            </w:r>
          </w:p>
        </w:tc>
        <w:tc>
          <w:tcPr>
            <w:tcW w:w="2155"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ind w:left="113" w:right="113" w:hanging="0"/>
              <w:jc w:val="center"/>
              <w:rPr>
                <w:rFonts w:eastAsia="Times New Roman"/>
                <w:b/>
                <w:b/>
                <w:sz w:val="20"/>
                <w:szCs w:val="20"/>
                <w:lang w:eastAsia="ru-RU"/>
              </w:rPr>
            </w:pPr>
            <w:r>
              <w:rPr>
                <w:rFonts w:eastAsia="Times New Roman"/>
                <w:b/>
                <w:sz w:val="20"/>
                <w:szCs w:val="20"/>
                <w:lang w:eastAsia="ru-RU"/>
              </w:rPr>
              <w:t>Местоположение</w:t>
            </w:r>
          </w:p>
        </w:tc>
        <w:tc>
          <w:tcPr>
            <w:tcW w:w="1675"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Год ввода</w:t>
            </w:r>
          </w:p>
        </w:tc>
        <w:tc>
          <w:tcPr>
            <w:tcW w:w="1988"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Вид топлива</w:t>
            </w:r>
          </w:p>
        </w:tc>
        <w:tc>
          <w:tcPr>
            <w:tcW w:w="2554"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Установленная электрическая мощность, МВт</w:t>
            </w:r>
          </w:p>
        </w:tc>
        <w:tc>
          <w:tcPr>
            <w:tcW w:w="2127"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Напряжение, кВ</w:t>
            </w:r>
          </w:p>
        </w:tc>
        <w:tc>
          <w:tcPr>
            <w:tcW w:w="1808"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Возможность модернизации электростанции</w:t>
            </w:r>
          </w:p>
        </w:tc>
      </w:tr>
    </w:tbl>
    <w:p>
      <w:pPr>
        <w:pStyle w:val="Normal"/>
        <w:spacing w:lineRule="auto" w:line="12"/>
        <w:ind w:firstLine="709"/>
        <w:jc w:val="center"/>
        <w:rPr>
          <w:sz w:val="28"/>
        </w:rPr>
      </w:pPr>
      <w:r>
        <w:rPr>
          <w:sz w:val="28"/>
        </w:rPr>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560"/>
        <w:gridCol w:w="1702"/>
        <w:gridCol w:w="2132"/>
        <w:gridCol w:w="1701"/>
        <w:gridCol w:w="1984"/>
        <w:gridCol w:w="2554"/>
        <w:gridCol w:w="2127"/>
        <w:gridCol w:w="1808"/>
      </w:tblGrid>
      <w:tr>
        <w:trPr>
          <w:tblHeader w:val="true"/>
          <w:trHeight w:val="20" w:hRule="atLeast"/>
        </w:trPr>
        <w:tc>
          <w:tcPr>
            <w:tcW w:w="5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1</w:t>
            </w:r>
          </w:p>
        </w:tc>
        <w:tc>
          <w:tcPr>
            <w:tcW w:w="17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2</w:t>
            </w:r>
          </w:p>
        </w:tc>
        <w:tc>
          <w:tcPr>
            <w:tcW w:w="21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3</w:t>
            </w:r>
          </w:p>
        </w:tc>
        <w:tc>
          <w:tcPr>
            <w:tcW w:w="170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4</w:t>
            </w:r>
          </w:p>
        </w:tc>
        <w:tc>
          <w:tcPr>
            <w:tcW w:w="198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sz w:val="20"/>
                <w:szCs w:val="20"/>
                <w:lang w:eastAsia="ru-RU"/>
              </w:rPr>
            </w:pPr>
            <w:r>
              <w:rPr>
                <w:rFonts w:eastAsia="Times New Roman"/>
                <w:b/>
                <w:sz w:val="20"/>
                <w:szCs w:val="20"/>
                <w:lang w:eastAsia="ru-RU"/>
              </w:rPr>
              <w:t>5</w:t>
            </w:r>
          </w:p>
        </w:tc>
        <w:tc>
          <w:tcPr>
            <w:tcW w:w="25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6</w:t>
            </w:r>
          </w:p>
        </w:tc>
        <w:tc>
          <w:tcPr>
            <w:tcW w:w="212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7</w:t>
            </w:r>
          </w:p>
        </w:tc>
        <w:tc>
          <w:tcPr>
            <w:tcW w:w="180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8</w:t>
            </w:r>
          </w:p>
        </w:tc>
      </w:tr>
      <w:tr>
        <w:trPr>
          <w:trHeight w:val="20" w:hRule="atLeast"/>
        </w:trPr>
        <w:tc>
          <w:tcPr>
            <w:tcW w:w="560"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2"/>
              </w:numPr>
              <w:spacing w:lineRule="auto" w:line="240"/>
              <w:ind w:left="5" w:hanging="29"/>
              <w:jc w:val="center"/>
              <w:rPr>
                <w:sz w:val="20"/>
                <w:szCs w:val="20"/>
              </w:rPr>
            </w:pPr>
            <w:r>
              <w:rPr>
                <w:sz w:val="20"/>
                <w:szCs w:val="20"/>
              </w:rPr>
            </w:r>
          </w:p>
        </w:tc>
        <w:tc>
          <w:tcPr>
            <w:tcW w:w="1702"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ГПЭС АО «Михеевский ГОК»</w:t>
            </w:r>
          </w:p>
        </w:tc>
        <w:tc>
          <w:tcPr>
            <w:tcW w:w="2132"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170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198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Природный газ</w:t>
            </w:r>
          </w:p>
        </w:tc>
        <w:tc>
          <w:tcPr>
            <w:tcW w:w="255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92</w:t>
            </w:r>
          </w:p>
        </w:tc>
        <w:tc>
          <w:tcPr>
            <w:tcW w:w="212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w:t>
            </w:r>
          </w:p>
        </w:tc>
        <w:tc>
          <w:tcPr>
            <w:tcW w:w="180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нет данных</w:t>
            </w:r>
          </w:p>
        </w:tc>
      </w:tr>
    </w:tbl>
    <w:p>
      <w:pPr>
        <w:pStyle w:val="Normal"/>
        <w:tabs>
          <w:tab w:val="clear" w:pos="708"/>
          <w:tab w:val="left" w:pos="142" w:leader="none"/>
        </w:tabs>
        <w:spacing w:lineRule="auto" w:line="276" w:before="120" w:after="200"/>
        <w:ind w:firstLine="709"/>
        <w:jc w:val="right"/>
        <w:rPr>
          <w:szCs w:val="28"/>
        </w:rPr>
      </w:pPr>
      <w:r>
        <w:rPr>
          <w:szCs w:val="28"/>
        </w:rPr>
        <w:t>Таблица 3.8.7.2</w:t>
      </w:r>
    </w:p>
    <w:p>
      <w:pPr>
        <w:pStyle w:val="Normal"/>
        <w:spacing w:lineRule="auto" w:line="276"/>
        <w:jc w:val="center"/>
        <w:rPr>
          <w:rFonts w:eastAsia="Times New Roman"/>
          <w:szCs w:val="28"/>
          <w:lang w:eastAsia="ru-RU"/>
        </w:rPr>
      </w:pPr>
      <w:r>
        <w:rPr>
          <w:rFonts w:eastAsia="Times New Roman"/>
          <w:szCs w:val="28"/>
          <w:lang w:eastAsia="ru-RU"/>
        </w:rPr>
        <w:t>Характеристики понизительных подстанций 35 кВ и выше</w:t>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416"/>
        <w:gridCol w:w="2276"/>
        <w:gridCol w:w="1419"/>
        <w:gridCol w:w="991"/>
        <w:gridCol w:w="2981"/>
        <w:gridCol w:w="2267"/>
        <w:gridCol w:w="1984"/>
        <w:gridCol w:w="2234"/>
      </w:tblGrid>
      <w:tr>
        <w:trPr>
          <w:trHeight w:val="2095" w:hRule="atLeast"/>
          <w:cantSplit w:val="true"/>
        </w:trPr>
        <w:tc>
          <w:tcPr>
            <w:tcW w:w="416"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w:t>
            </w:r>
          </w:p>
        </w:tc>
        <w:tc>
          <w:tcPr>
            <w:tcW w:w="2276"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b/>
                <w:sz w:val="20"/>
                <w:szCs w:val="20"/>
              </w:rPr>
              <w:t>Наименование объекта</w:t>
            </w:r>
          </w:p>
        </w:tc>
        <w:tc>
          <w:tcPr>
            <w:tcW w:w="1419" w:type="dxa"/>
            <w:tcBorders>
              <w:top w:val="single" w:sz="4" w:space="0" w:color="000000"/>
              <w:left w:val="single" w:sz="4" w:space="0" w:color="000000"/>
              <w:right w:val="single" w:sz="4" w:space="0" w:color="000000"/>
            </w:tcBorders>
            <w:shd w:color="auto" w:fill="auto" w:val="clear"/>
            <w:textDirection w:val="btLr"/>
            <w:vAlign w:val="center"/>
          </w:tcPr>
          <w:p>
            <w:pPr>
              <w:pStyle w:val="Normal"/>
              <w:spacing w:lineRule="auto" w:line="240"/>
              <w:ind w:left="113" w:right="113" w:hanging="0"/>
              <w:jc w:val="center"/>
              <w:rPr>
                <w:rFonts w:eastAsia="Times New Roman"/>
                <w:b/>
                <w:b/>
                <w:sz w:val="20"/>
                <w:szCs w:val="20"/>
                <w:lang w:eastAsia="ru-RU"/>
              </w:rPr>
            </w:pPr>
            <w:r>
              <w:rPr>
                <w:rFonts w:eastAsia="Times New Roman"/>
                <w:b/>
                <w:sz w:val="20"/>
                <w:szCs w:val="20"/>
                <w:lang w:eastAsia="ru-RU"/>
              </w:rPr>
              <w:t>Уровень напряжения, кВ</w:t>
            </w:r>
          </w:p>
        </w:tc>
        <w:tc>
          <w:tcPr>
            <w:tcW w:w="991" w:type="dxa"/>
            <w:tcBorders>
              <w:top w:val="single" w:sz="4" w:space="0" w:color="000000"/>
              <w:left w:val="single" w:sz="4" w:space="0" w:color="000000"/>
              <w:right w:val="single" w:sz="4" w:space="0" w:color="000000"/>
            </w:tcBorders>
            <w:textDirection w:val="btLr"/>
            <w:vAlign w:val="center"/>
          </w:tcPr>
          <w:p>
            <w:pPr>
              <w:pStyle w:val="Normal"/>
              <w:spacing w:lineRule="auto" w:line="240"/>
              <w:ind w:left="113" w:right="113" w:hanging="0"/>
              <w:jc w:val="center"/>
              <w:rPr>
                <w:rFonts w:eastAsia="Times New Roman"/>
                <w:b/>
                <w:b/>
                <w:sz w:val="20"/>
                <w:szCs w:val="20"/>
                <w:lang w:eastAsia="ru-RU"/>
              </w:rPr>
            </w:pPr>
            <w:r>
              <w:rPr>
                <w:rFonts w:eastAsia="Times New Roman"/>
                <w:b/>
                <w:sz w:val="20"/>
                <w:szCs w:val="20"/>
                <w:lang w:eastAsia="ru-RU"/>
              </w:rPr>
              <w:t>Год строительства</w:t>
            </w:r>
          </w:p>
        </w:tc>
        <w:tc>
          <w:tcPr>
            <w:tcW w:w="2981"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Ведомственная принадлежность</w:t>
            </w:r>
          </w:p>
        </w:tc>
        <w:tc>
          <w:tcPr>
            <w:tcW w:w="2267"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Местоположение</w:t>
            </w:r>
          </w:p>
        </w:tc>
        <w:tc>
          <w:tcPr>
            <w:tcW w:w="1984"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val="en-US" w:eastAsia="ru-RU"/>
              </w:rPr>
              <w:t xml:space="preserve">Установленная </w:t>
            </w:r>
            <w:r>
              <w:rPr>
                <w:rFonts w:eastAsia="Times New Roman"/>
                <w:b/>
                <w:sz w:val="20"/>
                <w:szCs w:val="20"/>
                <w:lang w:eastAsia="ru-RU"/>
              </w:rPr>
              <w:t>мощность, МВа</w:t>
            </w:r>
          </w:p>
        </w:tc>
        <w:tc>
          <w:tcPr>
            <w:tcW w:w="2234"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Ориентировочная загрузка трансформаторов по стороне СН/НН, %</w:t>
            </w:r>
          </w:p>
        </w:tc>
      </w:tr>
    </w:tbl>
    <w:p>
      <w:pPr>
        <w:pStyle w:val="Normal"/>
        <w:spacing w:lineRule="auto" w:line="12"/>
        <w:ind w:firstLine="709"/>
        <w:rPr>
          <w:rFonts w:eastAsia="Times New Roman"/>
          <w:sz w:val="28"/>
          <w:szCs w:val="28"/>
          <w:lang w:eastAsia="ru-RU"/>
        </w:rPr>
      </w:pPr>
      <w:r>
        <w:rPr>
          <w:rFonts w:eastAsia="Times New Roman"/>
          <w:sz w:val="28"/>
          <w:szCs w:val="28"/>
          <w:lang w:eastAsia="ru-RU"/>
        </w:rPr>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441"/>
        <w:gridCol w:w="2251"/>
        <w:gridCol w:w="1419"/>
        <w:gridCol w:w="991"/>
        <w:gridCol w:w="2981"/>
        <w:gridCol w:w="2267"/>
        <w:gridCol w:w="1984"/>
        <w:gridCol w:w="2234"/>
      </w:tblGrid>
      <w:tr>
        <w:trPr>
          <w:tblHeader w:val="true"/>
          <w:trHeight w:val="20" w:hRule="atLeast"/>
        </w:trPr>
        <w:tc>
          <w:tcPr>
            <w:tcW w:w="44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sz w:val="20"/>
                <w:szCs w:val="20"/>
                <w:lang w:eastAsia="ru-RU"/>
              </w:rPr>
            </w:pPr>
            <w:r>
              <w:rPr>
                <w:rFonts w:eastAsia="Times New Roman"/>
                <w:b/>
                <w:sz w:val="20"/>
                <w:szCs w:val="20"/>
                <w:lang w:eastAsia="ru-RU"/>
              </w:rPr>
              <w:t>1</w:t>
            </w:r>
          </w:p>
        </w:tc>
        <w:tc>
          <w:tcPr>
            <w:tcW w:w="22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sz w:val="20"/>
                <w:szCs w:val="20"/>
                <w:lang w:eastAsia="ru-RU"/>
              </w:rPr>
            </w:pPr>
            <w:r>
              <w:rPr>
                <w:rFonts w:eastAsia="Times New Roman"/>
                <w:b/>
                <w:sz w:val="20"/>
                <w:szCs w:val="20"/>
                <w:lang w:eastAsia="ru-RU"/>
              </w:rPr>
              <w:t>2</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sz w:val="20"/>
                <w:szCs w:val="20"/>
                <w:lang w:eastAsia="ru-RU"/>
              </w:rPr>
            </w:pPr>
            <w:r>
              <w:rPr>
                <w:rFonts w:eastAsia="Times New Roman"/>
                <w:b/>
                <w:sz w:val="20"/>
                <w:szCs w:val="20"/>
                <w:lang w:eastAsia="ru-RU"/>
              </w:rPr>
              <w:t>3</w:t>
            </w:r>
          </w:p>
        </w:tc>
        <w:tc>
          <w:tcPr>
            <w:tcW w:w="99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4</w:t>
            </w:r>
          </w:p>
        </w:tc>
        <w:tc>
          <w:tcPr>
            <w:tcW w:w="298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sz w:val="20"/>
                <w:szCs w:val="20"/>
                <w:lang w:eastAsia="ru-RU"/>
              </w:rPr>
            </w:pPr>
            <w:r>
              <w:rPr>
                <w:rFonts w:eastAsia="Times New Roman"/>
                <w:b/>
                <w:sz w:val="20"/>
                <w:szCs w:val="20"/>
                <w:lang w:eastAsia="ru-RU"/>
              </w:rPr>
              <w:t>5</w:t>
            </w:r>
          </w:p>
        </w:tc>
        <w:tc>
          <w:tcPr>
            <w:tcW w:w="226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sz w:val="20"/>
                <w:szCs w:val="20"/>
                <w:lang w:eastAsia="ru-RU"/>
              </w:rPr>
            </w:pPr>
            <w:r>
              <w:rPr>
                <w:rFonts w:eastAsia="Times New Roman"/>
                <w:b/>
                <w:sz w:val="20"/>
                <w:szCs w:val="20"/>
                <w:lang w:eastAsia="ru-RU"/>
              </w:rPr>
              <w:t>6</w:t>
            </w:r>
          </w:p>
        </w:tc>
        <w:tc>
          <w:tcPr>
            <w:tcW w:w="198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sz w:val="20"/>
                <w:szCs w:val="20"/>
                <w:lang w:eastAsia="ru-RU"/>
              </w:rPr>
            </w:pPr>
            <w:r>
              <w:rPr>
                <w:rFonts w:eastAsia="Times New Roman"/>
                <w:b/>
                <w:sz w:val="20"/>
                <w:szCs w:val="20"/>
                <w:lang w:eastAsia="ru-RU"/>
              </w:rPr>
              <w:t>7</w:t>
            </w:r>
          </w:p>
        </w:tc>
        <w:tc>
          <w:tcPr>
            <w:tcW w:w="223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sz w:val="20"/>
                <w:szCs w:val="20"/>
                <w:lang w:eastAsia="ru-RU"/>
              </w:rPr>
            </w:pPr>
            <w:r>
              <w:rPr>
                <w:rFonts w:eastAsia="Times New Roman"/>
                <w:b/>
                <w:sz w:val="20"/>
                <w:szCs w:val="20"/>
                <w:lang w:eastAsia="ru-RU"/>
              </w:rPr>
              <w:t>8</w:t>
            </w:r>
          </w:p>
        </w:tc>
      </w:tr>
      <w:tr>
        <w:trPr>
          <w:trHeight w:val="20" w:hRule="atLeast"/>
        </w:trPr>
        <w:tc>
          <w:tcPr>
            <w:tcW w:w="441"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3"/>
              </w:numPr>
              <w:spacing w:lineRule="auto" w:line="240"/>
              <w:ind w:left="142" w:hanging="113"/>
              <w:rPr>
                <w:rFonts w:eastAsia="Times New Roman"/>
                <w:sz w:val="20"/>
                <w:szCs w:val="20"/>
                <w:lang w:eastAsia="ru-RU"/>
              </w:rPr>
            </w:pPr>
            <w:r>
              <w:rPr>
                <w:rFonts w:eastAsia="Times New Roman"/>
                <w:sz w:val="20"/>
                <w:szCs w:val="20"/>
                <w:lang w:eastAsia="ru-RU"/>
              </w:rPr>
            </w:r>
          </w:p>
        </w:tc>
        <w:tc>
          <w:tcPr>
            <w:tcW w:w="22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16"/>
              </w:rPr>
              <w:t>ПС Обогатительная</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220</w:t>
            </w:r>
          </w:p>
        </w:tc>
        <w:tc>
          <w:tcPr>
            <w:tcW w:w="99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298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color w:val="000000"/>
                <w:sz w:val="20"/>
                <w:szCs w:val="20"/>
              </w:rPr>
              <w:t>ПАО «ФСК ЕЭС»</w:t>
            </w:r>
          </w:p>
        </w:tc>
        <w:tc>
          <w:tcPr>
            <w:tcW w:w="226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198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160</w:t>
            </w:r>
          </w:p>
        </w:tc>
        <w:tc>
          <w:tcPr>
            <w:tcW w:w="223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нет данных</w:t>
            </w:r>
          </w:p>
        </w:tc>
      </w:tr>
      <w:tr>
        <w:trPr>
          <w:trHeight w:val="20" w:hRule="atLeast"/>
        </w:trPr>
        <w:tc>
          <w:tcPr>
            <w:tcW w:w="441"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3"/>
              </w:numPr>
              <w:spacing w:lineRule="auto" w:line="240"/>
              <w:ind w:left="142" w:hanging="113"/>
              <w:rPr>
                <w:rFonts w:eastAsia="Times New Roman"/>
                <w:sz w:val="20"/>
                <w:szCs w:val="20"/>
                <w:lang w:eastAsia="ru-RU"/>
              </w:rPr>
            </w:pPr>
            <w:r>
              <w:rPr>
                <w:rFonts w:eastAsia="Times New Roman"/>
                <w:sz w:val="20"/>
                <w:szCs w:val="20"/>
                <w:lang w:eastAsia="ru-RU"/>
              </w:rPr>
            </w:r>
          </w:p>
        </w:tc>
        <w:tc>
          <w:tcPr>
            <w:tcW w:w="22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 xml:space="preserve">ПС Катенинская </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35/10</w:t>
            </w:r>
          </w:p>
        </w:tc>
        <w:tc>
          <w:tcPr>
            <w:tcW w:w="99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298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8"/>
              </w:rPr>
            </w:pPr>
            <w:r>
              <w:rPr>
                <w:color w:val="000000"/>
                <w:sz w:val="20"/>
                <w:szCs w:val="20"/>
              </w:rPr>
              <w:t>ПАО «Россети Урал» - «Челябэнерго»</w:t>
            </w:r>
          </w:p>
        </w:tc>
        <w:tc>
          <w:tcPr>
            <w:tcW w:w="226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198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12,6</w:t>
            </w:r>
          </w:p>
        </w:tc>
        <w:tc>
          <w:tcPr>
            <w:tcW w:w="223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нет данных</w:t>
            </w:r>
          </w:p>
        </w:tc>
      </w:tr>
    </w:tbl>
    <w:p>
      <w:pPr>
        <w:pStyle w:val="Normal"/>
        <w:tabs>
          <w:tab w:val="clear" w:pos="708"/>
          <w:tab w:val="left" w:pos="142" w:leader="none"/>
        </w:tabs>
        <w:spacing w:lineRule="auto" w:line="276" w:before="120" w:after="200"/>
        <w:ind w:firstLine="709"/>
        <w:jc w:val="right"/>
        <w:rPr>
          <w:sz w:val="28"/>
          <w:szCs w:val="28"/>
        </w:rPr>
      </w:pPr>
      <w:r>
        <w:rPr>
          <w:sz w:val="28"/>
          <w:szCs w:val="28"/>
        </w:rPr>
      </w:r>
      <w:r>
        <w:br w:type="page"/>
      </w:r>
    </w:p>
    <w:p>
      <w:pPr>
        <w:pStyle w:val="Normal"/>
        <w:tabs>
          <w:tab w:val="clear" w:pos="708"/>
          <w:tab w:val="left" w:pos="142" w:leader="none"/>
        </w:tabs>
        <w:spacing w:lineRule="auto" w:line="276" w:before="120" w:after="200"/>
        <w:ind w:firstLine="709"/>
        <w:jc w:val="right"/>
        <w:rPr>
          <w:szCs w:val="24"/>
        </w:rPr>
      </w:pPr>
      <w:r>
        <w:rPr>
          <w:szCs w:val="24"/>
        </w:rPr>
        <w:t xml:space="preserve">Таблица </w:t>
      </w:r>
      <w:r>
        <w:rPr>
          <w:szCs w:val="28"/>
        </w:rPr>
        <w:t>3.8.7.3</w:t>
      </w:r>
    </w:p>
    <w:p>
      <w:pPr>
        <w:pStyle w:val="Normal"/>
        <w:spacing w:lineRule="auto" w:line="276"/>
        <w:jc w:val="center"/>
        <w:rPr>
          <w:rFonts w:eastAsia="Times New Roman"/>
          <w:szCs w:val="24"/>
          <w:lang w:eastAsia="ru-RU"/>
        </w:rPr>
      </w:pPr>
      <w:r>
        <w:rPr>
          <w:rFonts w:eastAsia="Times New Roman"/>
          <w:szCs w:val="24"/>
          <w:lang w:eastAsia="ru-RU"/>
        </w:rPr>
        <w:t>Характеристики трансформаторных подстанций</w:t>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515"/>
        <w:gridCol w:w="2176"/>
        <w:gridCol w:w="1419"/>
        <w:gridCol w:w="1545"/>
        <w:gridCol w:w="3704"/>
        <w:gridCol w:w="2092"/>
        <w:gridCol w:w="3118"/>
      </w:tblGrid>
      <w:tr>
        <w:trPr>
          <w:trHeight w:val="1179" w:hRule="atLeast"/>
          <w:cantSplit w:val="true"/>
        </w:trPr>
        <w:tc>
          <w:tcPr>
            <w:tcW w:w="515"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w:t>
            </w:r>
          </w:p>
        </w:tc>
        <w:tc>
          <w:tcPr>
            <w:tcW w:w="2176"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b/>
                <w:sz w:val="20"/>
                <w:szCs w:val="20"/>
              </w:rPr>
              <w:t>Наименование объекта</w:t>
            </w:r>
          </w:p>
        </w:tc>
        <w:tc>
          <w:tcPr>
            <w:tcW w:w="1419"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Уровень напряжения, кВ</w:t>
            </w:r>
          </w:p>
        </w:tc>
        <w:tc>
          <w:tcPr>
            <w:tcW w:w="1545"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Год строительства</w:t>
            </w:r>
          </w:p>
        </w:tc>
        <w:tc>
          <w:tcPr>
            <w:tcW w:w="3704"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Ведомственная принадлежность</w:t>
            </w:r>
          </w:p>
        </w:tc>
        <w:tc>
          <w:tcPr>
            <w:tcW w:w="2092"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Место расположения ПС</w:t>
            </w:r>
          </w:p>
        </w:tc>
        <w:tc>
          <w:tcPr>
            <w:tcW w:w="3118"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Установленная мощность, МВА</w:t>
            </w:r>
          </w:p>
        </w:tc>
      </w:tr>
    </w:tbl>
    <w:p>
      <w:pPr>
        <w:pStyle w:val="Normal"/>
        <w:spacing w:lineRule="auto" w:line="12"/>
        <w:ind w:firstLine="709"/>
        <w:jc w:val="center"/>
        <w:rPr>
          <w:rFonts w:eastAsia="Times New Roman"/>
          <w:sz w:val="28"/>
          <w:szCs w:val="28"/>
          <w:lang w:eastAsia="ru-RU"/>
        </w:rPr>
      </w:pPr>
      <w:r>
        <w:rPr>
          <w:rFonts w:eastAsia="Times New Roman"/>
          <w:sz w:val="28"/>
          <w:szCs w:val="28"/>
          <w:lang w:eastAsia="ru-RU"/>
        </w:rPr>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445"/>
        <w:gridCol w:w="2248"/>
        <w:gridCol w:w="1419"/>
        <w:gridCol w:w="1555"/>
        <w:gridCol w:w="3692"/>
        <w:gridCol w:w="2159"/>
        <w:gridCol w:w="3051"/>
      </w:tblGrid>
      <w:tr>
        <w:trPr>
          <w:tblHeader w:val="true"/>
          <w:trHeight w:val="20" w:hRule="atLeast"/>
        </w:trPr>
        <w:tc>
          <w:tcPr>
            <w:tcW w:w="44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sz w:val="20"/>
                <w:szCs w:val="20"/>
                <w:lang w:eastAsia="ru-RU"/>
              </w:rPr>
            </w:pPr>
            <w:r>
              <w:rPr>
                <w:rFonts w:eastAsia="Times New Roman"/>
                <w:b/>
                <w:sz w:val="20"/>
                <w:szCs w:val="20"/>
                <w:lang w:eastAsia="ru-RU"/>
              </w:rPr>
              <w:t>1</w:t>
            </w:r>
          </w:p>
        </w:tc>
        <w:tc>
          <w:tcPr>
            <w:tcW w:w="224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sz w:val="20"/>
                <w:szCs w:val="20"/>
                <w:lang w:eastAsia="ru-RU"/>
              </w:rPr>
            </w:pPr>
            <w:r>
              <w:rPr>
                <w:rFonts w:eastAsia="Times New Roman"/>
                <w:b/>
                <w:sz w:val="20"/>
                <w:szCs w:val="20"/>
                <w:lang w:eastAsia="ru-RU"/>
              </w:rPr>
              <w:t>2</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sz w:val="20"/>
                <w:szCs w:val="20"/>
                <w:lang w:eastAsia="ru-RU"/>
              </w:rPr>
            </w:pPr>
            <w:r>
              <w:rPr>
                <w:rFonts w:eastAsia="Times New Roman"/>
                <w:b/>
                <w:sz w:val="20"/>
                <w:szCs w:val="20"/>
                <w:lang w:eastAsia="ru-RU"/>
              </w:rPr>
              <w:t>3</w:t>
            </w:r>
          </w:p>
        </w:tc>
        <w:tc>
          <w:tcPr>
            <w:tcW w:w="15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4</w:t>
            </w:r>
          </w:p>
        </w:tc>
        <w:tc>
          <w:tcPr>
            <w:tcW w:w="3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5</w:t>
            </w:r>
          </w:p>
        </w:tc>
        <w:tc>
          <w:tcPr>
            <w:tcW w:w="21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sz w:val="20"/>
                <w:szCs w:val="20"/>
                <w:lang w:eastAsia="ru-RU"/>
              </w:rPr>
            </w:pPr>
            <w:r>
              <w:rPr>
                <w:rFonts w:eastAsia="Times New Roman"/>
                <w:b/>
                <w:sz w:val="20"/>
                <w:szCs w:val="20"/>
                <w:lang w:eastAsia="ru-RU"/>
              </w:rPr>
              <w:t>6</w:t>
            </w:r>
          </w:p>
        </w:tc>
        <w:tc>
          <w:tcPr>
            <w:tcW w:w="30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sz w:val="20"/>
                <w:szCs w:val="20"/>
                <w:lang w:val="en-US" w:eastAsia="ru-RU"/>
              </w:rPr>
            </w:pPr>
            <w:r>
              <w:rPr>
                <w:rFonts w:eastAsia="Times New Roman"/>
                <w:b/>
                <w:sz w:val="20"/>
                <w:szCs w:val="20"/>
                <w:lang w:val="en-US" w:eastAsia="ru-RU"/>
              </w:rPr>
              <w:t>7</w:t>
            </w:r>
          </w:p>
        </w:tc>
      </w:tr>
      <w:tr>
        <w:trPr>
          <w:trHeight w:val="20" w:hRule="atLeast"/>
        </w:trPr>
        <w:tc>
          <w:tcPr>
            <w:tcW w:w="445"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4"/>
              </w:numPr>
              <w:spacing w:lineRule="auto" w:line="240"/>
              <w:ind w:left="360" w:hanging="360"/>
              <w:jc w:val="center"/>
              <w:rPr>
                <w:rFonts w:eastAsia="Times New Roman"/>
                <w:sz w:val="20"/>
                <w:szCs w:val="20"/>
                <w:lang w:eastAsia="ru-RU"/>
              </w:rPr>
            </w:pPr>
            <w:r>
              <w:rPr>
                <w:rFonts w:eastAsia="Times New Roman"/>
                <w:sz w:val="20"/>
                <w:szCs w:val="20"/>
                <w:lang w:eastAsia="ru-RU"/>
              </w:rPr>
            </w:r>
          </w:p>
        </w:tc>
        <w:tc>
          <w:tcPr>
            <w:tcW w:w="224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7232</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10/0,4</w:t>
            </w:r>
          </w:p>
        </w:tc>
        <w:tc>
          <w:tcPr>
            <w:tcW w:w="15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3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color w:val="000000"/>
                <w:sz w:val="20"/>
                <w:szCs w:val="20"/>
              </w:rPr>
              <w:t>ПАО «Россети Урал» - «Челябэнерго»</w:t>
            </w:r>
          </w:p>
        </w:tc>
        <w:tc>
          <w:tcPr>
            <w:tcW w:w="21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30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0,100</w:t>
            </w:r>
          </w:p>
        </w:tc>
      </w:tr>
      <w:tr>
        <w:trPr>
          <w:trHeight w:val="20" w:hRule="atLeast"/>
        </w:trPr>
        <w:tc>
          <w:tcPr>
            <w:tcW w:w="445"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4"/>
              </w:numPr>
              <w:spacing w:lineRule="auto" w:line="240"/>
              <w:ind w:left="360" w:hanging="360"/>
              <w:jc w:val="center"/>
              <w:rPr>
                <w:rFonts w:eastAsia="Times New Roman"/>
                <w:sz w:val="20"/>
                <w:szCs w:val="20"/>
                <w:lang w:eastAsia="ru-RU"/>
              </w:rPr>
            </w:pPr>
            <w:r>
              <w:rPr>
                <w:rFonts w:eastAsia="Times New Roman"/>
                <w:sz w:val="20"/>
                <w:szCs w:val="20"/>
                <w:lang w:eastAsia="ru-RU"/>
              </w:rPr>
            </w:r>
          </w:p>
        </w:tc>
        <w:tc>
          <w:tcPr>
            <w:tcW w:w="224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7234</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10/0,4</w:t>
            </w:r>
          </w:p>
        </w:tc>
        <w:tc>
          <w:tcPr>
            <w:tcW w:w="15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3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color w:val="000000"/>
                <w:sz w:val="20"/>
                <w:szCs w:val="20"/>
              </w:rPr>
              <w:t>ПАО «Россети Урал» - «Челябэнерго»</w:t>
            </w:r>
          </w:p>
        </w:tc>
        <w:tc>
          <w:tcPr>
            <w:tcW w:w="21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30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0,160</w:t>
            </w:r>
          </w:p>
        </w:tc>
      </w:tr>
      <w:tr>
        <w:trPr>
          <w:trHeight w:val="20" w:hRule="atLeast"/>
        </w:trPr>
        <w:tc>
          <w:tcPr>
            <w:tcW w:w="445"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4"/>
              </w:numPr>
              <w:spacing w:lineRule="auto" w:line="240"/>
              <w:ind w:left="360" w:hanging="360"/>
              <w:jc w:val="center"/>
              <w:rPr>
                <w:rFonts w:eastAsia="Times New Roman"/>
                <w:sz w:val="20"/>
                <w:szCs w:val="20"/>
                <w:lang w:eastAsia="ru-RU"/>
              </w:rPr>
            </w:pPr>
            <w:r>
              <w:rPr>
                <w:rFonts w:eastAsia="Times New Roman"/>
                <w:sz w:val="20"/>
                <w:szCs w:val="20"/>
                <w:lang w:eastAsia="ru-RU"/>
              </w:rPr>
            </w:r>
          </w:p>
        </w:tc>
        <w:tc>
          <w:tcPr>
            <w:tcW w:w="224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7237</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10/0,4</w:t>
            </w:r>
          </w:p>
        </w:tc>
        <w:tc>
          <w:tcPr>
            <w:tcW w:w="15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3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color w:val="000000"/>
                <w:sz w:val="20"/>
                <w:szCs w:val="20"/>
              </w:rPr>
              <w:t>ПАО «Россети Урал» - «Челябэнерго»</w:t>
            </w:r>
          </w:p>
        </w:tc>
        <w:tc>
          <w:tcPr>
            <w:tcW w:w="21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30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0,250</w:t>
            </w:r>
          </w:p>
        </w:tc>
      </w:tr>
      <w:tr>
        <w:trPr>
          <w:trHeight w:val="20" w:hRule="atLeast"/>
        </w:trPr>
        <w:tc>
          <w:tcPr>
            <w:tcW w:w="445"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4"/>
              </w:numPr>
              <w:spacing w:lineRule="auto" w:line="240"/>
              <w:ind w:left="360" w:hanging="360"/>
              <w:jc w:val="center"/>
              <w:rPr>
                <w:rFonts w:eastAsia="Times New Roman"/>
                <w:sz w:val="20"/>
                <w:szCs w:val="20"/>
                <w:lang w:eastAsia="ru-RU"/>
              </w:rPr>
            </w:pPr>
            <w:r>
              <w:rPr>
                <w:rFonts w:eastAsia="Times New Roman"/>
                <w:sz w:val="20"/>
                <w:szCs w:val="20"/>
                <w:lang w:eastAsia="ru-RU"/>
              </w:rPr>
            </w:r>
          </w:p>
        </w:tc>
        <w:tc>
          <w:tcPr>
            <w:tcW w:w="224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7238</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10/0,4</w:t>
            </w:r>
          </w:p>
        </w:tc>
        <w:tc>
          <w:tcPr>
            <w:tcW w:w="15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3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color w:val="000000"/>
                <w:sz w:val="20"/>
                <w:szCs w:val="20"/>
              </w:rPr>
              <w:t>ПАО «Россети Урал» - «Челябэнерго»</w:t>
            </w:r>
          </w:p>
        </w:tc>
        <w:tc>
          <w:tcPr>
            <w:tcW w:w="21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30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0,250</w:t>
            </w:r>
          </w:p>
        </w:tc>
      </w:tr>
      <w:tr>
        <w:trPr>
          <w:trHeight w:val="20" w:hRule="atLeast"/>
        </w:trPr>
        <w:tc>
          <w:tcPr>
            <w:tcW w:w="445"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4"/>
              </w:numPr>
              <w:spacing w:lineRule="auto" w:line="240"/>
              <w:ind w:left="360" w:hanging="360"/>
              <w:jc w:val="center"/>
              <w:rPr>
                <w:rFonts w:eastAsia="Times New Roman"/>
                <w:sz w:val="20"/>
                <w:szCs w:val="20"/>
                <w:lang w:eastAsia="ru-RU"/>
              </w:rPr>
            </w:pPr>
            <w:r>
              <w:rPr>
                <w:rFonts w:eastAsia="Times New Roman"/>
                <w:sz w:val="20"/>
                <w:szCs w:val="20"/>
                <w:lang w:eastAsia="ru-RU"/>
              </w:rPr>
            </w:r>
          </w:p>
        </w:tc>
        <w:tc>
          <w:tcPr>
            <w:tcW w:w="224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7239</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10/0,4</w:t>
            </w:r>
          </w:p>
        </w:tc>
        <w:tc>
          <w:tcPr>
            <w:tcW w:w="15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3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color w:val="000000"/>
                <w:sz w:val="20"/>
                <w:szCs w:val="20"/>
              </w:rPr>
              <w:t>ПАО «Россети Урал» - «Челябэнерго»</w:t>
            </w:r>
          </w:p>
        </w:tc>
        <w:tc>
          <w:tcPr>
            <w:tcW w:w="21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30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0,160</w:t>
            </w:r>
          </w:p>
        </w:tc>
      </w:tr>
      <w:tr>
        <w:trPr>
          <w:trHeight w:val="20" w:hRule="atLeast"/>
        </w:trPr>
        <w:tc>
          <w:tcPr>
            <w:tcW w:w="445"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4"/>
              </w:numPr>
              <w:spacing w:lineRule="auto" w:line="240"/>
              <w:ind w:left="360" w:hanging="360"/>
              <w:jc w:val="center"/>
              <w:rPr>
                <w:rFonts w:eastAsia="Times New Roman"/>
                <w:sz w:val="20"/>
                <w:szCs w:val="20"/>
                <w:lang w:eastAsia="ru-RU"/>
              </w:rPr>
            </w:pPr>
            <w:r>
              <w:rPr>
                <w:rFonts w:eastAsia="Times New Roman"/>
                <w:sz w:val="20"/>
                <w:szCs w:val="20"/>
                <w:lang w:eastAsia="ru-RU"/>
              </w:rPr>
            </w:r>
          </w:p>
        </w:tc>
        <w:tc>
          <w:tcPr>
            <w:tcW w:w="224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7240</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10/0,4</w:t>
            </w:r>
          </w:p>
        </w:tc>
        <w:tc>
          <w:tcPr>
            <w:tcW w:w="15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3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color w:val="000000"/>
                <w:sz w:val="20"/>
                <w:szCs w:val="20"/>
              </w:rPr>
              <w:t>ПАО «Россети Урал» - «Челябэнерго»</w:t>
            </w:r>
          </w:p>
        </w:tc>
        <w:tc>
          <w:tcPr>
            <w:tcW w:w="21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30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0,100</w:t>
            </w:r>
          </w:p>
        </w:tc>
      </w:tr>
      <w:tr>
        <w:trPr>
          <w:trHeight w:val="20" w:hRule="atLeast"/>
        </w:trPr>
        <w:tc>
          <w:tcPr>
            <w:tcW w:w="445"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4"/>
              </w:numPr>
              <w:spacing w:lineRule="auto" w:line="240"/>
              <w:ind w:left="360" w:hanging="360"/>
              <w:jc w:val="center"/>
              <w:rPr>
                <w:rFonts w:eastAsia="Times New Roman"/>
                <w:sz w:val="20"/>
                <w:szCs w:val="20"/>
                <w:lang w:eastAsia="ru-RU"/>
              </w:rPr>
            </w:pPr>
            <w:r>
              <w:rPr>
                <w:rFonts w:eastAsia="Times New Roman"/>
                <w:sz w:val="20"/>
                <w:szCs w:val="20"/>
                <w:lang w:eastAsia="ru-RU"/>
              </w:rPr>
            </w:r>
          </w:p>
        </w:tc>
        <w:tc>
          <w:tcPr>
            <w:tcW w:w="224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7241</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10/0,4</w:t>
            </w:r>
          </w:p>
        </w:tc>
        <w:tc>
          <w:tcPr>
            <w:tcW w:w="15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3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color w:val="000000"/>
                <w:sz w:val="20"/>
                <w:szCs w:val="20"/>
              </w:rPr>
              <w:t>ПАО «Россети Урал» - «Челябэнерго»</w:t>
            </w:r>
          </w:p>
        </w:tc>
        <w:tc>
          <w:tcPr>
            <w:tcW w:w="21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30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0,250</w:t>
            </w:r>
          </w:p>
        </w:tc>
      </w:tr>
      <w:tr>
        <w:trPr>
          <w:trHeight w:val="85" w:hRule="atLeast"/>
        </w:trPr>
        <w:tc>
          <w:tcPr>
            <w:tcW w:w="445"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4"/>
              </w:numPr>
              <w:spacing w:lineRule="auto" w:line="240"/>
              <w:ind w:left="360" w:hanging="360"/>
              <w:jc w:val="center"/>
              <w:rPr>
                <w:rFonts w:eastAsia="Times New Roman"/>
                <w:sz w:val="20"/>
                <w:szCs w:val="20"/>
                <w:lang w:eastAsia="ru-RU"/>
              </w:rPr>
            </w:pPr>
            <w:r>
              <w:rPr>
                <w:rFonts w:eastAsia="Times New Roman"/>
                <w:sz w:val="20"/>
                <w:szCs w:val="20"/>
                <w:lang w:eastAsia="ru-RU"/>
              </w:rPr>
            </w:r>
          </w:p>
        </w:tc>
        <w:tc>
          <w:tcPr>
            <w:tcW w:w="224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7242</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10/0,4</w:t>
            </w:r>
          </w:p>
        </w:tc>
        <w:tc>
          <w:tcPr>
            <w:tcW w:w="15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3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color w:val="000000"/>
                <w:sz w:val="20"/>
                <w:szCs w:val="20"/>
              </w:rPr>
              <w:t>ПАО «Россети Урал» - «Челябэнерго»</w:t>
            </w:r>
          </w:p>
        </w:tc>
        <w:tc>
          <w:tcPr>
            <w:tcW w:w="21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30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0,160</w:t>
            </w:r>
          </w:p>
        </w:tc>
      </w:tr>
      <w:tr>
        <w:trPr>
          <w:trHeight w:val="85" w:hRule="atLeast"/>
        </w:trPr>
        <w:tc>
          <w:tcPr>
            <w:tcW w:w="445"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4"/>
              </w:numPr>
              <w:spacing w:lineRule="auto" w:line="240"/>
              <w:ind w:left="360" w:hanging="360"/>
              <w:jc w:val="center"/>
              <w:rPr>
                <w:rFonts w:eastAsia="Times New Roman"/>
                <w:sz w:val="20"/>
                <w:szCs w:val="20"/>
                <w:lang w:eastAsia="ru-RU"/>
              </w:rPr>
            </w:pPr>
            <w:r>
              <w:rPr>
                <w:rFonts w:eastAsia="Times New Roman"/>
                <w:sz w:val="20"/>
                <w:szCs w:val="20"/>
                <w:lang w:eastAsia="ru-RU"/>
              </w:rPr>
            </w:r>
          </w:p>
        </w:tc>
        <w:tc>
          <w:tcPr>
            <w:tcW w:w="224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7246</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10/0,4</w:t>
            </w:r>
          </w:p>
        </w:tc>
        <w:tc>
          <w:tcPr>
            <w:tcW w:w="15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3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8"/>
              </w:rPr>
            </w:pPr>
            <w:r>
              <w:rPr>
                <w:color w:val="000000"/>
                <w:sz w:val="20"/>
                <w:szCs w:val="20"/>
              </w:rPr>
              <w:t>ПАО «Россети Урал» - «Челябэнерго»</w:t>
            </w:r>
          </w:p>
        </w:tc>
        <w:tc>
          <w:tcPr>
            <w:tcW w:w="21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30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0,160</w:t>
            </w:r>
          </w:p>
        </w:tc>
      </w:tr>
      <w:tr>
        <w:trPr>
          <w:trHeight w:val="85" w:hRule="atLeast"/>
        </w:trPr>
        <w:tc>
          <w:tcPr>
            <w:tcW w:w="445"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4"/>
              </w:numPr>
              <w:spacing w:lineRule="auto" w:line="240"/>
              <w:ind w:left="360" w:hanging="360"/>
              <w:jc w:val="center"/>
              <w:rPr>
                <w:rFonts w:eastAsia="Times New Roman"/>
                <w:sz w:val="20"/>
                <w:szCs w:val="20"/>
                <w:lang w:eastAsia="ru-RU"/>
              </w:rPr>
            </w:pPr>
            <w:r>
              <w:rPr>
                <w:rFonts w:eastAsia="Times New Roman"/>
                <w:sz w:val="20"/>
                <w:szCs w:val="20"/>
                <w:lang w:eastAsia="ru-RU"/>
              </w:rPr>
            </w:r>
          </w:p>
        </w:tc>
        <w:tc>
          <w:tcPr>
            <w:tcW w:w="224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7273</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10/0,4</w:t>
            </w:r>
          </w:p>
        </w:tc>
        <w:tc>
          <w:tcPr>
            <w:tcW w:w="15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3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8"/>
              </w:rPr>
            </w:pPr>
            <w:r>
              <w:rPr>
                <w:color w:val="000000"/>
                <w:sz w:val="20"/>
                <w:szCs w:val="20"/>
              </w:rPr>
              <w:t>ПАО «Россети Урал» - «Челябэнерго»</w:t>
            </w:r>
          </w:p>
        </w:tc>
        <w:tc>
          <w:tcPr>
            <w:tcW w:w="21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30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0,250</w:t>
            </w:r>
          </w:p>
        </w:tc>
      </w:tr>
      <w:tr>
        <w:trPr>
          <w:trHeight w:val="85" w:hRule="atLeast"/>
        </w:trPr>
        <w:tc>
          <w:tcPr>
            <w:tcW w:w="445"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4"/>
              </w:numPr>
              <w:spacing w:lineRule="auto" w:line="240"/>
              <w:ind w:left="360" w:hanging="360"/>
              <w:jc w:val="center"/>
              <w:rPr>
                <w:rFonts w:eastAsia="Times New Roman"/>
                <w:sz w:val="20"/>
                <w:szCs w:val="20"/>
                <w:lang w:eastAsia="ru-RU"/>
              </w:rPr>
            </w:pPr>
            <w:r>
              <w:rPr>
                <w:rFonts w:eastAsia="Times New Roman"/>
                <w:sz w:val="20"/>
                <w:szCs w:val="20"/>
                <w:lang w:eastAsia="ru-RU"/>
              </w:rPr>
            </w:r>
          </w:p>
        </w:tc>
        <w:tc>
          <w:tcPr>
            <w:tcW w:w="224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7274</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10/0,4</w:t>
            </w:r>
          </w:p>
        </w:tc>
        <w:tc>
          <w:tcPr>
            <w:tcW w:w="15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3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8"/>
              </w:rPr>
            </w:pPr>
            <w:r>
              <w:rPr>
                <w:color w:val="000000"/>
                <w:sz w:val="20"/>
                <w:szCs w:val="20"/>
              </w:rPr>
              <w:t>ПАО «Россети Урал» - «Челябэнерго»</w:t>
            </w:r>
          </w:p>
        </w:tc>
        <w:tc>
          <w:tcPr>
            <w:tcW w:w="21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30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0,160</w:t>
            </w:r>
          </w:p>
        </w:tc>
      </w:tr>
      <w:tr>
        <w:trPr>
          <w:trHeight w:val="85" w:hRule="atLeast"/>
        </w:trPr>
        <w:tc>
          <w:tcPr>
            <w:tcW w:w="445"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4"/>
              </w:numPr>
              <w:spacing w:lineRule="auto" w:line="240"/>
              <w:ind w:left="360" w:hanging="360"/>
              <w:jc w:val="center"/>
              <w:rPr>
                <w:rFonts w:eastAsia="Times New Roman"/>
                <w:sz w:val="20"/>
                <w:szCs w:val="20"/>
                <w:lang w:eastAsia="ru-RU"/>
              </w:rPr>
            </w:pPr>
            <w:r>
              <w:rPr>
                <w:rFonts w:eastAsia="Times New Roman"/>
                <w:sz w:val="20"/>
                <w:szCs w:val="20"/>
                <w:lang w:eastAsia="ru-RU"/>
              </w:rPr>
            </w:r>
          </w:p>
        </w:tc>
        <w:tc>
          <w:tcPr>
            <w:tcW w:w="224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7275</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10/0,4</w:t>
            </w:r>
          </w:p>
        </w:tc>
        <w:tc>
          <w:tcPr>
            <w:tcW w:w="15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3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8"/>
              </w:rPr>
            </w:pPr>
            <w:r>
              <w:rPr>
                <w:color w:val="000000"/>
                <w:sz w:val="20"/>
                <w:szCs w:val="20"/>
              </w:rPr>
              <w:t>ПАО «Россети Урал» - «Челябэнерго»</w:t>
            </w:r>
          </w:p>
        </w:tc>
        <w:tc>
          <w:tcPr>
            <w:tcW w:w="21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30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нет данных</w:t>
            </w:r>
          </w:p>
        </w:tc>
      </w:tr>
      <w:tr>
        <w:trPr>
          <w:trHeight w:val="85" w:hRule="atLeast"/>
        </w:trPr>
        <w:tc>
          <w:tcPr>
            <w:tcW w:w="445"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4"/>
              </w:numPr>
              <w:spacing w:lineRule="auto" w:line="240"/>
              <w:ind w:left="360" w:hanging="360"/>
              <w:jc w:val="center"/>
              <w:rPr>
                <w:rFonts w:eastAsia="Times New Roman"/>
                <w:sz w:val="20"/>
                <w:szCs w:val="20"/>
                <w:lang w:eastAsia="ru-RU"/>
              </w:rPr>
            </w:pPr>
            <w:r>
              <w:rPr>
                <w:rFonts w:eastAsia="Times New Roman"/>
                <w:sz w:val="20"/>
                <w:szCs w:val="20"/>
                <w:lang w:eastAsia="ru-RU"/>
              </w:rPr>
            </w:r>
          </w:p>
        </w:tc>
        <w:tc>
          <w:tcPr>
            <w:tcW w:w="224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7276</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10/0,4</w:t>
            </w:r>
          </w:p>
        </w:tc>
        <w:tc>
          <w:tcPr>
            <w:tcW w:w="15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3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8"/>
              </w:rPr>
            </w:pPr>
            <w:r>
              <w:rPr>
                <w:color w:val="000000"/>
                <w:sz w:val="20"/>
                <w:szCs w:val="20"/>
              </w:rPr>
              <w:t>ПАО «Россети Урал» - «Челябэнерго»</w:t>
            </w:r>
          </w:p>
        </w:tc>
        <w:tc>
          <w:tcPr>
            <w:tcW w:w="21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30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0,040</w:t>
            </w:r>
          </w:p>
        </w:tc>
      </w:tr>
      <w:tr>
        <w:trPr>
          <w:trHeight w:val="85" w:hRule="atLeast"/>
        </w:trPr>
        <w:tc>
          <w:tcPr>
            <w:tcW w:w="445"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4"/>
              </w:numPr>
              <w:spacing w:lineRule="auto" w:line="240"/>
              <w:ind w:left="360" w:hanging="360"/>
              <w:jc w:val="center"/>
              <w:rPr>
                <w:rFonts w:eastAsia="Times New Roman"/>
                <w:sz w:val="20"/>
                <w:szCs w:val="20"/>
                <w:lang w:eastAsia="ru-RU"/>
              </w:rPr>
            </w:pPr>
            <w:r>
              <w:rPr>
                <w:rFonts w:eastAsia="Times New Roman"/>
                <w:sz w:val="20"/>
                <w:szCs w:val="20"/>
                <w:lang w:eastAsia="ru-RU"/>
              </w:rPr>
            </w:r>
          </w:p>
        </w:tc>
        <w:tc>
          <w:tcPr>
            <w:tcW w:w="224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7277</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10/0,4</w:t>
            </w:r>
          </w:p>
        </w:tc>
        <w:tc>
          <w:tcPr>
            <w:tcW w:w="15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3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8"/>
              </w:rPr>
            </w:pPr>
            <w:r>
              <w:rPr>
                <w:color w:val="000000"/>
                <w:sz w:val="20"/>
                <w:szCs w:val="20"/>
              </w:rPr>
              <w:t>ПАО «Россети Урал» - «Челябэнерго»</w:t>
            </w:r>
          </w:p>
        </w:tc>
        <w:tc>
          <w:tcPr>
            <w:tcW w:w="21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30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0,630</w:t>
            </w:r>
          </w:p>
        </w:tc>
      </w:tr>
      <w:tr>
        <w:trPr>
          <w:trHeight w:val="85" w:hRule="atLeast"/>
        </w:trPr>
        <w:tc>
          <w:tcPr>
            <w:tcW w:w="445"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4"/>
              </w:numPr>
              <w:spacing w:lineRule="auto" w:line="240"/>
              <w:ind w:left="360" w:hanging="360"/>
              <w:jc w:val="center"/>
              <w:rPr>
                <w:rFonts w:eastAsia="Times New Roman"/>
                <w:sz w:val="20"/>
                <w:szCs w:val="20"/>
                <w:lang w:eastAsia="ru-RU"/>
              </w:rPr>
            </w:pPr>
            <w:r>
              <w:rPr>
                <w:rFonts w:eastAsia="Times New Roman"/>
                <w:sz w:val="20"/>
                <w:szCs w:val="20"/>
                <w:lang w:eastAsia="ru-RU"/>
              </w:rPr>
            </w:r>
          </w:p>
        </w:tc>
        <w:tc>
          <w:tcPr>
            <w:tcW w:w="224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7285</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10/0,4</w:t>
            </w:r>
          </w:p>
        </w:tc>
        <w:tc>
          <w:tcPr>
            <w:tcW w:w="15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3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8"/>
              </w:rPr>
            </w:pPr>
            <w:r>
              <w:rPr>
                <w:color w:val="000000"/>
                <w:sz w:val="20"/>
                <w:szCs w:val="20"/>
              </w:rPr>
              <w:t>ПАО «Россети Урал» - «Челябэнерго»</w:t>
            </w:r>
          </w:p>
        </w:tc>
        <w:tc>
          <w:tcPr>
            <w:tcW w:w="21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30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0,400</w:t>
            </w:r>
          </w:p>
        </w:tc>
      </w:tr>
      <w:tr>
        <w:trPr>
          <w:trHeight w:val="85" w:hRule="atLeast"/>
        </w:trPr>
        <w:tc>
          <w:tcPr>
            <w:tcW w:w="445"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4"/>
              </w:numPr>
              <w:spacing w:lineRule="auto" w:line="240"/>
              <w:ind w:left="360" w:hanging="360"/>
              <w:jc w:val="center"/>
              <w:rPr>
                <w:rFonts w:eastAsia="Times New Roman"/>
                <w:sz w:val="20"/>
                <w:szCs w:val="20"/>
                <w:lang w:eastAsia="ru-RU"/>
              </w:rPr>
            </w:pPr>
            <w:r>
              <w:rPr>
                <w:rFonts w:eastAsia="Times New Roman"/>
                <w:sz w:val="20"/>
                <w:szCs w:val="20"/>
                <w:lang w:eastAsia="ru-RU"/>
              </w:rPr>
            </w:r>
          </w:p>
        </w:tc>
        <w:tc>
          <w:tcPr>
            <w:tcW w:w="224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7290</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10/0,4</w:t>
            </w:r>
          </w:p>
        </w:tc>
        <w:tc>
          <w:tcPr>
            <w:tcW w:w="15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3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8"/>
              </w:rPr>
            </w:pPr>
            <w:r>
              <w:rPr>
                <w:color w:val="000000"/>
                <w:sz w:val="20"/>
                <w:szCs w:val="20"/>
              </w:rPr>
              <w:t>ПАО «Россети Урал» - «Челябэнерго»</w:t>
            </w:r>
          </w:p>
        </w:tc>
        <w:tc>
          <w:tcPr>
            <w:tcW w:w="21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30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0,063</w:t>
            </w:r>
          </w:p>
        </w:tc>
      </w:tr>
      <w:tr>
        <w:trPr>
          <w:trHeight w:val="85" w:hRule="atLeast"/>
        </w:trPr>
        <w:tc>
          <w:tcPr>
            <w:tcW w:w="445"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4"/>
              </w:numPr>
              <w:spacing w:lineRule="auto" w:line="240"/>
              <w:ind w:left="360" w:hanging="360"/>
              <w:jc w:val="center"/>
              <w:rPr>
                <w:rFonts w:eastAsia="Times New Roman"/>
                <w:sz w:val="20"/>
                <w:szCs w:val="20"/>
                <w:lang w:eastAsia="ru-RU"/>
              </w:rPr>
            </w:pPr>
            <w:r>
              <w:rPr>
                <w:rFonts w:eastAsia="Times New Roman"/>
                <w:sz w:val="20"/>
                <w:szCs w:val="20"/>
                <w:lang w:eastAsia="ru-RU"/>
              </w:rPr>
            </w:r>
          </w:p>
        </w:tc>
        <w:tc>
          <w:tcPr>
            <w:tcW w:w="224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7291</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10/0,4</w:t>
            </w:r>
          </w:p>
        </w:tc>
        <w:tc>
          <w:tcPr>
            <w:tcW w:w="15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3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8"/>
              </w:rPr>
            </w:pPr>
            <w:r>
              <w:rPr>
                <w:color w:val="000000"/>
                <w:sz w:val="20"/>
                <w:szCs w:val="20"/>
              </w:rPr>
              <w:t>ПАО «Россети Урал» - «Челябэнерго»</w:t>
            </w:r>
          </w:p>
        </w:tc>
        <w:tc>
          <w:tcPr>
            <w:tcW w:w="21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30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0,160</w:t>
            </w:r>
          </w:p>
        </w:tc>
      </w:tr>
      <w:tr>
        <w:trPr>
          <w:trHeight w:val="85" w:hRule="atLeast"/>
        </w:trPr>
        <w:tc>
          <w:tcPr>
            <w:tcW w:w="445"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4"/>
              </w:numPr>
              <w:spacing w:lineRule="auto" w:line="240"/>
              <w:ind w:left="360" w:hanging="360"/>
              <w:jc w:val="center"/>
              <w:rPr>
                <w:rFonts w:eastAsia="Times New Roman"/>
                <w:sz w:val="20"/>
                <w:szCs w:val="20"/>
                <w:lang w:eastAsia="ru-RU"/>
              </w:rPr>
            </w:pPr>
            <w:r>
              <w:rPr>
                <w:rFonts w:eastAsia="Times New Roman"/>
                <w:sz w:val="20"/>
                <w:szCs w:val="20"/>
                <w:lang w:eastAsia="ru-RU"/>
              </w:rPr>
            </w:r>
          </w:p>
        </w:tc>
        <w:tc>
          <w:tcPr>
            <w:tcW w:w="224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7293</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10/0,4</w:t>
            </w:r>
          </w:p>
        </w:tc>
        <w:tc>
          <w:tcPr>
            <w:tcW w:w="15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3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8"/>
              </w:rPr>
            </w:pPr>
            <w:r>
              <w:rPr>
                <w:color w:val="000000"/>
                <w:sz w:val="20"/>
                <w:szCs w:val="20"/>
              </w:rPr>
              <w:t>ПАО «Россети Урал» - «Челябэнерго»</w:t>
            </w:r>
          </w:p>
        </w:tc>
        <w:tc>
          <w:tcPr>
            <w:tcW w:w="21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30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0,160</w:t>
            </w:r>
          </w:p>
        </w:tc>
      </w:tr>
      <w:tr>
        <w:trPr>
          <w:trHeight w:val="85" w:hRule="atLeast"/>
        </w:trPr>
        <w:tc>
          <w:tcPr>
            <w:tcW w:w="445"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4"/>
              </w:numPr>
              <w:spacing w:lineRule="auto" w:line="240"/>
              <w:ind w:left="360" w:hanging="360"/>
              <w:jc w:val="center"/>
              <w:rPr>
                <w:rFonts w:eastAsia="Times New Roman"/>
                <w:sz w:val="20"/>
                <w:szCs w:val="20"/>
                <w:lang w:eastAsia="ru-RU"/>
              </w:rPr>
            </w:pPr>
            <w:r>
              <w:rPr>
                <w:rFonts w:eastAsia="Times New Roman"/>
                <w:sz w:val="20"/>
                <w:szCs w:val="20"/>
                <w:lang w:eastAsia="ru-RU"/>
              </w:rPr>
            </w:r>
          </w:p>
        </w:tc>
        <w:tc>
          <w:tcPr>
            <w:tcW w:w="224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7294</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10/0,4</w:t>
            </w:r>
          </w:p>
        </w:tc>
        <w:tc>
          <w:tcPr>
            <w:tcW w:w="15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3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8"/>
              </w:rPr>
            </w:pPr>
            <w:r>
              <w:rPr>
                <w:color w:val="000000"/>
                <w:sz w:val="20"/>
                <w:szCs w:val="20"/>
              </w:rPr>
              <w:t>ПАО «Россети Урал» - «Челябэнерго»</w:t>
            </w:r>
          </w:p>
        </w:tc>
        <w:tc>
          <w:tcPr>
            <w:tcW w:w="21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30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0,250</w:t>
            </w:r>
          </w:p>
        </w:tc>
      </w:tr>
      <w:tr>
        <w:trPr>
          <w:trHeight w:val="85" w:hRule="atLeast"/>
        </w:trPr>
        <w:tc>
          <w:tcPr>
            <w:tcW w:w="445"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24"/>
              </w:numPr>
              <w:spacing w:lineRule="auto" w:line="240"/>
              <w:ind w:left="360" w:hanging="360"/>
              <w:jc w:val="center"/>
              <w:rPr>
                <w:rFonts w:eastAsia="Times New Roman"/>
                <w:sz w:val="20"/>
                <w:szCs w:val="20"/>
                <w:lang w:eastAsia="ru-RU"/>
              </w:rPr>
            </w:pPr>
            <w:r>
              <w:rPr>
                <w:rFonts w:eastAsia="Times New Roman"/>
                <w:sz w:val="20"/>
                <w:szCs w:val="20"/>
                <w:lang w:eastAsia="ru-RU"/>
              </w:rPr>
            </w:r>
          </w:p>
        </w:tc>
        <w:tc>
          <w:tcPr>
            <w:tcW w:w="224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7295</w:t>
            </w:r>
          </w:p>
        </w:tc>
        <w:tc>
          <w:tcPr>
            <w:tcW w:w="14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10/0,4</w:t>
            </w:r>
          </w:p>
        </w:tc>
        <w:tc>
          <w:tcPr>
            <w:tcW w:w="155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нет данных</w:t>
            </w:r>
          </w:p>
        </w:tc>
        <w:tc>
          <w:tcPr>
            <w:tcW w:w="369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8"/>
              </w:rPr>
            </w:pPr>
            <w:r>
              <w:rPr>
                <w:color w:val="000000"/>
                <w:sz w:val="20"/>
                <w:szCs w:val="20"/>
              </w:rPr>
              <w:t>ПАО «Россети Урал» - «Челябэнерго»</w:t>
            </w:r>
          </w:p>
        </w:tc>
        <w:tc>
          <w:tcPr>
            <w:tcW w:w="21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Катенинское сельское поселение</w:t>
            </w:r>
          </w:p>
        </w:tc>
        <w:tc>
          <w:tcPr>
            <w:tcW w:w="30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0,100</w:t>
            </w:r>
          </w:p>
        </w:tc>
      </w:tr>
    </w:tbl>
    <w:p>
      <w:pPr>
        <w:sectPr>
          <w:headerReference w:type="default" r:id="rId118"/>
          <w:footerReference w:type="default" r:id="rId119"/>
          <w:footerReference w:type="first" r:id="rId120"/>
          <w:type w:val="nextPage"/>
          <w:pgSz w:orient="landscape" w:w="16838" w:h="11906"/>
          <w:pgMar w:left="1134" w:right="1134" w:header="567" w:top="1418" w:footer="567" w:bottom="624" w:gutter="0"/>
          <w:pgNumType w:fmt="decimal"/>
          <w:formProt w:val="false"/>
          <w:titlePg/>
          <w:textDirection w:val="lrTb"/>
          <w:docGrid w:type="default" w:linePitch="326" w:charSpace="0"/>
        </w:sectPr>
      </w:pPr>
    </w:p>
    <w:p>
      <w:pPr>
        <w:pStyle w:val="Normal"/>
        <w:spacing w:lineRule="auto" w:line="276"/>
        <w:ind w:firstLine="709"/>
        <w:rPr>
          <w:b/>
          <w:b/>
          <w:szCs w:val="28"/>
        </w:rPr>
      </w:pPr>
      <w:r>
        <w:rPr>
          <w:b/>
          <w:szCs w:val="28"/>
        </w:rPr>
        <w:t>Информация об основных проблемах и ограничениях</w:t>
      </w:r>
    </w:p>
    <w:p>
      <w:pPr>
        <w:pStyle w:val="Normal"/>
        <w:tabs>
          <w:tab w:val="clear" w:pos="708"/>
          <w:tab w:val="left" w:pos="142" w:leader="none"/>
        </w:tabs>
        <w:spacing w:lineRule="auto" w:line="276"/>
        <w:ind w:firstLine="709"/>
        <w:rPr>
          <w:szCs w:val="28"/>
        </w:rPr>
      </w:pPr>
      <w:r>
        <w:rPr>
          <w:szCs w:val="28"/>
        </w:rPr>
        <w:t xml:space="preserve">На основании ранее разработанной градостроительной документации выявлено, что электросети, расположенные на территории </w:t>
      </w:r>
      <w:r>
        <w:rPr/>
        <w:t>Катенинского сельского поселения</w:t>
      </w:r>
      <w:r>
        <w:rPr>
          <w:szCs w:val="28"/>
        </w:rPr>
        <w:t>, находятся в удовлетворительном состоянии. Проектом предлагаются мероприятия, направленные на развитие системы электроснабжения.</w:t>
      </w:r>
    </w:p>
    <w:p>
      <w:pPr>
        <w:pStyle w:val="Normal"/>
        <w:spacing w:lineRule="auto" w:line="276"/>
        <w:ind w:firstLine="709"/>
        <w:rPr>
          <w:b/>
          <w:b/>
          <w:szCs w:val="28"/>
        </w:rPr>
      </w:pPr>
      <w:r>
        <w:rPr>
          <w:b/>
          <w:szCs w:val="28"/>
        </w:rPr>
        <w:t>Направления развития</w:t>
      </w:r>
    </w:p>
    <w:p>
      <w:pPr>
        <w:sectPr>
          <w:headerReference w:type="default" r:id="rId121"/>
          <w:footerReference w:type="default" r:id="rId122"/>
          <w:type w:val="nextPage"/>
          <w:pgSz w:w="11906" w:h="16838"/>
          <w:pgMar w:left="1418" w:right="567" w:header="0" w:top="1134" w:footer="567" w:bottom="1134" w:gutter="0"/>
          <w:pgNumType w:fmt="decimal"/>
          <w:formProt w:val="false"/>
          <w:textDirection w:val="lrTb"/>
          <w:docGrid w:type="default" w:linePitch="326" w:charSpace="0"/>
        </w:sectPr>
        <w:pStyle w:val="Normal"/>
        <w:tabs>
          <w:tab w:val="clear" w:pos="708"/>
          <w:tab w:val="left" w:pos="142" w:leader="none"/>
        </w:tabs>
        <w:spacing w:lineRule="auto" w:line="276"/>
        <w:ind w:firstLine="709"/>
        <w:rPr>
          <w:szCs w:val="28"/>
        </w:rPr>
      </w:pPr>
      <w:r>
        <w:rPr>
          <w:szCs w:val="28"/>
        </w:rPr>
        <w:t xml:space="preserve">Перечень планируемых мероприятий федерального значения по развитию </w:t>
      </w:r>
      <w:r>
        <w:rPr>
          <w:szCs w:val="28"/>
          <w:shd w:fill="FFFFFF" w:val="clear"/>
          <w:lang w:eastAsia="ru-RU"/>
        </w:rPr>
        <w:t>системы</w:t>
      </w:r>
      <w:r>
        <w:rPr>
          <w:szCs w:val="28"/>
        </w:rPr>
        <w:t xml:space="preserve"> электроснабжения приведен в таблице 3.8.7.4.</w:t>
      </w:r>
    </w:p>
    <w:p>
      <w:pPr>
        <w:pStyle w:val="Normal"/>
        <w:widowControl w:val="false"/>
        <w:tabs>
          <w:tab w:val="clear" w:pos="708"/>
          <w:tab w:val="left" w:pos="1276" w:leader="none"/>
        </w:tabs>
        <w:spacing w:lineRule="auto" w:line="276" w:before="0" w:after="200"/>
        <w:ind w:left="709" w:firstLine="709"/>
        <w:contextualSpacing/>
        <w:jc w:val="right"/>
        <w:rPr>
          <w:szCs w:val="28"/>
        </w:rPr>
      </w:pPr>
      <w:r>
        <w:rPr>
          <w:rFonts w:eastAsia="Times New Roman"/>
          <w:szCs w:val="28"/>
        </w:rPr>
        <w:t>Таблица 3.8.7.4</w:t>
      </w:r>
    </w:p>
    <w:p>
      <w:pPr>
        <w:pStyle w:val="Normal"/>
        <w:spacing w:lineRule="auto" w:line="276" w:before="0" w:after="200"/>
        <w:ind w:right="-2" w:hanging="0"/>
        <w:contextualSpacing/>
        <w:jc w:val="center"/>
        <w:rPr>
          <w:rFonts w:eastAsia="Times New Roman"/>
          <w:iCs/>
          <w:szCs w:val="28"/>
          <w:lang w:eastAsia="ru-RU"/>
        </w:rPr>
      </w:pPr>
      <w:r>
        <w:rPr>
          <w:rFonts w:eastAsia="Times New Roman"/>
          <w:iCs/>
          <w:szCs w:val="28"/>
          <w:lang w:eastAsia="ru-RU"/>
        </w:rPr>
        <w:t xml:space="preserve">Перечень мероприятий федерального значения по развитию системы </w:t>
      </w:r>
      <w:r>
        <w:rPr>
          <w:szCs w:val="28"/>
        </w:rPr>
        <w:t>электроснабжения</w:t>
      </w:r>
    </w:p>
    <w:tbl>
      <w:tblPr>
        <w:tblStyle w:val="aff"/>
        <w:tblW w:w="5000" w:type="pct"/>
        <w:jc w:val="left"/>
        <w:tblInd w:w="-108" w:type="dxa"/>
        <w:tblCellMar>
          <w:top w:w="0" w:type="dxa"/>
          <w:left w:w="108" w:type="dxa"/>
          <w:bottom w:w="0" w:type="dxa"/>
          <w:right w:w="108" w:type="dxa"/>
        </w:tblCellMar>
        <w:tblLook w:firstRow="1" w:noVBand="1" w:lastRow="0" w:firstColumn="1" w:lastColumn="0" w:noHBand="0" w:val="04a0"/>
      </w:tblPr>
      <w:tblGrid>
        <w:gridCol w:w="563"/>
        <w:gridCol w:w="1128"/>
        <w:gridCol w:w="4250"/>
        <w:gridCol w:w="2684"/>
        <w:gridCol w:w="2689"/>
        <w:gridCol w:w="3255"/>
      </w:tblGrid>
      <w:tr>
        <w:trPr/>
        <w:tc>
          <w:tcPr>
            <w:tcW w:w="563" w:type="dxa"/>
            <w:tcBorders>
              <w:bottom w:val="nil"/>
            </w:tcBorders>
            <w:vAlign w:val="center"/>
          </w:tcPr>
          <w:p>
            <w:pPr>
              <w:pStyle w:val="Normal"/>
              <w:widowControl w:val="false"/>
              <w:tabs>
                <w:tab w:val="clear" w:pos="708"/>
                <w:tab w:val="left" w:pos="1276" w:leader="none"/>
              </w:tabs>
              <w:spacing w:lineRule="auto" w:line="240"/>
              <w:ind w:right="142" w:hanging="0"/>
              <w:jc w:val="center"/>
              <w:rPr>
                <w:b/>
                <w:b/>
                <w:sz w:val="20"/>
                <w:szCs w:val="20"/>
              </w:rPr>
            </w:pPr>
            <w:r>
              <w:rPr>
                <w:b/>
                <w:sz w:val="20"/>
                <w:szCs w:val="20"/>
              </w:rPr>
              <w:t xml:space="preserve">№ </w:t>
            </w:r>
          </w:p>
        </w:tc>
        <w:tc>
          <w:tcPr>
            <w:tcW w:w="1128" w:type="dxa"/>
            <w:tcBorders>
              <w:bottom w:val="nil"/>
            </w:tcBorders>
            <w:vAlign w:val="center"/>
          </w:tcPr>
          <w:p>
            <w:pPr>
              <w:pStyle w:val="Normal"/>
              <w:widowControl w:val="false"/>
              <w:tabs>
                <w:tab w:val="clear" w:pos="708"/>
                <w:tab w:val="left" w:pos="1276" w:leader="none"/>
              </w:tabs>
              <w:spacing w:lineRule="auto" w:line="240"/>
              <w:ind w:right="142" w:hanging="0"/>
              <w:jc w:val="center"/>
              <w:rPr>
                <w:b/>
                <w:b/>
                <w:sz w:val="20"/>
                <w:szCs w:val="20"/>
              </w:rPr>
            </w:pPr>
            <w:r>
              <w:rPr>
                <w:b/>
                <w:bCs/>
                <w:sz w:val="20"/>
                <w:szCs w:val="20"/>
              </w:rPr>
              <w:t xml:space="preserve">№ </w:t>
            </w:r>
            <w:r>
              <w:rPr>
                <w:b/>
                <w:bCs/>
                <w:sz w:val="20"/>
                <w:szCs w:val="20"/>
              </w:rPr>
              <w:t>на карте</w:t>
            </w:r>
          </w:p>
        </w:tc>
        <w:tc>
          <w:tcPr>
            <w:tcW w:w="4250" w:type="dxa"/>
            <w:tcBorders>
              <w:bottom w:val="nil"/>
            </w:tcBorders>
            <w:vAlign w:val="center"/>
          </w:tcPr>
          <w:p>
            <w:pPr>
              <w:pStyle w:val="Normal"/>
              <w:widowControl w:val="false"/>
              <w:tabs>
                <w:tab w:val="clear" w:pos="708"/>
                <w:tab w:val="left" w:pos="1276" w:leader="none"/>
              </w:tabs>
              <w:spacing w:lineRule="auto" w:line="240"/>
              <w:ind w:right="142" w:hanging="0"/>
              <w:jc w:val="center"/>
              <w:rPr>
                <w:b/>
                <w:b/>
                <w:sz w:val="20"/>
                <w:szCs w:val="20"/>
              </w:rPr>
            </w:pPr>
            <w:r>
              <w:rPr>
                <w:b/>
                <w:sz w:val="20"/>
                <w:szCs w:val="20"/>
              </w:rPr>
              <w:t>Мероприятие</w:t>
            </w:r>
          </w:p>
        </w:tc>
        <w:tc>
          <w:tcPr>
            <w:tcW w:w="2684" w:type="dxa"/>
            <w:tcBorders>
              <w:bottom w:val="nil"/>
            </w:tcBorders>
            <w:vAlign w:val="center"/>
          </w:tcPr>
          <w:p>
            <w:pPr>
              <w:pStyle w:val="Normal"/>
              <w:widowControl w:val="false"/>
              <w:tabs>
                <w:tab w:val="clear" w:pos="708"/>
                <w:tab w:val="left" w:pos="1276" w:leader="none"/>
              </w:tabs>
              <w:spacing w:lineRule="auto" w:line="240"/>
              <w:ind w:right="142" w:hanging="0"/>
              <w:jc w:val="center"/>
              <w:rPr>
                <w:b/>
                <w:b/>
                <w:sz w:val="20"/>
                <w:szCs w:val="20"/>
              </w:rPr>
            </w:pPr>
            <w:r>
              <w:rPr>
                <w:b/>
                <w:bCs/>
                <w:sz w:val="20"/>
                <w:szCs w:val="20"/>
              </w:rPr>
              <w:t>Планируемый срок реализации</w:t>
            </w:r>
          </w:p>
        </w:tc>
        <w:tc>
          <w:tcPr>
            <w:tcW w:w="2689" w:type="dxa"/>
            <w:tcBorders>
              <w:bottom w:val="nil"/>
            </w:tcBorders>
            <w:vAlign w:val="center"/>
          </w:tcPr>
          <w:p>
            <w:pPr>
              <w:pStyle w:val="Normal"/>
              <w:widowControl w:val="false"/>
              <w:tabs>
                <w:tab w:val="clear" w:pos="708"/>
                <w:tab w:val="left" w:pos="1276" w:leader="none"/>
              </w:tabs>
              <w:spacing w:lineRule="auto" w:line="240"/>
              <w:ind w:right="142" w:hanging="0"/>
              <w:jc w:val="center"/>
              <w:rPr>
                <w:b/>
                <w:b/>
                <w:sz w:val="20"/>
                <w:szCs w:val="20"/>
              </w:rPr>
            </w:pPr>
            <w:r>
              <w:rPr>
                <w:b/>
                <w:sz w:val="20"/>
                <w:szCs w:val="20"/>
              </w:rPr>
              <w:t>Параметры *</w:t>
            </w:r>
          </w:p>
        </w:tc>
        <w:tc>
          <w:tcPr>
            <w:tcW w:w="3255" w:type="dxa"/>
            <w:tcBorders>
              <w:bottom w:val="nil"/>
            </w:tcBorders>
            <w:vAlign w:val="center"/>
          </w:tcPr>
          <w:p>
            <w:pPr>
              <w:pStyle w:val="Normal"/>
              <w:widowControl w:val="false"/>
              <w:tabs>
                <w:tab w:val="clear" w:pos="708"/>
                <w:tab w:val="left" w:pos="1276" w:leader="none"/>
              </w:tabs>
              <w:spacing w:lineRule="auto" w:line="240"/>
              <w:ind w:right="142" w:hanging="0"/>
              <w:jc w:val="center"/>
              <w:rPr>
                <w:b/>
                <w:b/>
                <w:sz w:val="20"/>
                <w:szCs w:val="20"/>
              </w:rPr>
            </w:pPr>
            <w:r>
              <w:rPr>
                <w:b/>
                <w:sz w:val="20"/>
                <w:szCs w:val="20"/>
              </w:rPr>
              <w:t>Наименование документов стратегического планирования, национальных проектов, инвестиционных программ субъектов естественных монополий, организаций коммунального комплекса, решений органов местного самоуправления, иных главных распорядителей средств соответствующих бюджетов, предусматривающих создание объекта</w:t>
            </w:r>
          </w:p>
        </w:tc>
      </w:tr>
    </w:tbl>
    <w:p>
      <w:pPr>
        <w:pStyle w:val="Normal"/>
        <w:widowControl w:val="false"/>
        <w:tabs>
          <w:tab w:val="clear" w:pos="708"/>
          <w:tab w:val="left" w:pos="1276" w:leader="none"/>
        </w:tabs>
        <w:spacing w:lineRule="auto" w:line="12"/>
        <w:ind w:right="142" w:hanging="0"/>
        <w:rPr>
          <w:sz w:val="20"/>
          <w:szCs w:val="20"/>
        </w:rPr>
      </w:pPr>
      <w:r>
        <w:rPr>
          <w:sz w:val="20"/>
          <w:szCs w:val="20"/>
        </w:rPr>
      </w:r>
    </w:p>
    <w:tbl>
      <w:tblPr>
        <w:tblStyle w:val="aff"/>
        <w:tblW w:w="5000" w:type="pct"/>
        <w:jc w:val="left"/>
        <w:tblInd w:w="-108" w:type="dxa"/>
        <w:tblCellMar>
          <w:top w:w="0" w:type="dxa"/>
          <w:left w:w="108" w:type="dxa"/>
          <w:bottom w:w="0" w:type="dxa"/>
          <w:right w:w="108" w:type="dxa"/>
        </w:tblCellMar>
        <w:tblLook w:firstRow="1" w:noVBand="1" w:lastRow="0" w:firstColumn="1" w:lastColumn="0" w:noHBand="0" w:val="04a0"/>
      </w:tblPr>
      <w:tblGrid>
        <w:gridCol w:w="563"/>
        <w:gridCol w:w="1129"/>
        <w:gridCol w:w="4243"/>
        <w:gridCol w:w="2693"/>
        <w:gridCol w:w="2686"/>
        <w:gridCol w:w="3255"/>
      </w:tblGrid>
      <w:tr>
        <w:trPr>
          <w:tblHeader w:val="true"/>
        </w:trPr>
        <w:tc>
          <w:tcPr>
            <w:tcW w:w="563" w:type="dxa"/>
            <w:tcBorders/>
            <w:vAlign w:val="center"/>
          </w:tcPr>
          <w:p>
            <w:pPr>
              <w:pStyle w:val="Normal"/>
              <w:widowControl w:val="false"/>
              <w:tabs>
                <w:tab w:val="clear" w:pos="708"/>
                <w:tab w:val="left" w:pos="1276" w:leader="none"/>
              </w:tabs>
              <w:spacing w:lineRule="auto" w:line="240"/>
              <w:ind w:right="142" w:hanging="0"/>
              <w:jc w:val="center"/>
              <w:rPr>
                <w:b/>
                <w:b/>
                <w:sz w:val="20"/>
                <w:szCs w:val="20"/>
              </w:rPr>
            </w:pPr>
            <w:r>
              <w:rPr>
                <w:b/>
                <w:sz w:val="20"/>
                <w:szCs w:val="20"/>
              </w:rPr>
              <w:t>1</w:t>
            </w:r>
          </w:p>
        </w:tc>
        <w:tc>
          <w:tcPr>
            <w:tcW w:w="1129" w:type="dxa"/>
            <w:tcBorders/>
          </w:tcPr>
          <w:p>
            <w:pPr>
              <w:pStyle w:val="Normal"/>
              <w:widowControl w:val="false"/>
              <w:tabs>
                <w:tab w:val="clear" w:pos="708"/>
                <w:tab w:val="left" w:pos="1276" w:leader="none"/>
              </w:tabs>
              <w:spacing w:lineRule="auto" w:line="240"/>
              <w:ind w:right="142" w:hanging="0"/>
              <w:jc w:val="center"/>
              <w:rPr>
                <w:b/>
                <w:b/>
                <w:sz w:val="20"/>
                <w:szCs w:val="20"/>
              </w:rPr>
            </w:pPr>
            <w:r>
              <w:rPr>
                <w:b/>
                <w:sz w:val="20"/>
                <w:szCs w:val="20"/>
              </w:rPr>
              <w:t>2</w:t>
            </w:r>
          </w:p>
        </w:tc>
        <w:tc>
          <w:tcPr>
            <w:tcW w:w="4243" w:type="dxa"/>
            <w:tcBorders/>
            <w:vAlign w:val="center"/>
          </w:tcPr>
          <w:p>
            <w:pPr>
              <w:pStyle w:val="Normal"/>
              <w:widowControl w:val="false"/>
              <w:tabs>
                <w:tab w:val="clear" w:pos="708"/>
                <w:tab w:val="left" w:pos="1276" w:leader="none"/>
              </w:tabs>
              <w:spacing w:lineRule="auto" w:line="240"/>
              <w:ind w:right="142" w:hanging="0"/>
              <w:jc w:val="center"/>
              <w:rPr>
                <w:b/>
                <w:b/>
                <w:sz w:val="20"/>
                <w:szCs w:val="20"/>
              </w:rPr>
            </w:pPr>
            <w:r>
              <w:rPr>
                <w:b/>
                <w:sz w:val="20"/>
                <w:szCs w:val="20"/>
              </w:rPr>
              <w:t>3</w:t>
            </w:r>
          </w:p>
        </w:tc>
        <w:tc>
          <w:tcPr>
            <w:tcW w:w="2693" w:type="dxa"/>
            <w:tcBorders/>
            <w:vAlign w:val="center"/>
          </w:tcPr>
          <w:p>
            <w:pPr>
              <w:pStyle w:val="Normal"/>
              <w:widowControl w:val="false"/>
              <w:tabs>
                <w:tab w:val="clear" w:pos="708"/>
                <w:tab w:val="left" w:pos="1276" w:leader="none"/>
              </w:tabs>
              <w:spacing w:lineRule="auto" w:line="240"/>
              <w:ind w:right="142" w:hanging="0"/>
              <w:jc w:val="center"/>
              <w:rPr>
                <w:b/>
                <w:b/>
                <w:sz w:val="20"/>
                <w:szCs w:val="20"/>
              </w:rPr>
            </w:pPr>
            <w:r>
              <w:rPr>
                <w:b/>
                <w:sz w:val="20"/>
                <w:szCs w:val="20"/>
              </w:rPr>
              <w:t>4</w:t>
            </w:r>
          </w:p>
        </w:tc>
        <w:tc>
          <w:tcPr>
            <w:tcW w:w="2686" w:type="dxa"/>
            <w:tcBorders/>
            <w:vAlign w:val="center"/>
          </w:tcPr>
          <w:p>
            <w:pPr>
              <w:pStyle w:val="Normal"/>
              <w:widowControl w:val="false"/>
              <w:tabs>
                <w:tab w:val="clear" w:pos="708"/>
                <w:tab w:val="left" w:pos="1276" w:leader="none"/>
              </w:tabs>
              <w:spacing w:lineRule="auto" w:line="240"/>
              <w:ind w:right="142" w:hanging="0"/>
              <w:jc w:val="center"/>
              <w:rPr>
                <w:b/>
                <w:b/>
                <w:sz w:val="20"/>
                <w:szCs w:val="20"/>
              </w:rPr>
            </w:pPr>
            <w:r>
              <w:rPr>
                <w:b/>
                <w:sz w:val="20"/>
                <w:szCs w:val="20"/>
              </w:rPr>
              <w:t>5</w:t>
            </w:r>
          </w:p>
        </w:tc>
        <w:tc>
          <w:tcPr>
            <w:tcW w:w="3255" w:type="dxa"/>
            <w:tcBorders/>
          </w:tcPr>
          <w:p>
            <w:pPr>
              <w:pStyle w:val="Normal"/>
              <w:widowControl w:val="false"/>
              <w:tabs>
                <w:tab w:val="clear" w:pos="708"/>
                <w:tab w:val="left" w:pos="1276" w:leader="none"/>
              </w:tabs>
              <w:spacing w:lineRule="auto" w:line="240"/>
              <w:ind w:right="142" w:hanging="0"/>
              <w:jc w:val="center"/>
              <w:rPr>
                <w:b/>
                <w:b/>
                <w:sz w:val="20"/>
                <w:szCs w:val="20"/>
              </w:rPr>
            </w:pPr>
            <w:r>
              <w:rPr>
                <w:b/>
                <w:sz w:val="20"/>
                <w:szCs w:val="20"/>
              </w:rPr>
              <w:t>6</w:t>
            </w:r>
          </w:p>
        </w:tc>
      </w:tr>
      <w:tr>
        <w:trPr/>
        <w:tc>
          <w:tcPr>
            <w:tcW w:w="563" w:type="dxa"/>
            <w:tcBorders/>
            <w:shd w:color="auto" w:fill="auto" w:val="clear"/>
          </w:tcPr>
          <w:p>
            <w:pPr>
              <w:pStyle w:val="Normal"/>
              <w:spacing w:lineRule="auto" w:line="240"/>
              <w:ind w:right="-109" w:hanging="113"/>
              <w:jc w:val="center"/>
              <w:rPr>
                <w:sz w:val="20"/>
                <w:szCs w:val="20"/>
              </w:rPr>
            </w:pPr>
            <w:r>
              <w:rPr>
                <w:sz w:val="20"/>
                <w:szCs w:val="20"/>
              </w:rPr>
              <w:t>1</w:t>
            </w:r>
          </w:p>
        </w:tc>
        <w:tc>
          <w:tcPr>
            <w:tcW w:w="1129" w:type="dxa"/>
            <w:tcBorders/>
            <w:shd w:color="auto" w:fill="auto" w:val="clear"/>
          </w:tcPr>
          <w:p>
            <w:pPr>
              <w:pStyle w:val="Normal"/>
              <w:spacing w:lineRule="auto" w:line="240"/>
              <w:ind w:right="-109" w:hanging="6"/>
              <w:jc w:val="center"/>
              <w:rPr>
                <w:sz w:val="20"/>
                <w:szCs w:val="20"/>
              </w:rPr>
            </w:pPr>
            <w:r>
              <w:rPr>
                <w:sz w:val="20"/>
                <w:szCs w:val="20"/>
              </w:rPr>
              <w:t>ЛЭП.9.1</w:t>
            </w:r>
          </w:p>
        </w:tc>
        <w:tc>
          <w:tcPr>
            <w:tcW w:w="4243" w:type="dxa"/>
            <w:tcBorders/>
          </w:tcPr>
          <w:p>
            <w:pPr>
              <w:pStyle w:val="Normal"/>
              <w:spacing w:lineRule="auto" w:line="240"/>
              <w:ind w:right="-109" w:hanging="6"/>
              <w:jc w:val="left"/>
              <w:rPr>
                <w:sz w:val="20"/>
                <w:szCs w:val="20"/>
              </w:rPr>
            </w:pPr>
            <w:r>
              <w:rPr>
                <w:sz w:val="20"/>
                <w:szCs w:val="20"/>
              </w:rPr>
              <w:t>ВЛ 220 кВ Карталы 220 - Обогатительная</w:t>
            </w:r>
          </w:p>
        </w:tc>
        <w:tc>
          <w:tcPr>
            <w:tcW w:w="2693" w:type="dxa"/>
            <w:tcBorders/>
          </w:tcPr>
          <w:p>
            <w:pPr>
              <w:pStyle w:val="Normal"/>
              <w:spacing w:lineRule="auto" w:line="240"/>
              <w:jc w:val="center"/>
              <w:rPr>
                <w:rFonts w:eastAsia="Times New Roman"/>
                <w:sz w:val="20"/>
                <w:szCs w:val="20"/>
                <w:lang w:eastAsia="ru-RU"/>
              </w:rPr>
            </w:pPr>
            <w:r>
              <w:rPr>
                <w:rFonts w:eastAsia="Times New Roman"/>
                <w:sz w:val="20"/>
                <w:szCs w:val="20"/>
                <w:lang w:eastAsia="ru-RU"/>
              </w:rPr>
              <w:t>до 2024 года</w:t>
            </w:r>
          </w:p>
        </w:tc>
        <w:tc>
          <w:tcPr>
            <w:tcW w:w="2686" w:type="dxa"/>
            <w:tcBorders/>
          </w:tcPr>
          <w:p>
            <w:pPr>
              <w:pStyle w:val="Normal"/>
              <w:spacing w:lineRule="auto" w:line="240"/>
              <w:jc w:val="left"/>
              <w:rPr>
                <w:sz w:val="20"/>
                <w:szCs w:val="20"/>
              </w:rPr>
            </w:pPr>
            <w:r>
              <w:rPr>
                <w:sz w:val="20"/>
                <w:szCs w:val="20"/>
              </w:rPr>
              <w:t>Протяженность – 5,72</w:t>
            </w:r>
          </w:p>
        </w:tc>
        <w:tc>
          <w:tcPr>
            <w:tcW w:w="3255" w:type="dxa"/>
            <w:tcBorders/>
          </w:tcPr>
          <w:p>
            <w:pPr>
              <w:pStyle w:val="Normal"/>
              <w:spacing w:lineRule="auto" w:line="240"/>
              <w:jc w:val="left"/>
              <w:rPr>
                <w:rFonts w:eastAsia="Times New Roman"/>
                <w:sz w:val="20"/>
                <w:szCs w:val="20"/>
                <w:lang w:eastAsia="ru-RU"/>
              </w:rPr>
            </w:pPr>
            <w:r>
              <w:rPr>
                <w:rFonts w:eastAsia="Times New Roman"/>
                <w:sz w:val="20"/>
                <w:szCs w:val="20"/>
                <w:lang w:eastAsia="ru-RU"/>
              </w:rPr>
              <w:t>Схема территориального планирования Российской Федерации в области энергетики</w:t>
            </w:r>
          </w:p>
        </w:tc>
      </w:tr>
    </w:tbl>
    <w:p>
      <w:pPr>
        <w:sectPr>
          <w:headerReference w:type="default" r:id="rId123"/>
          <w:footerReference w:type="default" r:id="rId124"/>
          <w:type w:val="nextPage"/>
          <w:pgSz w:orient="landscape" w:w="16838" w:h="11906"/>
          <w:pgMar w:left="1134" w:right="1134" w:header="0" w:top="1418" w:footer="567" w:bottom="624" w:gutter="0"/>
          <w:pgNumType w:fmt="decimal"/>
          <w:formProt w:val="false"/>
          <w:textDirection w:val="lrTb"/>
          <w:docGrid w:type="default" w:linePitch="326" w:charSpace="0"/>
        </w:sectPr>
        <w:pStyle w:val="Normal"/>
        <w:spacing w:lineRule="auto" w:line="240"/>
        <w:rPr>
          <w:rFonts w:eastAsia="Times New Roman"/>
          <w:sz w:val="20"/>
          <w:szCs w:val="20"/>
          <w:lang w:eastAsia="ru-RU"/>
        </w:rPr>
      </w:pPr>
      <w:r>
        <w:rPr>
          <w:rFonts w:eastAsia="Times New Roman"/>
          <w:sz w:val="20"/>
          <w:szCs w:val="20"/>
          <w:lang w:eastAsia="ru-RU"/>
        </w:rPr>
        <w:t xml:space="preserve">Примечание </w:t>
      </w:r>
      <w:r>
        <w:rPr>
          <w:sz w:val="20"/>
          <w:szCs w:val="20"/>
        </w:rPr>
        <w:t>—</w:t>
      </w:r>
      <w:r>
        <w:rPr>
          <w:rFonts w:eastAsia="Times New Roman"/>
          <w:sz w:val="20"/>
          <w:szCs w:val="20"/>
          <w:lang w:eastAsia="ru-RU"/>
        </w:rPr>
        <w:t xml:space="preserve"> * Мощности и характеристики объектов электроснабжения необходимо уточнить при рабочем проектировании.</w:t>
      </w:r>
    </w:p>
    <w:p>
      <w:pPr>
        <w:pStyle w:val="Normal"/>
        <w:tabs>
          <w:tab w:val="clear" w:pos="708"/>
          <w:tab w:val="left" w:pos="142" w:leader="none"/>
        </w:tabs>
        <w:spacing w:lineRule="auto" w:line="276" w:before="120" w:after="200"/>
        <w:ind w:firstLine="709"/>
        <w:jc w:val="left"/>
        <w:rPr>
          <w:b/>
          <w:b/>
          <w:szCs w:val="28"/>
        </w:rPr>
      </w:pPr>
      <w:r>
        <w:rPr>
          <w:b/>
          <w:szCs w:val="28"/>
        </w:rPr>
        <w:t>Расчет электропотребления</w:t>
      </w:r>
    </w:p>
    <w:p>
      <w:pPr>
        <w:pStyle w:val="Normal"/>
        <w:tabs>
          <w:tab w:val="clear" w:pos="708"/>
          <w:tab w:val="left" w:pos="142" w:leader="none"/>
        </w:tabs>
        <w:spacing w:lineRule="auto" w:line="276"/>
        <w:ind w:firstLine="709"/>
        <w:rPr>
          <w:szCs w:val="28"/>
        </w:rPr>
      </w:pPr>
      <w:r>
        <w:rPr>
          <w:szCs w:val="28"/>
        </w:rPr>
        <w:t xml:space="preserve">Для расчетов приняты укрупненные показатели удельной расчетной коммунально-бытовой нагрузки, учитывающие нагрузки жилых и общественных зданий, коммунальные предприятия, объекты транспортного обслуживания, наружное освещение. Удельные расчетные показатели нагрузки принимаются в соответствии с таблицей 2.4.3 РД 34.20.185-94 «Инструкция по проектированию городских электрических сетей», СП 42.13330.2016 «Градостроительство. Планировка и застройка городских сельских поселений. Актуализированная редакция </w:t>
        <w:br/>
        <w:t>СниП 2.07.01-89*».</w:t>
      </w:r>
    </w:p>
    <w:p>
      <w:pPr>
        <w:pStyle w:val="Normal"/>
        <w:tabs>
          <w:tab w:val="clear" w:pos="708"/>
          <w:tab w:val="left" w:pos="142" w:leader="none"/>
        </w:tabs>
        <w:spacing w:lineRule="auto" w:line="276"/>
        <w:ind w:firstLine="709"/>
        <w:rPr>
          <w:szCs w:val="28"/>
        </w:rPr>
      </w:pPr>
      <w:r>
        <w:rPr>
          <w:szCs w:val="28"/>
        </w:rPr>
        <w:t>Для расчетов расхода электроэнергии приняты показатели удельного расхода электроэнергии, предусматривающие электропотребление жилыми и общественными зданиями, предприятиями коммунально-бытового обслуживания, объектами транспортного обслуживания, наружным освещением. Удельные расчетные показатели расхода принимаются в соответствии с таблицей 2.4.4 РД 34.20.185-94 «Инструкция по проектированию городских электрических сетей», СП 42.13330.2016 «Градостроительство. Планировка и застройка городских сельских поселений. Актуализированная редакция СниП 2.07.01-89*»</w:t>
      </w:r>
      <w:r>
        <w:rPr>
          <w:rFonts w:eastAsia="Calibri" w:eastAsiaTheme="minorHAnsi"/>
          <w:szCs w:val="28"/>
        </w:rPr>
        <w:t>.</w:t>
      </w:r>
    </w:p>
    <w:p>
      <w:pPr>
        <w:pStyle w:val="Normal"/>
        <w:tabs>
          <w:tab w:val="clear" w:pos="708"/>
          <w:tab w:val="left" w:pos="142" w:leader="none"/>
        </w:tabs>
        <w:spacing w:lineRule="auto" w:line="276"/>
        <w:ind w:firstLine="709"/>
        <w:rPr>
          <w:szCs w:val="28"/>
        </w:rPr>
      </w:pPr>
      <w:r>
        <w:rPr>
          <w:szCs w:val="28"/>
        </w:rPr>
        <w:t>Значения удельных электрических нагрузок и годового числа использования максимума электрической нагрузки приведено к шинам 10 (6) кВ ЦП.</w:t>
      </w:r>
    </w:p>
    <w:p>
      <w:pPr>
        <w:pStyle w:val="Normal"/>
        <w:tabs>
          <w:tab w:val="clear" w:pos="708"/>
          <w:tab w:val="left" w:pos="142" w:leader="none"/>
        </w:tabs>
        <w:spacing w:lineRule="auto" w:line="276"/>
        <w:ind w:firstLine="709"/>
        <w:rPr>
          <w:szCs w:val="28"/>
        </w:rPr>
      </w:pPr>
      <w:r>
        <w:rPr>
          <w:szCs w:val="28"/>
        </w:rPr>
        <w:t xml:space="preserve">Прогноз электрических нагрузок и электропотребления приведен в </w:t>
        <w:br/>
        <w:t>таблице 3.8.7.6.</w:t>
      </w:r>
    </w:p>
    <w:p>
      <w:pPr>
        <w:pStyle w:val="Normal"/>
        <w:tabs>
          <w:tab w:val="clear" w:pos="708"/>
          <w:tab w:val="left" w:pos="142" w:leader="none"/>
        </w:tabs>
        <w:spacing w:lineRule="auto" w:line="276"/>
        <w:ind w:firstLine="709"/>
        <w:jc w:val="right"/>
        <w:rPr>
          <w:szCs w:val="28"/>
        </w:rPr>
      </w:pPr>
      <w:r>
        <w:rPr>
          <w:szCs w:val="28"/>
        </w:rPr>
        <w:t>Таблица 3.8.7.6</w:t>
      </w:r>
    </w:p>
    <w:p>
      <w:pPr>
        <w:pStyle w:val="Normal"/>
        <w:tabs>
          <w:tab w:val="clear" w:pos="708"/>
          <w:tab w:val="left" w:pos="142" w:leader="none"/>
        </w:tabs>
        <w:spacing w:lineRule="auto" w:line="276"/>
        <w:jc w:val="center"/>
        <w:rPr>
          <w:szCs w:val="28"/>
        </w:rPr>
      </w:pPr>
      <w:r>
        <w:rPr>
          <w:szCs w:val="28"/>
        </w:rPr>
        <w:t>Прогноз электрических нагрузок и электропотребления</w:t>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2267"/>
        <w:gridCol w:w="1457"/>
        <w:gridCol w:w="1240"/>
        <w:gridCol w:w="1324"/>
        <w:gridCol w:w="1227"/>
        <w:gridCol w:w="1199"/>
        <w:gridCol w:w="1206"/>
      </w:tblGrid>
      <w:tr>
        <w:trPr>
          <w:tblHeader w:val="true"/>
          <w:trHeight w:val="20" w:hRule="atLeast"/>
        </w:trPr>
        <w:tc>
          <w:tcPr>
            <w:tcW w:w="226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Наименование поселения</w:t>
            </w:r>
          </w:p>
        </w:tc>
        <w:tc>
          <w:tcPr>
            <w:tcW w:w="2697"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Численность населения, человек</w:t>
            </w:r>
          </w:p>
        </w:tc>
        <w:tc>
          <w:tcPr>
            <w:tcW w:w="2551" w:type="dxa"/>
            <w:gridSpan w:val="2"/>
            <w:tcBorders>
              <w:top w:val="single" w:sz="4" w:space="0" w:color="000000"/>
              <w:bottom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Расчетная электрическая нагрузка, кВт</w:t>
            </w:r>
          </w:p>
        </w:tc>
        <w:tc>
          <w:tcPr>
            <w:tcW w:w="2405" w:type="dxa"/>
            <w:gridSpan w:val="2"/>
            <w:tcBorders>
              <w:top w:val="single" w:sz="4" w:space="0" w:color="000000"/>
              <w:bottom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 xml:space="preserve">Потребность электроэнергии, </w:t>
              <w:br/>
              <w:t>млн. кВт/ч</w:t>
            </w:r>
          </w:p>
        </w:tc>
      </w:tr>
      <w:tr>
        <w:trPr>
          <w:tblHeader w:val="true"/>
          <w:trHeight w:val="20" w:hRule="atLeast"/>
        </w:trPr>
        <w:tc>
          <w:tcPr>
            <w:tcW w:w="2267" w:type="dxa"/>
            <w:vMerge w:val="continue"/>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sz w:val="20"/>
                <w:szCs w:val="20"/>
              </w:rPr>
            </w:r>
          </w:p>
        </w:tc>
        <w:tc>
          <w:tcPr>
            <w:tcW w:w="1457" w:type="dxa"/>
            <w:tcBorders>
              <w:right w:val="single" w:sz="4" w:space="0" w:color="000000"/>
            </w:tcBorders>
            <w:shd w:color="auto" w:fill="auto" w:val="clear"/>
            <w:vAlign w:val="center"/>
          </w:tcPr>
          <w:p>
            <w:pPr>
              <w:pStyle w:val="Normal"/>
              <w:spacing w:lineRule="auto" w:line="240"/>
              <w:jc w:val="center"/>
              <w:rPr>
                <w:b/>
                <w:b/>
                <w:sz w:val="20"/>
                <w:szCs w:val="20"/>
              </w:rPr>
            </w:pPr>
            <w:r>
              <w:rPr>
                <w:b/>
                <w:sz w:val="20"/>
                <w:szCs w:val="20"/>
              </w:rPr>
              <w:t>первая очередь</w:t>
            </w:r>
          </w:p>
        </w:tc>
        <w:tc>
          <w:tcPr>
            <w:tcW w:w="1240" w:type="dxa"/>
            <w:tcBorders>
              <w:right w:val="single" w:sz="4" w:space="0" w:color="000000"/>
            </w:tcBorders>
            <w:shd w:color="auto" w:fill="auto" w:val="clear"/>
            <w:vAlign w:val="center"/>
          </w:tcPr>
          <w:p>
            <w:pPr>
              <w:pStyle w:val="Normal"/>
              <w:spacing w:lineRule="auto" w:line="240"/>
              <w:jc w:val="center"/>
              <w:rPr>
                <w:b/>
                <w:b/>
                <w:sz w:val="20"/>
                <w:szCs w:val="20"/>
              </w:rPr>
            </w:pPr>
            <w:r>
              <w:rPr>
                <w:b/>
                <w:sz w:val="20"/>
                <w:szCs w:val="20"/>
              </w:rPr>
              <w:t>расчетный срок</w:t>
            </w:r>
          </w:p>
        </w:tc>
        <w:tc>
          <w:tcPr>
            <w:tcW w:w="1324" w:type="dxa"/>
            <w:tcBorders>
              <w:right w:val="single" w:sz="4" w:space="0" w:color="000000"/>
            </w:tcBorders>
            <w:shd w:color="auto" w:fill="auto" w:val="clear"/>
            <w:vAlign w:val="center"/>
          </w:tcPr>
          <w:p>
            <w:pPr>
              <w:pStyle w:val="Normal"/>
              <w:spacing w:lineRule="auto" w:line="240"/>
              <w:jc w:val="center"/>
              <w:rPr>
                <w:b/>
                <w:b/>
                <w:sz w:val="20"/>
                <w:szCs w:val="20"/>
              </w:rPr>
            </w:pPr>
            <w:r>
              <w:rPr>
                <w:b/>
                <w:sz w:val="20"/>
                <w:szCs w:val="20"/>
              </w:rPr>
              <w:t>первая очередь</w:t>
            </w:r>
          </w:p>
        </w:tc>
        <w:tc>
          <w:tcPr>
            <w:tcW w:w="1227" w:type="dxa"/>
            <w:tcBorders>
              <w:right w:val="single" w:sz="4" w:space="0" w:color="000000"/>
            </w:tcBorders>
            <w:shd w:color="auto" w:fill="auto" w:val="clear"/>
            <w:vAlign w:val="center"/>
          </w:tcPr>
          <w:p>
            <w:pPr>
              <w:pStyle w:val="Normal"/>
              <w:spacing w:lineRule="auto" w:line="240"/>
              <w:jc w:val="center"/>
              <w:rPr>
                <w:b/>
                <w:b/>
                <w:sz w:val="20"/>
                <w:szCs w:val="20"/>
              </w:rPr>
            </w:pPr>
            <w:r>
              <w:rPr>
                <w:b/>
                <w:sz w:val="20"/>
                <w:szCs w:val="20"/>
              </w:rPr>
              <w:t>расчетный срок</w:t>
            </w:r>
          </w:p>
        </w:tc>
        <w:tc>
          <w:tcPr>
            <w:tcW w:w="1199" w:type="dxa"/>
            <w:tcBorders>
              <w:right w:val="single" w:sz="4" w:space="0" w:color="000000"/>
            </w:tcBorders>
            <w:shd w:color="auto" w:fill="auto" w:val="clear"/>
            <w:vAlign w:val="center"/>
          </w:tcPr>
          <w:p>
            <w:pPr>
              <w:pStyle w:val="Normal"/>
              <w:spacing w:lineRule="auto" w:line="240"/>
              <w:jc w:val="center"/>
              <w:rPr>
                <w:b/>
                <w:b/>
                <w:sz w:val="20"/>
                <w:szCs w:val="20"/>
              </w:rPr>
            </w:pPr>
            <w:r>
              <w:rPr>
                <w:b/>
                <w:sz w:val="20"/>
                <w:szCs w:val="20"/>
              </w:rPr>
              <w:t>первая очередь</w:t>
            </w:r>
          </w:p>
        </w:tc>
        <w:tc>
          <w:tcPr>
            <w:tcW w:w="1206" w:type="dxa"/>
            <w:tcBorders>
              <w:right w:val="single" w:sz="4" w:space="0" w:color="000000"/>
            </w:tcBorders>
            <w:shd w:color="auto" w:fill="auto" w:val="clear"/>
            <w:vAlign w:val="center"/>
          </w:tcPr>
          <w:p>
            <w:pPr>
              <w:pStyle w:val="Normal"/>
              <w:spacing w:lineRule="auto" w:line="240"/>
              <w:jc w:val="center"/>
              <w:rPr>
                <w:b/>
                <w:b/>
                <w:sz w:val="20"/>
                <w:szCs w:val="20"/>
              </w:rPr>
            </w:pPr>
            <w:r>
              <w:rPr>
                <w:b/>
                <w:sz w:val="20"/>
                <w:szCs w:val="20"/>
              </w:rPr>
              <w:t>расчетный срок</w:t>
            </w:r>
          </w:p>
        </w:tc>
      </w:tr>
    </w:tbl>
    <w:p>
      <w:pPr>
        <w:pStyle w:val="Normal"/>
        <w:spacing w:lineRule="auto" w:line="12"/>
        <w:ind w:firstLine="709"/>
        <w:rPr>
          <w:sz w:val="20"/>
          <w:szCs w:val="20"/>
        </w:rPr>
      </w:pPr>
      <w:r>
        <w:rPr>
          <w:sz w:val="20"/>
          <w:szCs w:val="20"/>
        </w:rPr>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2264"/>
        <w:gridCol w:w="1416"/>
        <w:gridCol w:w="1272"/>
        <w:gridCol w:w="1283"/>
        <w:gridCol w:w="1278"/>
        <w:gridCol w:w="1136"/>
        <w:gridCol w:w="1271"/>
      </w:tblGrid>
      <w:tr>
        <w:trPr>
          <w:tblHeader w:val="true"/>
          <w:trHeight w:val="20" w:hRule="atLeast"/>
        </w:trPr>
        <w:tc>
          <w:tcPr>
            <w:tcW w:w="226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1</w:t>
            </w:r>
          </w:p>
        </w:tc>
        <w:tc>
          <w:tcPr>
            <w:tcW w:w="1416" w:type="dxa"/>
            <w:tcBorders>
              <w:top w:val="single" w:sz="4" w:space="0" w:color="000000"/>
              <w:bottom w:val="single" w:sz="4" w:space="0" w:color="000000"/>
              <w:right w:val="single" w:sz="4" w:space="0" w:color="000000"/>
            </w:tcBorders>
            <w:shd w:color="auto" w:fill="auto" w:val="clear"/>
          </w:tcPr>
          <w:p>
            <w:pPr>
              <w:pStyle w:val="Normal"/>
              <w:spacing w:lineRule="auto" w:line="240"/>
              <w:jc w:val="center"/>
              <w:rPr>
                <w:b/>
                <w:b/>
                <w:bCs/>
                <w:sz w:val="20"/>
                <w:szCs w:val="20"/>
              </w:rPr>
            </w:pPr>
            <w:r>
              <w:rPr>
                <w:b/>
                <w:bCs/>
                <w:sz w:val="20"/>
                <w:szCs w:val="20"/>
              </w:rPr>
              <w:t>2</w:t>
            </w:r>
          </w:p>
        </w:tc>
        <w:tc>
          <w:tcPr>
            <w:tcW w:w="1272" w:type="dxa"/>
            <w:tcBorders>
              <w:top w:val="single" w:sz="4" w:space="0" w:color="000000"/>
              <w:bottom w:val="single" w:sz="4" w:space="0" w:color="000000"/>
              <w:right w:val="single" w:sz="4" w:space="0" w:color="000000"/>
            </w:tcBorders>
            <w:shd w:color="auto" w:fill="auto" w:val="clear"/>
          </w:tcPr>
          <w:p>
            <w:pPr>
              <w:pStyle w:val="Normal"/>
              <w:spacing w:lineRule="auto" w:line="240"/>
              <w:jc w:val="center"/>
              <w:rPr>
                <w:b/>
                <w:b/>
                <w:bCs/>
                <w:sz w:val="20"/>
                <w:szCs w:val="20"/>
              </w:rPr>
            </w:pPr>
            <w:r>
              <w:rPr>
                <w:b/>
                <w:bCs/>
                <w:sz w:val="20"/>
                <w:szCs w:val="20"/>
              </w:rPr>
              <w:t>3</w:t>
            </w:r>
          </w:p>
        </w:tc>
        <w:tc>
          <w:tcPr>
            <w:tcW w:w="1283" w:type="dxa"/>
            <w:tcBorders>
              <w:top w:val="single" w:sz="4" w:space="0" w:color="000000"/>
              <w:bottom w:val="single" w:sz="4" w:space="0" w:color="000000"/>
              <w:right w:val="single" w:sz="4" w:space="0" w:color="000000"/>
            </w:tcBorders>
            <w:shd w:color="auto" w:fill="auto" w:val="clear"/>
          </w:tcPr>
          <w:p>
            <w:pPr>
              <w:pStyle w:val="Normal"/>
              <w:spacing w:lineRule="auto" w:line="240"/>
              <w:jc w:val="center"/>
              <w:rPr>
                <w:b/>
                <w:b/>
                <w:bCs/>
                <w:sz w:val="20"/>
                <w:szCs w:val="20"/>
              </w:rPr>
            </w:pPr>
            <w:r>
              <w:rPr>
                <w:b/>
                <w:bCs/>
                <w:sz w:val="20"/>
                <w:szCs w:val="20"/>
              </w:rPr>
              <w:t>4</w:t>
            </w:r>
          </w:p>
        </w:tc>
        <w:tc>
          <w:tcPr>
            <w:tcW w:w="1278" w:type="dxa"/>
            <w:tcBorders>
              <w:top w:val="single" w:sz="4" w:space="0" w:color="000000"/>
              <w:bottom w:val="single" w:sz="4" w:space="0" w:color="000000"/>
              <w:right w:val="single" w:sz="4" w:space="0" w:color="000000"/>
            </w:tcBorders>
            <w:shd w:color="auto" w:fill="auto" w:val="clear"/>
          </w:tcPr>
          <w:p>
            <w:pPr>
              <w:pStyle w:val="Normal"/>
              <w:spacing w:lineRule="auto" w:line="240"/>
              <w:jc w:val="center"/>
              <w:rPr>
                <w:b/>
                <w:b/>
                <w:bCs/>
                <w:sz w:val="20"/>
                <w:szCs w:val="20"/>
              </w:rPr>
            </w:pPr>
            <w:r>
              <w:rPr>
                <w:b/>
                <w:bCs/>
                <w:sz w:val="20"/>
                <w:szCs w:val="20"/>
              </w:rPr>
              <w:t>5</w:t>
            </w:r>
          </w:p>
        </w:tc>
        <w:tc>
          <w:tcPr>
            <w:tcW w:w="1136" w:type="dxa"/>
            <w:tcBorders>
              <w:top w:val="single" w:sz="4" w:space="0" w:color="000000"/>
              <w:bottom w:val="single" w:sz="4" w:space="0" w:color="000000"/>
              <w:right w:val="single" w:sz="4" w:space="0" w:color="000000"/>
            </w:tcBorders>
            <w:shd w:color="auto" w:fill="auto" w:val="clear"/>
          </w:tcPr>
          <w:p>
            <w:pPr>
              <w:pStyle w:val="Normal"/>
              <w:spacing w:lineRule="auto" w:line="240"/>
              <w:jc w:val="center"/>
              <w:rPr>
                <w:b/>
                <w:b/>
                <w:bCs/>
                <w:sz w:val="20"/>
                <w:szCs w:val="20"/>
              </w:rPr>
            </w:pPr>
            <w:r>
              <w:rPr>
                <w:b/>
                <w:bCs/>
                <w:sz w:val="20"/>
                <w:szCs w:val="20"/>
              </w:rPr>
              <w:t>6</w:t>
            </w:r>
          </w:p>
        </w:tc>
        <w:tc>
          <w:tcPr>
            <w:tcW w:w="1271" w:type="dxa"/>
            <w:tcBorders>
              <w:top w:val="single" w:sz="4" w:space="0" w:color="000000"/>
              <w:bottom w:val="single" w:sz="4" w:space="0" w:color="000000"/>
              <w:right w:val="single" w:sz="4" w:space="0" w:color="000000"/>
            </w:tcBorders>
            <w:shd w:color="auto" w:fill="auto" w:val="clear"/>
          </w:tcPr>
          <w:p>
            <w:pPr>
              <w:pStyle w:val="Normal"/>
              <w:spacing w:lineRule="auto" w:line="240"/>
              <w:jc w:val="center"/>
              <w:rPr>
                <w:b/>
                <w:b/>
                <w:bCs/>
                <w:sz w:val="20"/>
                <w:szCs w:val="20"/>
              </w:rPr>
            </w:pPr>
            <w:r>
              <w:rPr>
                <w:b/>
                <w:bCs/>
                <w:sz w:val="20"/>
                <w:szCs w:val="20"/>
              </w:rPr>
              <w:t>7</w:t>
            </w:r>
          </w:p>
        </w:tc>
      </w:tr>
      <w:tr>
        <w:trPr>
          <w:trHeight w:val="20" w:hRule="atLeast"/>
        </w:trPr>
        <w:tc>
          <w:tcPr>
            <w:tcW w:w="226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left"/>
              <w:rPr>
                <w:sz w:val="20"/>
                <w:szCs w:val="20"/>
              </w:rPr>
            </w:pPr>
            <w:r>
              <w:rPr>
                <w:color w:val="000000"/>
                <w:sz w:val="20"/>
                <w:szCs w:val="20"/>
              </w:rPr>
              <w:t>с. Катенино</w:t>
            </w:r>
          </w:p>
        </w:tc>
        <w:tc>
          <w:tcPr>
            <w:tcW w:w="1416"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jc w:val="center"/>
              <w:rPr>
                <w:sz w:val="20"/>
                <w:szCs w:val="20"/>
              </w:rPr>
            </w:pPr>
            <w:r>
              <w:rPr>
                <w:color w:val="000000"/>
                <w:sz w:val="20"/>
                <w:szCs w:val="20"/>
              </w:rPr>
              <w:t>914</w:t>
            </w:r>
          </w:p>
        </w:tc>
        <w:tc>
          <w:tcPr>
            <w:tcW w:w="1272"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jc w:val="center"/>
              <w:rPr>
                <w:sz w:val="20"/>
                <w:szCs w:val="20"/>
              </w:rPr>
            </w:pPr>
            <w:r>
              <w:rPr>
                <w:color w:val="000000"/>
                <w:sz w:val="20"/>
                <w:szCs w:val="20"/>
              </w:rPr>
              <w:t>930</w:t>
            </w:r>
          </w:p>
        </w:tc>
        <w:tc>
          <w:tcPr>
            <w:tcW w:w="1283"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jc w:val="center"/>
              <w:rPr>
                <w:b/>
                <w:b/>
                <w:sz w:val="20"/>
                <w:szCs w:val="20"/>
              </w:rPr>
            </w:pPr>
            <w:r>
              <w:rPr>
                <w:color w:val="000000"/>
                <w:sz w:val="20"/>
                <w:szCs w:val="20"/>
              </w:rPr>
              <w:t>685,5</w:t>
            </w:r>
          </w:p>
        </w:tc>
        <w:tc>
          <w:tcPr>
            <w:tcW w:w="1278"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jc w:val="center"/>
              <w:rPr>
                <w:b/>
                <w:b/>
                <w:sz w:val="20"/>
                <w:szCs w:val="20"/>
              </w:rPr>
            </w:pPr>
            <w:r>
              <w:rPr>
                <w:color w:val="000000"/>
                <w:sz w:val="20"/>
                <w:szCs w:val="20"/>
              </w:rPr>
              <w:t>697,5</w:t>
            </w:r>
          </w:p>
        </w:tc>
        <w:tc>
          <w:tcPr>
            <w:tcW w:w="1136"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jc w:val="center"/>
              <w:rPr>
                <w:b/>
                <w:b/>
                <w:sz w:val="20"/>
                <w:szCs w:val="20"/>
              </w:rPr>
            </w:pPr>
            <w:r>
              <w:rPr>
                <w:color w:val="000000"/>
                <w:sz w:val="20"/>
                <w:szCs w:val="20"/>
              </w:rPr>
              <w:t>4,0</w:t>
            </w:r>
          </w:p>
        </w:tc>
        <w:tc>
          <w:tcPr>
            <w:tcW w:w="1271"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jc w:val="center"/>
              <w:rPr>
                <w:b/>
                <w:b/>
                <w:sz w:val="20"/>
                <w:szCs w:val="20"/>
                <w:lang w:val="en-US"/>
              </w:rPr>
            </w:pPr>
            <w:r>
              <w:rPr>
                <w:color w:val="000000"/>
                <w:sz w:val="20"/>
                <w:szCs w:val="20"/>
              </w:rPr>
              <w:t>4,1</w:t>
            </w:r>
          </w:p>
        </w:tc>
      </w:tr>
      <w:tr>
        <w:trPr>
          <w:trHeight w:val="20" w:hRule="atLeast"/>
        </w:trPr>
        <w:tc>
          <w:tcPr>
            <w:tcW w:w="226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left"/>
              <w:rPr>
                <w:sz w:val="20"/>
                <w:szCs w:val="20"/>
              </w:rPr>
            </w:pPr>
            <w:r>
              <w:rPr>
                <w:color w:val="000000"/>
                <w:sz w:val="20"/>
                <w:szCs w:val="20"/>
              </w:rPr>
              <w:t>п. Караоба</w:t>
            </w:r>
          </w:p>
        </w:tc>
        <w:tc>
          <w:tcPr>
            <w:tcW w:w="1416"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jc w:val="center"/>
              <w:rPr>
                <w:sz w:val="20"/>
                <w:szCs w:val="20"/>
              </w:rPr>
            </w:pPr>
            <w:r>
              <w:rPr>
                <w:color w:val="000000"/>
                <w:sz w:val="20"/>
                <w:szCs w:val="20"/>
              </w:rPr>
              <w:t>130</w:t>
            </w:r>
          </w:p>
        </w:tc>
        <w:tc>
          <w:tcPr>
            <w:tcW w:w="1272"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jc w:val="center"/>
              <w:rPr>
                <w:sz w:val="20"/>
                <w:szCs w:val="20"/>
              </w:rPr>
            </w:pPr>
            <w:r>
              <w:rPr>
                <w:color w:val="000000"/>
                <w:sz w:val="20"/>
                <w:szCs w:val="20"/>
              </w:rPr>
              <w:t>140</w:t>
            </w:r>
          </w:p>
        </w:tc>
        <w:tc>
          <w:tcPr>
            <w:tcW w:w="1283"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jc w:val="center"/>
              <w:rPr>
                <w:sz w:val="20"/>
                <w:szCs w:val="20"/>
              </w:rPr>
            </w:pPr>
            <w:r>
              <w:rPr>
                <w:color w:val="000000"/>
                <w:sz w:val="20"/>
                <w:szCs w:val="20"/>
              </w:rPr>
              <w:t>97,5</w:t>
            </w:r>
          </w:p>
        </w:tc>
        <w:tc>
          <w:tcPr>
            <w:tcW w:w="1278"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jc w:val="center"/>
              <w:rPr>
                <w:sz w:val="20"/>
                <w:szCs w:val="20"/>
              </w:rPr>
            </w:pPr>
            <w:r>
              <w:rPr>
                <w:color w:val="000000"/>
                <w:sz w:val="20"/>
                <w:szCs w:val="20"/>
              </w:rPr>
              <w:t>105,0</w:t>
            </w:r>
          </w:p>
        </w:tc>
        <w:tc>
          <w:tcPr>
            <w:tcW w:w="1136"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jc w:val="center"/>
              <w:rPr>
                <w:sz w:val="20"/>
                <w:szCs w:val="20"/>
              </w:rPr>
            </w:pPr>
            <w:r>
              <w:rPr>
                <w:color w:val="000000"/>
                <w:sz w:val="20"/>
                <w:szCs w:val="20"/>
              </w:rPr>
              <w:t>0,6</w:t>
            </w:r>
          </w:p>
        </w:tc>
        <w:tc>
          <w:tcPr>
            <w:tcW w:w="1271"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jc w:val="center"/>
              <w:rPr>
                <w:sz w:val="20"/>
                <w:szCs w:val="20"/>
              </w:rPr>
            </w:pPr>
            <w:r>
              <w:rPr>
                <w:color w:val="000000"/>
                <w:sz w:val="20"/>
                <w:szCs w:val="20"/>
              </w:rPr>
              <w:t>0,6</w:t>
            </w:r>
          </w:p>
        </w:tc>
      </w:tr>
      <w:tr>
        <w:trPr>
          <w:trHeight w:val="20" w:hRule="atLeast"/>
        </w:trPr>
        <w:tc>
          <w:tcPr>
            <w:tcW w:w="226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left"/>
              <w:rPr>
                <w:sz w:val="20"/>
                <w:szCs w:val="20"/>
              </w:rPr>
            </w:pPr>
            <w:r>
              <w:rPr>
                <w:color w:val="000000"/>
                <w:sz w:val="20"/>
                <w:szCs w:val="20"/>
              </w:rPr>
              <w:t>п. Комсомольский</w:t>
            </w:r>
          </w:p>
        </w:tc>
        <w:tc>
          <w:tcPr>
            <w:tcW w:w="1416"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jc w:val="center"/>
              <w:rPr>
                <w:sz w:val="20"/>
                <w:szCs w:val="20"/>
              </w:rPr>
            </w:pPr>
            <w:r>
              <w:rPr>
                <w:color w:val="000000"/>
                <w:sz w:val="20"/>
                <w:szCs w:val="20"/>
              </w:rPr>
              <w:t>213</w:t>
            </w:r>
          </w:p>
        </w:tc>
        <w:tc>
          <w:tcPr>
            <w:tcW w:w="1272"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jc w:val="center"/>
              <w:rPr>
                <w:sz w:val="20"/>
                <w:szCs w:val="20"/>
              </w:rPr>
            </w:pPr>
            <w:r>
              <w:rPr>
                <w:color w:val="000000"/>
                <w:sz w:val="20"/>
                <w:szCs w:val="20"/>
              </w:rPr>
              <w:t>222</w:t>
            </w:r>
          </w:p>
        </w:tc>
        <w:tc>
          <w:tcPr>
            <w:tcW w:w="1283"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jc w:val="center"/>
              <w:rPr>
                <w:sz w:val="20"/>
                <w:szCs w:val="20"/>
              </w:rPr>
            </w:pPr>
            <w:r>
              <w:rPr>
                <w:color w:val="000000"/>
                <w:sz w:val="20"/>
                <w:szCs w:val="20"/>
              </w:rPr>
              <w:t>159,8</w:t>
            </w:r>
          </w:p>
        </w:tc>
        <w:tc>
          <w:tcPr>
            <w:tcW w:w="1278"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jc w:val="center"/>
              <w:rPr>
                <w:sz w:val="20"/>
                <w:szCs w:val="20"/>
              </w:rPr>
            </w:pPr>
            <w:r>
              <w:rPr>
                <w:color w:val="000000"/>
                <w:sz w:val="20"/>
                <w:szCs w:val="20"/>
              </w:rPr>
              <w:t>166,5</w:t>
            </w:r>
          </w:p>
        </w:tc>
        <w:tc>
          <w:tcPr>
            <w:tcW w:w="1136"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jc w:val="center"/>
              <w:rPr>
                <w:sz w:val="20"/>
                <w:szCs w:val="20"/>
              </w:rPr>
            </w:pPr>
            <w:r>
              <w:rPr>
                <w:color w:val="000000"/>
                <w:sz w:val="20"/>
                <w:szCs w:val="20"/>
              </w:rPr>
              <w:t>0,9</w:t>
            </w:r>
          </w:p>
        </w:tc>
        <w:tc>
          <w:tcPr>
            <w:tcW w:w="1271"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jc w:val="center"/>
              <w:rPr>
                <w:sz w:val="20"/>
                <w:szCs w:val="20"/>
              </w:rPr>
            </w:pPr>
            <w:r>
              <w:rPr>
                <w:color w:val="000000"/>
                <w:sz w:val="20"/>
                <w:szCs w:val="20"/>
              </w:rPr>
              <w:t>1,0</w:t>
            </w:r>
          </w:p>
        </w:tc>
      </w:tr>
      <w:tr>
        <w:trPr>
          <w:trHeight w:val="20" w:hRule="atLeast"/>
        </w:trPr>
        <w:tc>
          <w:tcPr>
            <w:tcW w:w="226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left"/>
              <w:rPr>
                <w:sz w:val="20"/>
                <w:szCs w:val="20"/>
              </w:rPr>
            </w:pPr>
            <w:r>
              <w:rPr>
                <w:color w:val="000000"/>
                <w:sz w:val="20"/>
                <w:szCs w:val="20"/>
              </w:rPr>
              <w:t>п. Красноармейский</w:t>
            </w:r>
          </w:p>
        </w:tc>
        <w:tc>
          <w:tcPr>
            <w:tcW w:w="1416"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jc w:val="center"/>
              <w:rPr>
                <w:sz w:val="20"/>
                <w:szCs w:val="20"/>
              </w:rPr>
            </w:pPr>
            <w:r>
              <w:rPr>
                <w:color w:val="000000"/>
                <w:sz w:val="20"/>
                <w:szCs w:val="20"/>
              </w:rPr>
              <w:t>220</w:t>
            </w:r>
          </w:p>
        </w:tc>
        <w:tc>
          <w:tcPr>
            <w:tcW w:w="1272"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jc w:val="center"/>
              <w:rPr>
                <w:sz w:val="20"/>
                <w:szCs w:val="20"/>
              </w:rPr>
            </w:pPr>
            <w:r>
              <w:rPr>
                <w:color w:val="000000"/>
                <w:sz w:val="20"/>
                <w:szCs w:val="20"/>
              </w:rPr>
              <w:t>228</w:t>
            </w:r>
          </w:p>
        </w:tc>
        <w:tc>
          <w:tcPr>
            <w:tcW w:w="1283"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jc w:val="center"/>
              <w:rPr>
                <w:sz w:val="20"/>
                <w:szCs w:val="20"/>
              </w:rPr>
            </w:pPr>
            <w:r>
              <w:rPr>
                <w:color w:val="000000"/>
                <w:sz w:val="20"/>
                <w:szCs w:val="20"/>
              </w:rPr>
              <w:t>165,0</w:t>
            </w:r>
          </w:p>
        </w:tc>
        <w:tc>
          <w:tcPr>
            <w:tcW w:w="1278"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jc w:val="center"/>
              <w:rPr>
                <w:sz w:val="20"/>
                <w:szCs w:val="20"/>
              </w:rPr>
            </w:pPr>
            <w:r>
              <w:rPr>
                <w:color w:val="000000"/>
                <w:sz w:val="20"/>
                <w:szCs w:val="20"/>
              </w:rPr>
              <w:t>171,0</w:t>
            </w:r>
          </w:p>
        </w:tc>
        <w:tc>
          <w:tcPr>
            <w:tcW w:w="1136"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jc w:val="center"/>
              <w:rPr>
                <w:sz w:val="20"/>
                <w:szCs w:val="20"/>
              </w:rPr>
            </w:pPr>
            <w:r>
              <w:rPr>
                <w:color w:val="000000"/>
                <w:sz w:val="20"/>
                <w:szCs w:val="20"/>
              </w:rPr>
              <w:t>1,0</w:t>
            </w:r>
          </w:p>
        </w:tc>
        <w:tc>
          <w:tcPr>
            <w:tcW w:w="1271"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jc w:val="center"/>
              <w:rPr>
                <w:sz w:val="20"/>
                <w:szCs w:val="20"/>
              </w:rPr>
            </w:pPr>
            <w:r>
              <w:rPr>
                <w:color w:val="000000"/>
                <w:sz w:val="20"/>
                <w:szCs w:val="20"/>
              </w:rPr>
              <w:t>1,0</w:t>
            </w:r>
          </w:p>
        </w:tc>
      </w:tr>
      <w:tr>
        <w:trPr>
          <w:trHeight w:val="20" w:hRule="atLeast"/>
        </w:trPr>
        <w:tc>
          <w:tcPr>
            <w:tcW w:w="2264"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spacing w:lineRule="auto" w:line="240"/>
              <w:jc w:val="left"/>
              <w:rPr>
                <w:sz w:val="20"/>
                <w:szCs w:val="20"/>
              </w:rPr>
            </w:pPr>
            <w:r>
              <w:rPr>
                <w:b/>
                <w:bCs/>
                <w:color w:val="000000"/>
                <w:sz w:val="20"/>
                <w:szCs w:val="20"/>
              </w:rPr>
              <w:t>Итого:</w:t>
            </w:r>
          </w:p>
        </w:tc>
        <w:tc>
          <w:tcPr>
            <w:tcW w:w="1416"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jc w:val="center"/>
              <w:rPr>
                <w:sz w:val="20"/>
                <w:szCs w:val="20"/>
              </w:rPr>
            </w:pPr>
            <w:r>
              <w:rPr>
                <w:b/>
                <w:bCs/>
                <w:color w:val="000000"/>
                <w:sz w:val="20"/>
                <w:szCs w:val="20"/>
              </w:rPr>
              <w:t>1477</w:t>
            </w:r>
          </w:p>
        </w:tc>
        <w:tc>
          <w:tcPr>
            <w:tcW w:w="1272"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jc w:val="center"/>
              <w:rPr>
                <w:sz w:val="20"/>
                <w:szCs w:val="20"/>
              </w:rPr>
            </w:pPr>
            <w:r>
              <w:rPr>
                <w:b/>
                <w:bCs/>
                <w:color w:val="000000"/>
                <w:sz w:val="20"/>
                <w:szCs w:val="20"/>
              </w:rPr>
              <w:t>1520</w:t>
            </w:r>
          </w:p>
        </w:tc>
        <w:tc>
          <w:tcPr>
            <w:tcW w:w="1283"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jc w:val="center"/>
              <w:rPr>
                <w:sz w:val="20"/>
                <w:szCs w:val="20"/>
              </w:rPr>
            </w:pPr>
            <w:r>
              <w:rPr>
                <w:b/>
                <w:bCs/>
                <w:color w:val="000000"/>
                <w:sz w:val="20"/>
                <w:szCs w:val="20"/>
              </w:rPr>
              <w:t>1107,8</w:t>
            </w:r>
          </w:p>
        </w:tc>
        <w:tc>
          <w:tcPr>
            <w:tcW w:w="1278"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jc w:val="center"/>
              <w:rPr>
                <w:sz w:val="20"/>
                <w:szCs w:val="20"/>
              </w:rPr>
            </w:pPr>
            <w:r>
              <w:rPr>
                <w:b/>
                <w:bCs/>
                <w:color w:val="000000"/>
                <w:sz w:val="20"/>
                <w:szCs w:val="20"/>
              </w:rPr>
              <w:t>1140,0</w:t>
            </w:r>
          </w:p>
        </w:tc>
        <w:tc>
          <w:tcPr>
            <w:tcW w:w="1136"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jc w:val="center"/>
              <w:rPr>
                <w:sz w:val="20"/>
                <w:szCs w:val="20"/>
              </w:rPr>
            </w:pPr>
            <w:r>
              <w:rPr>
                <w:b/>
                <w:bCs/>
                <w:color w:val="000000"/>
                <w:sz w:val="20"/>
                <w:szCs w:val="20"/>
              </w:rPr>
              <w:t>6,5</w:t>
            </w:r>
          </w:p>
        </w:tc>
        <w:tc>
          <w:tcPr>
            <w:tcW w:w="1271" w:type="dxa"/>
            <w:tcBorders>
              <w:top w:val="single" w:sz="4" w:space="0" w:color="000000"/>
              <w:bottom w:val="single" w:sz="4" w:space="0" w:color="000000"/>
              <w:right w:val="single" w:sz="4" w:space="0" w:color="000000"/>
            </w:tcBorders>
            <w:shd w:color="auto" w:fill="auto" w:val="clear"/>
            <w:vAlign w:val="bottom"/>
          </w:tcPr>
          <w:p>
            <w:pPr>
              <w:pStyle w:val="Normal"/>
              <w:spacing w:lineRule="auto" w:line="240"/>
              <w:jc w:val="center"/>
              <w:rPr>
                <w:sz w:val="20"/>
                <w:szCs w:val="20"/>
              </w:rPr>
            </w:pPr>
            <w:r>
              <w:rPr>
                <w:b/>
                <w:bCs/>
                <w:color w:val="000000"/>
                <w:sz w:val="20"/>
                <w:szCs w:val="20"/>
              </w:rPr>
              <w:t>6,7</w:t>
            </w:r>
          </w:p>
        </w:tc>
      </w:tr>
    </w:tbl>
    <w:p>
      <w:pPr>
        <w:pStyle w:val="Normal"/>
        <w:keepNext w:val="true"/>
        <w:keepLines/>
        <w:numPr>
          <w:ilvl w:val="0"/>
          <w:numId w:val="0"/>
        </w:numPr>
        <w:tabs>
          <w:tab w:val="clear" w:pos="708"/>
          <w:tab w:val="left" w:pos="142" w:leader="none"/>
        </w:tabs>
        <w:spacing w:lineRule="auto" w:line="276" w:before="120" w:after="200"/>
        <w:jc w:val="left"/>
        <w:outlineLvl w:val="2"/>
        <w:rPr>
          <w:rFonts w:eastAsia="Times New Roman"/>
          <w:b/>
          <w:b/>
          <w:iCs/>
          <w:szCs w:val="28"/>
        </w:rPr>
      </w:pPr>
      <w:r>
        <w:rPr>
          <w:rFonts w:eastAsia="Times New Roman"/>
          <w:b/>
          <w:iCs/>
          <w:szCs w:val="28"/>
        </w:rPr>
      </w:r>
      <w:r>
        <w:br w:type="page"/>
      </w:r>
    </w:p>
    <w:p>
      <w:pPr>
        <w:pStyle w:val="Normal"/>
        <w:keepNext w:val="true"/>
        <w:keepLines/>
        <w:numPr>
          <w:ilvl w:val="0"/>
          <w:numId w:val="0"/>
        </w:numPr>
        <w:tabs>
          <w:tab w:val="clear" w:pos="708"/>
          <w:tab w:val="left" w:pos="142" w:leader="none"/>
        </w:tabs>
        <w:spacing w:lineRule="auto" w:line="276" w:before="120" w:after="200"/>
        <w:jc w:val="left"/>
        <w:outlineLvl w:val="2"/>
        <w:rPr>
          <w:rFonts w:eastAsia="Times New Roman"/>
          <w:b/>
          <w:b/>
          <w:iCs/>
          <w:szCs w:val="28"/>
        </w:rPr>
      </w:pPr>
      <w:bookmarkStart w:id="208" w:name="_Toc182210495"/>
      <w:r>
        <w:rPr>
          <w:rFonts w:eastAsia="Times New Roman"/>
          <w:b/>
          <w:iCs/>
          <w:szCs w:val="28"/>
        </w:rPr>
        <w:t>8.9 Связь</w:t>
      </w:r>
      <w:bookmarkEnd w:id="208"/>
    </w:p>
    <w:p>
      <w:pPr>
        <w:pStyle w:val="Normal"/>
        <w:spacing w:lineRule="auto" w:line="276" w:before="120" w:after="200"/>
        <w:ind w:firstLine="709"/>
        <w:rPr>
          <w:b/>
          <w:b/>
          <w:szCs w:val="28"/>
        </w:rPr>
      </w:pPr>
      <w:r>
        <w:rPr>
          <w:b/>
          <w:szCs w:val="28"/>
        </w:rPr>
        <w:t>Анализ существующего состояния</w:t>
      </w:r>
    </w:p>
    <w:p>
      <w:pPr>
        <w:pStyle w:val="Normal"/>
        <w:tabs>
          <w:tab w:val="clear" w:pos="708"/>
          <w:tab w:val="left" w:pos="142" w:leader="none"/>
        </w:tabs>
        <w:spacing w:lineRule="auto" w:line="276"/>
        <w:ind w:firstLine="709"/>
        <w:rPr>
          <w:rFonts w:eastAsia="Times New Roman"/>
          <w:szCs w:val="28"/>
          <w:lang w:eastAsia="ru-RU"/>
        </w:rPr>
      </w:pPr>
      <w:r>
        <w:rPr>
          <w:rFonts w:eastAsia="Times New Roman"/>
          <w:szCs w:val="28"/>
          <w:lang w:eastAsia="ru-RU"/>
        </w:rPr>
        <w:t xml:space="preserve">В настоящее время на территории </w:t>
      </w:r>
      <w:r>
        <w:rPr/>
        <w:t>Катенинского сельского поселения</w:t>
      </w:r>
      <w:r>
        <w:rPr>
          <w:rFonts w:eastAsia="Times New Roman"/>
          <w:szCs w:val="28"/>
          <w:lang w:eastAsia="ru-RU"/>
        </w:rPr>
        <w:t xml:space="preserve"> востребованными являются следующие услуги связи: фиксированная телефонная связь, сотовая связь, «Internet» (телематические услуги связи), телевизионное вещание.</w:t>
      </w:r>
    </w:p>
    <w:p>
      <w:pPr>
        <w:pStyle w:val="Normal"/>
        <w:tabs>
          <w:tab w:val="clear" w:pos="708"/>
          <w:tab w:val="left" w:pos="142" w:leader="none"/>
        </w:tabs>
        <w:spacing w:lineRule="auto" w:line="276"/>
        <w:ind w:firstLine="709"/>
        <w:rPr>
          <w:szCs w:val="28"/>
        </w:rPr>
      </w:pPr>
      <w:r>
        <w:rPr>
          <w:rFonts w:eastAsia="Times New Roman"/>
          <w:szCs w:val="28"/>
          <w:lang w:eastAsia="ru-RU"/>
        </w:rPr>
        <w:t xml:space="preserve">На территории </w:t>
      </w:r>
      <w:r>
        <w:rPr/>
        <w:t>сельского поселения</w:t>
      </w:r>
      <w:r>
        <w:rPr>
          <w:rFonts w:eastAsia="Times New Roman"/>
          <w:szCs w:val="28"/>
          <w:lang w:eastAsia="ru-RU"/>
        </w:rPr>
        <w:t xml:space="preserve"> </w:t>
      </w:r>
      <w:r>
        <w:rPr>
          <w:szCs w:val="28"/>
        </w:rPr>
        <w:t>основными операторами связи являются ПАО «Вымпелком», ПАО «МТС», ПАО «Ростелеком», ПАО «Мегафон».</w:t>
      </w:r>
      <w:r>
        <w:rPr>
          <w:rFonts w:eastAsia="Times New Roman"/>
          <w:szCs w:val="28"/>
          <w:lang w:eastAsia="ru-RU"/>
        </w:rPr>
        <w:t xml:space="preserve"> Эти же операторы оказывают услуги выхода в сеть «Internet» и услуги передачи данных. Услуги телефонной связи оказываются посредством автоматических телефонных станций. Мобильная связь осуществляется с применением вышек сотовой связи.</w:t>
      </w:r>
      <w:r>
        <w:rPr>
          <w:szCs w:val="28"/>
        </w:rPr>
        <w:t xml:space="preserve"> Услуги почтовой связи оказываются АО «Почта России» в количестве 1 штуки.</w:t>
      </w:r>
    </w:p>
    <w:p>
      <w:pPr>
        <w:pStyle w:val="Normal"/>
        <w:tabs>
          <w:tab w:val="clear" w:pos="708"/>
          <w:tab w:val="left" w:pos="142" w:leader="none"/>
        </w:tabs>
        <w:spacing w:lineRule="auto" w:line="276"/>
        <w:ind w:firstLine="709"/>
        <w:rPr>
          <w:szCs w:val="28"/>
        </w:rPr>
      </w:pPr>
      <w:r>
        <w:rPr>
          <w:szCs w:val="28"/>
        </w:rPr>
        <w:t xml:space="preserve">На территории </w:t>
      </w:r>
      <w:r>
        <w:rPr/>
        <w:t>сельского поселения</w:t>
      </w:r>
      <w:r>
        <w:rPr>
          <w:rFonts w:eastAsia="Times New Roman"/>
          <w:szCs w:val="28"/>
          <w:lang w:eastAsia="ru-RU"/>
        </w:rPr>
        <w:t xml:space="preserve"> </w:t>
      </w:r>
      <w:r>
        <w:rPr>
          <w:szCs w:val="28"/>
        </w:rPr>
        <w:t>проходят волоконно-оптические линии связи суммарной протяженностью 39,44 км</w:t>
      </w:r>
    </w:p>
    <w:p>
      <w:pPr>
        <w:pStyle w:val="Normal"/>
        <w:spacing w:lineRule="auto" w:line="276"/>
        <w:ind w:firstLine="709"/>
        <w:rPr>
          <w:b/>
          <w:b/>
          <w:szCs w:val="28"/>
        </w:rPr>
      </w:pPr>
      <w:r>
        <w:rPr>
          <w:b/>
          <w:szCs w:val="28"/>
        </w:rPr>
        <w:t>Направления развития</w:t>
      </w:r>
    </w:p>
    <w:p>
      <w:pPr>
        <w:sectPr>
          <w:headerReference w:type="default" r:id="rId125"/>
          <w:footerReference w:type="default" r:id="rId126"/>
          <w:type w:val="nextPage"/>
          <w:pgSz w:w="11906" w:h="16838"/>
          <w:pgMar w:left="1418" w:right="567" w:header="567" w:top="1134" w:footer="567" w:bottom="1134" w:gutter="0"/>
          <w:pgNumType w:fmt="decimal"/>
          <w:formProt w:val="false"/>
          <w:textDirection w:val="lrTb"/>
          <w:docGrid w:type="default" w:linePitch="360" w:charSpace="0"/>
        </w:sectPr>
        <w:pStyle w:val="Normal"/>
        <w:tabs>
          <w:tab w:val="clear" w:pos="708"/>
          <w:tab w:val="left" w:pos="142" w:leader="none"/>
        </w:tabs>
        <w:spacing w:lineRule="auto" w:line="276"/>
        <w:ind w:firstLine="709"/>
        <w:rPr>
          <w:b/>
          <w:b/>
          <w:sz w:val="28"/>
          <w:szCs w:val="28"/>
        </w:rPr>
      </w:pPr>
      <w:r>
        <w:rPr>
          <w:szCs w:val="28"/>
        </w:rPr>
        <w:t xml:space="preserve">На основании ранее разработанной градостроительной документации выявлено, что сети связи, расположенные на территории </w:t>
      </w:r>
      <w:r>
        <w:rPr/>
        <w:t>сельского поселения</w:t>
      </w:r>
      <w:r>
        <w:rPr>
          <w:szCs w:val="28"/>
        </w:rPr>
        <w:t>, находятся в удовлетворительном состоянии. Дополнительных мероприятий не требуется.</w:t>
      </w:r>
    </w:p>
    <w:p>
      <w:pPr>
        <w:pStyle w:val="0212164"/>
        <w:rPr>
          <w:szCs w:val="24"/>
        </w:rPr>
      </w:pPr>
      <w:bookmarkStart w:id="209" w:name="_Toc47098755"/>
      <w:bookmarkStart w:id="210" w:name="_Toc182210496"/>
      <w:r>
        <w:rPr/>
        <w:t>ГЛАВА 9. ИНЖЕНЕРНАЯ ПОДГОТОВКА ТЕРРИТОРИИ. БЛАГОУСТРОЙСТВО ТЕРРИТОРИИ</w:t>
      </w:r>
      <w:bookmarkEnd w:id="209"/>
      <w:bookmarkEnd w:id="210"/>
    </w:p>
    <w:p>
      <w:pPr>
        <w:pStyle w:val="0212161"/>
        <w:numPr>
          <w:ilvl w:val="0"/>
          <w:numId w:val="0"/>
        </w:numPr>
        <w:outlineLvl w:val="2"/>
        <w:rPr>
          <w:szCs w:val="24"/>
        </w:rPr>
      </w:pPr>
      <w:bookmarkStart w:id="211" w:name="_Toc182210497"/>
      <w:bookmarkStart w:id="212" w:name="_Toc47098756"/>
      <w:bookmarkStart w:id="213" w:name="_Toc474218807"/>
      <w:bookmarkStart w:id="214" w:name="_Toc461448746"/>
      <w:r>
        <w:rPr/>
        <w:t>9.1 Анализ строительных ограничений</w:t>
      </w:r>
      <w:bookmarkEnd w:id="211"/>
      <w:bookmarkEnd w:id="212"/>
      <w:bookmarkEnd w:id="213"/>
      <w:bookmarkEnd w:id="214"/>
    </w:p>
    <w:p>
      <w:pPr>
        <w:pStyle w:val="Normal"/>
        <w:spacing w:lineRule="auto" w:line="276"/>
        <w:ind w:firstLine="709"/>
        <w:rPr>
          <w:szCs w:val="24"/>
        </w:rPr>
      </w:pPr>
      <w:r>
        <w:rPr>
          <w:szCs w:val="24"/>
        </w:rPr>
        <w:t xml:space="preserve">На территории поселения отмечен целый ряд отрицательных природных процессов геологического, гидрологического и метеорологического характера: </w:t>
      </w:r>
    </w:p>
    <w:p>
      <w:pPr>
        <w:pStyle w:val="ListParagraph"/>
        <w:numPr>
          <w:ilvl w:val="0"/>
          <w:numId w:val="25"/>
        </w:numPr>
        <w:spacing w:before="0" w:after="0"/>
        <w:ind w:left="0" w:firstLine="425"/>
        <w:contextualSpacing/>
        <w:jc w:val="both"/>
        <w:rPr>
          <w:rFonts w:ascii="Times New Roman" w:hAnsi="Times New Roman"/>
          <w:sz w:val="24"/>
          <w:szCs w:val="24"/>
        </w:rPr>
      </w:pPr>
      <w:r>
        <w:rPr>
          <w:sz w:val="24"/>
          <w:szCs w:val="24"/>
        </w:rPr>
        <w:t>подтопление</w:t>
      </w:r>
      <w:r>
        <w:rPr>
          <w:sz w:val="24"/>
          <w:szCs w:val="24"/>
          <w:lang w:val="en-US"/>
        </w:rPr>
        <w:t>;</w:t>
      </w:r>
    </w:p>
    <w:p>
      <w:pPr>
        <w:pStyle w:val="ListParagraph"/>
        <w:numPr>
          <w:ilvl w:val="0"/>
          <w:numId w:val="25"/>
        </w:numPr>
        <w:spacing w:before="0" w:after="0"/>
        <w:ind w:left="0" w:firstLine="425"/>
        <w:contextualSpacing/>
        <w:jc w:val="both"/>
        <w:rPr>
          <w:rFonts w:ascii="Times New Roman" w:hAnsi="Times New Roman"/>
          <w:sz w:val="24"/>
          <w:szCs w:val="24"/>
        </w:rPr>
      </w:pPr>
      <w:r>
        <w:rPr>
          <w:sz w:val="24"/>
          <w:szCs w:val="24"/>
        </w:rPr>
        <w:t>русловая эрозия;</w:t>
      </w:r>
    </w:p>
    <w:p>
      <w:pPr>
        <w:pStyle w:val="ListParagraph"/>
        <w:numPr>
          <w:ilvl w:val="0"/>
          <w:numId w:val="25"/>
        </w:numPr>
        <w:spacing w:before="0" w:after="0"/>
        <w:ind w:left="0" w:firstLine="425"/>
        <w:contextualSpacing/>
        <w:jc w:val="both"/>
        <w:rPr>
          <w:rFonts w:ascii="Times New Roman" w:hAnsi="Times New Roman"/>
          <w:sz w:val="24"/>
          <w:szCs w:val="24"/>
        </w:rPr>
      </w:pPr>
      <w:r>
        <w:rPr>
          <w:sz w:val="24"/>
          <w:szCs w:val="24"/>
        </w:rPr>
        <w:t>сильный ветер;</w:t>
      </w:r>
    </w:p>
    <w:p>
      <w:pPr>
        <w:pStyle w:val="ListParagraph"/>
        <w:numPr>
          <w:ilvl w:val="0"/>
          <w:numId w:val="25"/>
        </w:numPr>
        <w:spacing w:before="0" w:after="0"/>
        <w:ind w:left="0" w:firstLine="425"/>
        <w:contextualSpacing/>
        <w:jc w:val="both"/>
        <w:rPr>
          <w:rFonts w:ascii="Times New Roman" w:hAnsi="Times New Roman"/>
          <w:sz w:val="24"/>
          <w:szCs w:val="24"/>
        </w:rPr>
      </w:pPr>
      <w:r>
        <w:rPr>
          <w:sz w:val="24"/>
          <w:szCs w:val="24"/>
        </w:rPr>
        <w:t>сильные осадки: ливень, сильный снегопад, сильная метель;</w:t>
      </w:r>
    </w:p>
    <w:p>
      <w:pPr>
        <w:pStyle w:val="ListParagraph"/>
        <w:numPr>
          <w:ilvl w:val="0"/>
          <w:numId w:val="25"/>
        </w:numPr>
        <w:spacing w:before="0" w:after="0"/>
        <w:ind w:left="0" w:firstLine="425"/>
        <w:contextualSpacing/>
        <w:jc w:val="both"/>
        <w:rPr>
          <w:rFonts w:ascii="Times New Roman" w:hAnsi="Times New Roman"/>
          <w:sz w:val="24"/>
          <w:szCs w:val="24"/>
        </w:rPr>
      </w:pPr>
      <w:r>
        <w:rPr>
          <w:sz w:val="24"/>
          <w:szCs w:val="24"/>
        </w:rPr>
        <w:t>гололед;</w:t>
      </w:r>
    </w:p>
    <w:p>
      <w:pPr>
        <w:pStyle w:val="ListParagraph"/>
        <w:numPr>
          <w:ilvl w:val="0"/>
          <w:numId w:val="25"/>
        </w:numPr>
        <w:spacing w:before="0" w:after="0"/>
        <w:ind w:left="0" w:firstLine="425"/>
        <w:contextualSpacing/>
        <w:jc w:val="both"/>
        <w:rPr>
          <w:rFonts w:ascii="Times New Roman" w:hAnsi="Times New Roman"/>
          <w:sz w:val="24"/>
          <w:szCs w:val="24"/>
        </w:rPr>
      </w:pPr>
      <w:r>
        <w:rPr>
          <w:sz w:val="24"/>
          <w:szCs w:val="24"/>
        </w:rPr>
        <w:t>заморозок;</w:t>
      </w:r>
    </w:p>
    <w:p>
      <w:pPr>
        <w:pStyle w:val="ListParagraph"/>
        <w:numPr>
          <w:ilvl w:val="0"/>
          <w:numId w:val="25"/>
        </w:numPr>
        <w:spacing w:before="0" w:after="0"/>
        <w:ind w:left="0" w:firstLine="425"/>
        <w:contextualSpacing/>
        <w:jc w:val="both"/>
        <w:rPr>
          <w:rFonts w:ascii="Times New Roman" w:hAnsi="Times New Roman"/>
          <w:sz w:val="24"/>
          <w:szCs w:val="24"/>
        </w:rPr>
      </w:pPr>
      <w:r>
        <w:rPr>
          <w:sz w:val="24"/>
          <w:szCs w:val="24"/>
        </w:rPr>
        <w:t>пожар лесной, ландшафтный.</w:t>
      </w:r>
    </w:p>
    <w:p>
      <w:pPr>
        <w:pStyle w:val="Normal"/>
        <w:spacing w:lineRule="auto" w:line="276"/>
        <w:ind w:firstLine="709"/>
        <w:rPr>
          <w:szCs w:val="24"/>
        </w:rPr>
      </w:pPr>
      <w:r>
        <w:rPr>
          <w:szCs w:val="24"/>
        </w:rPr>
        <w:t>Территории, подверженные проявлениям опасных природных процессов, являются ограниченно пригодными для градостроительной деятельности, поскольку требуют обязательного проведения комплексных инженерных, инженерно-геологических и инженерно-экологических изысканий, а также сложных мероприятий по инженерной защите и подготовке территории.</w:t>
      </w:r>
    </w:p>
    <w:p>
      <w:pPr>
        <w:pStyle w:val="0212161"/>
        <w:numPr>
          <w:ilvl w:val="0"/>
          <w:numId w:val="0"/>
        </w:numPr>
        <w:outlineLvl w:val="2"/>
        <w:rPr>
          <w:szCs w:val="24"/>
        </w:rPr>
      </w:pPr>
      <w:bookmarkStart w:id="215" w:name="_Toc182210498"/>
      <w:bookmarkStart w:id="216" w:name="_Toc47098757"/>
      <w:r>
        <w:rPr/>
        <w:t>9.2 Инженерная подготовка территории</w:t>
      </w:r>
      <w:bookmarkEnd w:id="215"/>
      <w:bookmarkEnd w:id="216"/>
    </w:p>
    <w:p>
      <w:pPr>
        <w:pStyle w:val="Normal"/>
        <w:spacing w:lineRule="auto" w:line="276"/>
        <w:ind w:firstLine="709"/>
        <w:rPr>
          <w:szCs w:val="24"/>
        </w:rPr>
      </w:pPr>
      <w:bookmarkStart w:id="217" w:name="_Toc47098758"/>
      <w:r>
        <w:rPr>
          <w:szCs w:val="24"/>
        </w:rPr>
        <w:t xml:space="preserve">Подтопление территорий приводит к подтоплению оснований фундаментов, разрушает фундаменты и стены домов, вызывает значительные строительные и эксплуатационные затраты из-за разрушения подземных сетей и сооружений. </w:t>
      </w:r>
    </w:p>
    <w:p>
      <w:pPr>
        <w:pStyle w:val="Normal"/>
        <w:spacing w:lineRule="auto" w:line="276"/>
        <w:ind w:firstLine="709"/>
        <w:rPr>
          <w:szCs w:val="24"/>
        </w:rPr>
      </w:pPr>
      <w:r>
        <w:rPr>
          <w:szCs w:val="24"/>
        </w:rPr>
        <w:t xml:space="preserve">В соответствии с СП 104.13330.2016 «Инженерная защита территории от затопления и подтопления» понижение уровня грунтовых вод в зоне капитальной застройки предусматривается путем устройства закрытых дренажей, норма осушения 2 м. На территориях общего пользования допускается открытая осушительная сеть, норма осушения — не менее 1 м. </w:t>
      </w:r>
    </w:p>
    <w:p>
      <w:pPr>
        <w:pStyle w:val="Normal"/>
        <w:spacing w:lineRule="auto" w:line="276"/>
        <w:ind w:firstLine="709"/>
        <w:rPr>
          <w:szCs w:val="24"/>
        </w:rPr>
      </w:pPr>
      <w:r>
        <w:rPr>
          <w:szCs w:val="24"/>
        </w:rPr>
        <w:t xml:space="preserve">В целях борьбы с подтоплением грунтовыми водами необходимо по возможности максимальное сохранение элементов естественного ландшафта, в том числе сохранение ручьев, тальвегов, логов, являющихся для всей территории естественными дренами, по которым осуществляется водоотвод поверхностных и грунтовых вод со всего бассейна водосбора. </w:t>
      </w:r>
    </w:p>
    <w:p>
      <w:pPr>
        <w:pStyle w:val="Normal"/>
        <w:spacing w:lineRule="auto" w:line="276"/>
        <w:ind w:firstLine="709"/>
        <w:rPr>
          <w:szCs w:val="24"/>
        </w:rPr>
      </w:pPr>
      <w:r>
        <w:rPr>
          <w:szCs w:val="24"/>
        </w:rPr>
        <w:t xml:space="preserve">В целях понижения уровня грунтовых вод предлагается: </w:t>
      </w:r>
    </w:p>
    <w:p>
      <w:pPr>
        <w:pStyle w:val="ListParagraph"/>
        <w:numPr>
          <w:ilvl w:val="0"/>
          <w:numId w:val="26"/>
        </w:numPr>
        <w:spacing w:before="0" w:after="0"/>
        <w:ind w:left="0" w:firstLine="425"/>
        <w:contextualSpacing/>
        <w:jc w:val="both"/>
        <w:rPr>
          <w:rFonts w:ascii="Times New Roman" w:hAnsi="Times New Roman"/>
          <w:sz w:val="24"/>
          <w:szCs w:val="24"/>
        </w:rPr>
      </w:pPr>
      <w:r>
        <w:rPr>
          <w:sz w:val="24"/>
          <w:szCs w:val="24"/>
        </w:rPr>
        <w:t xml:space="preserve">организация поверхностного стока путем устройства разветвленной сети ливнесточных коллекторов закрытого или открытого типа в комплексе с вертикальной планировкой территории; </w:t>
      </w:r>
    </w:p>
    <w:p>
      <w:pPr>
        <w:pStyle w:val="ListParagraph"/>
        <w:numPr>
          <w:ilvl w:val="0"/>
          <w:numId w:val="26"/>
        </w:numPr>
        <w:spacing w:before="0" w:after="0"/>
        <w:ind w:left="0" w:firstLine="425"/>
        <w:contextualSpacing/>
        <w:jc w:val="both"/>
        <w:rPr>
          <w:rFonts w:ascii="Times New Roman" w:hAnsi="Times New Roman"/>
          <w:sz w:val="24"/>
          <w:szCs w:val="24"/>
        </w:rPr>
      </w:pPr>
      <w:r>
        <w:rPr>
          <w:sz w:val="24"/>
          <w:szCs w:val="24"/>
        </w:rPr>
        <w:t xml:space="preserve">качественное выполнение и реконструкция водонесущих инженерных коммуникаций и сооружений, возможно с сопутствующими дренажами; </w:t>
      </w:r>
    </w:p>
    <w:p>
      <w:pPr>
        <w:pStyle w:val="ListParagraph"/>
        <w:numPr>
          <w:ilvl w:val="0"/>
          <w:numId w:val="26"/>
        </w:numPr>
        <w:spacing w:before="0" w:after="0"/>
        <w:ind w:left="0" w:firstLine="425"/>
        <w:contextualSpacing/>
        <w:jc w:val="both"/>
        <w:rPr>
          <w:rFonts w:ascii="Times New Roman" w:hAnsi="Times New Roman"/>
          <w:sz w:val="24"/>
          <w:szCs w:val="24"/>
        </w:rPr>
      </w:pPr>
      <w:r>
        <w:rPr>
          <w:sz w:val="24"/>
          <w:szCs w:val="24"/>
        </w:rPr>
        <w:t xml:space="preserve">исключение влияния водоемов путем устройства перехватывающих дренажей или противофильтрационных завес и экранов; </w:t>
      </w:r>
    </w:p>
    <w:p>
      <w:pPr>
        <w:pStyle w:val="ListParagraph"/>
        <w:numPr>
          <w:ilvl w:val="0"/>
          <w:numId w:val="26"/>
        </w:numPr>
        <w:spacing w:before="0" w:after="0"/>
        <w:ind w:left="0" w:firstLine="425"/>
        <w:contextualSpacing/>
        <w:jc w:val="both"/>
        <w:rPr>
          <w:rFonts w:ascii="Times New Roman" w:hAnsi="Times New Roman"/>
          <w:sz w:val="24"/>
          <w:szCs w:val="24"/>
        </w:rPr>
      </w:pPr>
      <w:r>
        <w:rPr>
          <w:sz w:val="24"/>
          <w:szCs w:val="24"/>
        </w:rPr>
        <w:t xml:space="preserve">устройство защитной гидроизоляции или локальных дренажей для подземных помещений; </w:t>
      </w:r>
    </w:p>
    <w:p>
      <w:pPr>
        <w:pStyle w:val="ListParagraph"/>
        <w:numPr>
          <w:ilvl w:val="0"/>
          <w:numId w:val="26"/>
        </w:numPr>
        <w:spacing w:before="0" w:after="0"/>
        <w:ind w:left="0" w:firstLine="425"/>
        <w:contextualSpacing/>
        <w:jc w:val="both"/>
        <w:rPr>
          <w:rFonts w:ascii="Times New Roman" w:hAnsi="Times New Roman"/>
          <w:sz w:val="24"/>
          <w:szCs w:val="24"/>
        </w:rPr>
      </w:pPr>
      <w:r>
        <w:rPr>
          <w:sz w:val="24"/>
          <w:szCs w:val="24"/>
        </w:rPr>
        <w:t xml:space="preserve">строительство горизонтальных или вертикальных дренажных коллекторов, часто с принудительной откачкой собранного подземного стока. </w:t>
      </w:r>
    </w:p>
    <w:p>
      <w:pPr>
        <w:pStyle w:val="Normal"/>
        <w:spacing w:lineRule="auto" w:line="276"/>
        <w:ind w:firstLine="709"/>
        <w:rPr>
          <w:b/>
          <w:b/>
          <w:szCs w:val="24"/>
        </w:rPr>
      </w:pPr>
      <w:r>
        <w:rPr>
          <w:b/>
          <w:szCs w:val="24"/>
        </w:rPr>
        <w:t>Противоэрозионные мероприятия</w:t>
      </w:r>
    </w:p>
    <w:p>
      <w:pPr>
        <w:pStyle w:val="Normal"/>
        <w:spacing w:lineRule="auto" w:line="276"/>
        <w:ind w:firstLine="709"/>
        <w:rPr>
          <w:szCs w:val="24"/>
        </w:rPr>
      </w:pPr>
      <w:r>
        <w:rPr>
          <w:szCs w:val="24"/>
        </w:rPr>
        <w:t>Для борьбы с речной эрозией необходимо проведение мероприятий по берегоукреплению на разрушенных эрозией склонах, если этот процесс угрожает жилой, общественной застройке, промышленной или складской зонам, автомобильной или железной дорогам, проходящим вдоль эрозионных склонов.</w:t>
      </w:r>
    </w:p>
    <w:p>
      <w:pPr>
        <w:pStyle w:val="Normal"/>
        <w:spacing w:lineRule="auto" w:line="276"/>
        <w:ind w:firstLine="709"/>
        <w:rPr>
          <w:szCs w:val="24"/>
        </w:rPr>
      </w:pPr>
      <w:r>
        <w:rPr>
          <w:szCs w:val="24"/>
        </w:rPr>
        <w:t xml:space="preserve">Кроме того, эрозия является одним из самых опасных негативных процессов, вызывающих деградацию и уничтожение почвенного покрова и наносящих невосполнимый ущерб земельным ресурсам. В комплексе мер по борьбе с эрозией почв первостепенное место отводится организационно-хозяйственным, агротехническим, гидротехническим и лесомелиоративным мероприятиям. </w:t>
      </w:r>
    </w:p>
    <w:p>
      <w:pPr>
        <w:pStyle w:val="Normal"/>
        <w:spacing w:lineRule="auto" w:line="276"/>
        <w:ind w:firstLine="709"/>
        <w:rPr>
          <w:szCs w:val="24"/>
        </w:rPr>
      </w:pPr>
      <w:r>
        <w:rPr>
          <w:szCs w:val="24"/>
        </w:rPr>
        <w:t>Проведение комплекса указанных мероприятий позволит предотвратить дальнейшее развитие эрозионных процессов.</w:t>
      </w:r>
    </w:p>
    <w:p>
      <w:pPr>
        <w:pStyle w:val="Normal"/>
        <w:spacing w:lineRule="auto" w:line="276"/>
        <w:ind w:firstLine="709"/>
        <w:rPr>
          <w:szCs w:val="24"/>
        </w:rPr>
      </w:pPr>
      <w:r>
        <w:rPr>
          <w:szCs w:val="24"/>
        </w:rPr>
        <w:t xml:space="preserve">Выбор варианта мероприятий и конструкции дренажа на той или иной площадке следует определить после проведения соответствующих гидрогеологических изысканий на основании детальных технико-экономических расчетов. </w:t>
      </w:r>
    </w:p>
    <w:p>
      <w:pPr>
        <w:pStyle w:val="Normal"/>
        <w:spacing w:lineRule="auto" w:line="276"/>
        <w:ind w:firstLine="709"/>
        <w:rPr>
          <w:szCs w:val="24"/>
        </w:rPr>
      </w:pPr>
      <w:r>
        <w:rPr>
          <w:szCs w:val="24"/>
        </w:rPr>
        <w:t xml:space="preserve">Для ликвидации подтопления, вызванного фильтрацией воды из различных водоемов, предлагается устройство противофильтрационного экрана или завесы. </w:t>
      </w:r>
    </w:p>
    <w:p>
      <w:pPr>
        <w:pStyle w:val="Normal"/>
        <w:spacing w:lineRule="auto" w:line="276"/>
        <w:ind w:firstLine="709"/>
        <w:rPr>
          <w:szCs w:val="24"/>
        </w:rPr>
      </w:pPr>
      <w:r>
        <w:rPr>
          <w:szCs w:val="24"/>
        </w:rPr>
        <w:t xml:space="preserve">Конструкция противофильтрационной завесы (цементационная или дренажная в виде открытого канала, закрытой трубчатой дрены, ряда вертикальных скважин или комбинированного типа) должна быть принята после детальных изысканий. Дренажную воду рекомендуется использовать для технических нужд промпредприятий. </w:t>
      </w:r>
    </w:p>
    <w:p>
      <w:pPr>
        <w:pStyle w:val="Normal"/>
        <w:spacing w:lineRule="auto" w:line="276"/>
        <w:ind w:firstLine="709"/>
        <w:rPr>
          <w:szCs w:val="24"/>
        </w:rPr>
      </w:pPr>
      <w:r>
        <w:rPr>
          <w:szCs w:val="24"/>
        </w:rPr>
        <w:t>Сброс дренажных вод предусматривается в дождевую канализацию с дальнейшей принудительной откачкой стока насосными станциями или близлежащие водотоки.</w:t>
      </w:r>
    </w:p>
    <w:p>
      <w:pPr>
        <w:pStyle w:val="Normal"/>
        <w:spacing w:lineRule="auto" w:line="276"/>
        <w:rPr>
          <w:szCs w:val="24"/>
        </w:rPr>
      </w:pPr>
      <w:r>
        <w:rPr>
          <w:szCs w:val="24"/>
        </w:rPr>
        <w:t>При возведении новых зданий с заглубленными фундаментами необходимо строительство локальных пристенных или кольцевых дренажей вокруг отдельных зданий или группы зданий с целью отвода дренажных вод в магистральный дренажный коллектор или ливневую канализацию.</w:t>
      </w:r>
    </w:p>
    <w:p>
      <w:pPr>
        <w:pStyle w:val="Normal"/>
        <w:spacing w:lineRule="auto" w:line="276"/>
        <w:ind w:firstLine="709"/>
        <w:jc w:val="left"/>
        <w:rPr>
          <w:b/>
          <w:b/>
          <w:szCs w:val="24"/>
        </w:rPr>
      </w:pPr>
      <w:r>
        <w:rPr>
          <w:b/>
          <w:szCs w:val="24"/>
        </w:rPr>
        <w:t>Осушение заболоченных территорий, понижение уровня грунтовых вод</w:t>
      </w:r>
    </w:p>
    <w:p>
      <w:pPr>
        <w:pStyle w:val="Normal"/>
        <w:spacing w:lineRule="auto" w:line="276"/>
        <w:ind w:firstLine="709"/>
        <w:rPr>
          <w:szCs w:val="24"/>
        </w:rPr>
      </w:pPr>
      <w:r>
        <w:rPr>
          <w:szCs w:val="24"/>
        </w:rPr>
        <w:t xml:space="preserve">Понижение уровня грунтовых вод на территории предусматривается открытыми канавами, выполняющими также функцию дождевых коллекторов. </w:t>
      </w:r>
    </w:p>
    <w:p>
      <w:pPr>
        <w:pStyle w:val="Normal"/>
        <w:spacing w:lineRule="auto" w:line="276"/>
        <w:ind w:firstLine="709"/>
        <w:rPr>
          <w:szCs w:val="24"/>
        </w:rPr>
      </w:pPr>
      <w:r>
        <w:rPr>
          <w:szCs w:val="24"/>
        </w:rPr>
        <w:t>Кроме того, предлагаются следующие мероприятия:</w:t>
      </w:r>
    </w:p>
    <w:p>
      <w:pPr>
        <w:pStyle w:val="ListParagraph"/>
        <w:numPr>
          <w:ilvl w:val="0"/>
          <w:numId w:val="26"/>
        </w:numPr>
        <w:spacing w:before="0" w:after="0"/>
        <w:ind w:left="0" w:firstLine="425"/>
        <w:contextualSpacing/>
        <w:jc w:val="both"/>
        <w:rPr>
          <w:rFonts w:ascii="Times New Roman" w:hAnsi="Times New Roman"/>
          <w:sz w:val="24"/>
          <w:szCs w:val="24"/>
        </w:rPr>
      </w:pPr>
      <w:r>
        <w:rPr>
          <w:sz w:val="24"/>
          <w:szCs w:val="24"/>
        </w:rPr>
        <w:t>повышение планировочных отметок на пониженных территориях;</w:t>
      </w:r>
    </w:p>
    <w:p>
      <w:pPr>
        <w:pStyle w:val="ListParagraph"/>
        <w:numPr>
          <w:ilvl w:val="0"/>
          <w:numId w:val="26"/>
        </w:numPr>
        <w:spacing w:before="0" w:after="0"/>
        <w:ind w:left="0" w:firstLine="425"/>
        <w:contextualSpacing/>
        <w:jc w:val="both"/>
        <w:rPr>
          <w:rFonts w:ascii="Times New Roman" w:hAnsi="Times New Roman"/>
          <w:sz w:val="24"/>
          <w:szCs w:val="24"/>
        </w:rPr>
      </w:pPr>
      <w:r>
        <w:rPr>
          <w:sz w:val="24"/>
          <w:szCs w:val="24"/>
        </w:rPr>
        <w:t>устройство защитной гидроизоляции заглубленных сооружений, конструкций, подземных коммуникаций;</w:t>
      </w:r>
    </w:p>
    <w:p>
      <w:pPr>
        <w:pStyle w:val="ListParagraph"/>
        <w:numPr>
          <w:ilvl w:val="0"/>
          <w:numId w:val="26"/>
        </w:numPr>
        <w:spacing w:before="0" w:after="0"/>
        <w:ind w:left="0" w:firstLine="425"/>
        <w:contextualSpacing/>
        <w:jc w:val="both"/>
        <w:rPr>
          <w:rFonts w:ascii="Times New Roman" w:hAnsi="Times New Roman"/>
          <w:sz w:val="24"/>
          <w:szCs w:val="24"/>
        </w:rPr>
      </w:pPr>
      <w:r>
        <w:rPr>
          <w:sz w:val="24"/>
          <w:szCs w:val="24"/>
        </w:rPr>
        <w:t>устройство отмосток вокруг зданий;</w:t>
      </w:r>
    </w:p>
    <w:p>
      <w:pPr>
        <w:pStyle w:val="Normal"/>
        <w:spacing w:lineRule="auto" w:line="276"/>
        <w:rPr>
          <w:szCs w:val="24"/>
        </w:rPr>
      </w:pPr>
      <w:r>
        <w:rPr>
          <w:szCs w:val="24"/>
        </w:rPr>
        <w:t>сооружение пристенных дренажей для зданий и сооружений, и сопутствующих дренажей вдоль водонесущих коммуникаций;</w:t>
      </w:r>
    </w:p>
    <w:p>
      <w:pPr>
        <w:pStyle w:val="ListParagraph"/>
        <w:numPr>
          <w:ilvl w:val="0"/>
          <w:numId w:val="26"/>
        </w:numPr>
        <w:spacing w:before="0" w:after="0"/>
        <w:ind w:left="0" w:firstLine="425"/>
        <w:contextualSpacing/>
        <w:jc w:val="both"/>
        <w:rPr>
          <w:rFonts w:ascii="Times New Roman" w:hAnsi="Times New Roman"/>
          <w:sz w:val="24"/>
          <w:szCs w:val="24"/>
        </w:rPr>
      </w:pPr>
      <w:r>
        <w:rPr>
          <w:sz w:val="24"/>
          <w:szCs w:val="24"/>
        </w:rPr>
        <w:t>тщательное выполнение работ по строительству водонесущих коммуникаций и правильной их эксплуатации с целью предотвращения постоянных и аварийных утечек.</w:t>
      </w:r>
    </w:p>
    <w:p>
      <w:pPr>
        <w:pStyle w:val="0212161"/>
        <w:numPr>
          <w:ilvl w:val="0"/>
          <w:numId w:val="0"/>
        </w:numPr>
        <w:outlineLvl w:val="2"/>
        <w:rPr>
          <w:szCs w:val="24"/>
        </w:rPr>
      </w:pPr>
      <w:bookmarkStart w:id="218" w:name="_Toc47098758"/>
      <w:bookmarkStart w:id="219" w:name="_Toc182210499"/>
      <w:r>
        <w:rPr/>
        <w:t>9.3 Благоустройство территории</w:t>
      </w:r>
      <w:bookmarkEnd w:id="218"/>
      <w:bookmarkEnd w:id="219"/>
    </w:p>
    <w:p>
      <w:pPr>
        <w:pStyle w:val="Normal"/>
        <w:spacing w:lineRule="auto" w:line="276"/>
        <w:ind w:firstLine="709"/>
        <w:rPr>
          <w:szCs w:val="24"/>
        </w:rPr>
      </w:pPr>
      <w:r>
        <w:rPr>
          <w:szCs w:val="24"/>
        </w:rPr>
        <w:t>Благоустройство территории — это комплекс мероприятий по инженерной подготовке к озеленению, устройству покрытий, освещению, размещению малых архитектурных форм и объектов монументального искусства, направленных на улучшение функционального, санитарного, экологического и эстетического состояния территории.</w:t>
      </w:r>
    </w:p>
    <w:p>
      <w:pPr>
        <w:pStyle w:val="Normal"/>
        <w:spacing w:lineRule="auto" w:line="276"/>
        <w:ind w:firstLine="709"/>
        <w:rPr>
          <w:szCs w:val="24"/>
        </w:rPr>
      </w:pPr>
      <w:r>
        <w:rPr>
          <w:szCs w:val="24"/>
        </w:rPr>
        <w:t>Благоустройство территорий осуществляется в соответствии с проектами благоустройства, разрабатываемыми в составе документации по планировке территорий, а также в составе проектной документации для объектов капитального строительства (реконструкции) и строительства (размещения) временных построек.</w:t>
      </w:r>
    </w:p>
    <w:p>
      <w:pPr>
        <w:pStyle w:val="Normal"/>
        <w:spacing w:lineRule="auto" w:line="276"/>
        <w:ind w:firstLine="709"/>
        <w:rPr>
          <w:szCs w:val="24"/>
        </w:rPr>
      </w:pPr>
      <w:r>
        <w:rPr>
          <w:szCs w:val="24"/>
        </w:rPr>
        <w:t xml:space="preserve">Для территорий сложившейся застройки разрабатываются схемы комплексного благоустройства территории, на основе которых выполняются проекты благоустройства территорий и участков, отдельных видов благоустройства (озеленение, освещение и так далее) и установки малых архитектурных форм и других элементов благоустройства. </w:t>
      </w:r>
    </w:p>
    <w:p>
      <w:pPr>
        <w:pStyle w:val="Normal"/>
        <w:spacing w:lineRule="auto" w:line="276"/>
        <w:ind w:firstLine="709"/>
        <w:rPr>
          <w:szCs w:val="24"/>
        </w:rPr>
      </w:pPr>
      <w:r>
        <w:rPr>
          <w:szCs w:val="24"/>
        </w:rPr>
        <w:t>Проекты благоустройства территорий и участков в сложившейся застройке разрабатываются в соответствии с архитектурно-планировочными заданиями на проектирование, техническими регламентами или другими нормативными документами.</w:t>
      </w:r>
    </w:p>
    <w:p>
      <w:pPr>
        <w:pStyle w:val="Normal"/>
        <w:spacing w:lineRule="auto" w:line="276"/>
        <w:rPr>
          <w:szCs w:val="24"/>
        </w:rPr>
      </w:pPr>
      <w:r>
        <w:rPr>
          <w:szCs w:val="24"/>
        </w:rPr>
        <w:t>Задачей генерального плана в части благоустройства территории является формирование непрерывной системы озелененных территорий общего пользования и других открытых пространств населенных пунктов в увязке с природным каркасом поселения.</w:t>
      </w:r>
    </w:p>
    <w:p>
      <w:pPr>
        <w:sectPr>
          <w:headerReference w:type="default" r:id="rId127"/>
          <w:footerReference w:type="default" r:id="rId128"/>
          <w:type w:val="nextPage"/>
          <w:pgSz w:w="11906" w:h="16838"/>
          <w:pgMar w:left="1418" w:right="567" w:header="567" w:top="1134" w:footer="567" w:bottom="1134" w:gutter="0"/>
          <w:pgNumType w:fmt="decimal"/>
          <w:formProt w:val="false"/>
          <w:textDirection w:val="lrTb"/>
          <w:docGrid w:type="default" w:linePitch="360" w:charSpace="0"/>
        </w:sectPr>
        <w:pStyle w:val="Normal"/>
        <w:spacing w:lineRule="auto" w:line="276"/>
        <w:rPr>
          <w:szCs w:val="24"/>
        </w:rPr>
      </w:pPr>
      <w:r>
        <w:rPr>
          <w:szCs w:val="24"/>
        </w:rPr>
      </w:r>
    </w:p>
    <w:p>
      <w:pPr>
        <w:pStyle w:val="0212164"/>
        <w:rPr>
          <w:szCs w:val="24"/>
          <w:lang w:eastAsia="ru-RU"/>
        </w:rPr>
      </w:pPr>
      <w:bookmarkStart w:id="220" w:name="_Toc182210500"/>
      <w:bookmarkStart w:id="221" w:name="_Toc115250831"/>
      <w:bookmarkStart w:id="222" w:name="_Toc80966046"/>
      <w:bookmarkStart w:id="223" w:name="_Toc69297568"/>
      <w:r>
        <w:rPr/>
        <w:t>ГЛАВА 10. ЭКОЛОГИЧЕСКОЕ СОСТОЯНИЕ ТЕРРИТОРИИ</w:t>
      </w:r>
      <w:bookmarkEnd w:id="220"/>
      <w:bookmarkEnd w:id="221"/>
      <w:bookmarkEnd w:id="222"/>
      <w:bookmarkEnd w:id="223"/>
    </w:p>
    <w:p>
      <w:pPr>
        <w:pStyle w:val="0212161"/>
        <w:numPr>
          <w:ilvl w:val="0"/>
          <w:numId w:val="0"/>
        </w:numPr>
        <w:outlineLvl w:val="2"/>
        <w:rPr>
          <w:szCs w:val="24"/>
          <w:lang w:eastAsia="ru-RU"/>
        </w:rPr>
      </w:pPr>
      <w:bookmarkStart w:id="224" w:name="_Toc182210501"/>
      <w:bookmarkStart w:id="225" w:name="_Toc115250832"/>
      <w:bookmarkStart w:id="226" w:name="_Toc80966047"/>
      <w:bookmarkStart w:id="227" w:name="_Toc9438244"/>
      <w:bookmarkStart w:id="228" w:name="_Toc43211101"/>
      <w:bookmarkStart w:id="229" w:name="_Toc170496"/>
      <w:bookmarkStart w:id="230" w:name="_Toc455491100"/>
      <w:r>
        <w:rPr/>
        <w:t xml:space="preserve">10.1 </w:t>
      </w:r>
      <w:bookmarkEnd w:id="230"/>
      <w:r>
        <w:rPr/>
        <w:t>Экологическое состояние территории</w:t>
      </w:r>
      <w:bookmarkEnd w:id="224"/>
      <w:bookmarkEnd w:id="225"/>
      <w:bookmarkEnd w:id="226"/>
      <w:bookmarkEnd w:id="227"/>
      <w:bookmarkEnd w:id="228"/>
      <w:bookmarkEnd w:id="229"/>
    </w:p>
    <w:p>
      <w:pPr>
        <w:pStyle w:val="Normal"/>
        <w:spacing w:lineRule="auto" w:line="276"/>
        <w:ind w:firstLine="709"/>
        <w:rPr>
          <w:color w:val="000000"/>
          <w:szCs w:val="24"/>
        </w:rPr>
      </w:pPr>
      <w:bookmarkStart w:id="231" w:name="_Toc115250834"/>
      <w:bookmarkStart w:id="232" w:name="_Toc80966049"/>
      <w:bookmarkStart w:id="233" w:name="_Toc9438246"/>
      <w:bookmarkStart w:id="234" w:name="_Toc43211102"/>
      <w:bookmarkStart w:id="235" w:name="_Toc170497"/>
      <w:bookmarkStart w:id="236" w:name="_Toc115250833"/>
      <w:r>
        <w:rPr>
          <w:color w:val="000000"/>
          <w:szCs w:val="24"/>
        </w:rPr>
        <w:t xml:space="preserve">Состояние воздушного бассейна является одним из основных наиболее важных факторов, определяющих экологическую ситуацию и условия проживания населения. Основными факторами, воздействующими на состояние атмосферного воздуха, являются количество и масса загрязняющих веществ, поступающих в атмосферу от различных источников, а также потенциал загрязнения атмосферы. </w:t>
      </w:r>
    </w:p>
    <w:p>
      <w:pPr>
        <w:pStyle w:val="Normal"/>
        <w:tabs>
          <w:tab w:val="clear" w:pos="708"/>
          <w:tab w:val="left" w:pos="851" w:leader="none"/>
        </w:tabs>
        <w:spacing w:lineRule="auto" w:line="276" w:before="120" w:after="120"/>
        <w:contextualSpacing/>
        <w:rPr>
          <w:rFonts w:eastAsia="SimSun"/>
          <w:szCs w:val="24"/>
          <w:lang w:eastAsia="zh-CN"/>
        </w:rPr>
      </w:pPr>
      <w:r>
        <w:rPr>
          <w:color w:val="000000"/>
          <w:szCs w:val="24"/>
        </w:rPr>
        <w:tab/>
        <w:t xml:space="preserve">К основным объектам, оказывающим негативное воздействие на атмосферный воздух Катенинского сельского поселения, относятся стационарные источники, в частности промышленные предприятия (в том числе, места выгрузки или хранения сырья, топлива и  полупродуктов), индивидуальные источники тепла и сельскохозяйственные объекты,  Кроме стационарных источников, загрязнителем атмосферного воздуха являются передвижные источники, в частности, автомобильный транспорт. Неудовлетворительное состояние дорожного покрытия автомобильной дороги также является причиной увеличения объема выбросов загрязняющих веществ от автомобильного транспорта. Основными веществами, загрязняющими воздух в сельском поселении, являются </w:t>
      </w:r>
      <w:r>
        <w:rPr>
          <w:szCs w:val="24"/>
          <w:lang w:eastAsia="ru-RU"/>
        </w:rPr>
        <w:t>у</w:t>
      </w:r>
      <w:r>
        <w:rPr>
          <w:rFonts w:eastAsia="SimSun"/>
          <w:szCs w:val="24"/>
          <w:lang w:eastAsia="zh-CN"/>
        </w:rPr>
        <w:t>глерод оксид, сера диоксид, взвешенные вещества, азота диоксид, углеводороды, формальдегид, бенз(а)пирен.</w:t>
      </w:r>
    </w:p>
    <w:p>
      <w:pPr>
        <w:pStyle w:val="Normal"/>
        <w:tabs>
          <w:tab w:val="clear" w:pos="708"/>
          <w:tab w:val="left" w:pos="851" w:leader="none"/>
        </w:tabs>
        <w:spacing w:lineRule="auto" w:line="276" w:before="120" w:after="120"/>
        <w:contextualSpacing/>
        <w:rPr>
          <w:sz w:val="23"/>
          <w:szCs w:val="23"/>
        </w:rPr>
      </w:pPr>
      <w:r>
        <w:rPr>
          <w:color w:val="000000"/>
          <w:szCs w:val="24"/>
        </w:rPr>
        <w:tab/>
        <w:t>По сведениям, содержащимся в Государственном докладе «О состоянии санитарно-эпидемиологического благополучия населения Челябинской области в 2023 году», в</w:t>
      </w:r>
      <w:r>
        <w:rPr>
          <w:sz w:val="23"/>
          <w:szCs w:val="23"/>
        </w:rPr>
        <w:t xml:space="preserve"> воде подземных источников Варненского муниципального района регистрировалось отсутствие превышений или разовые превышения гигиенических нормативов по микробиологическим показателям (таблица 3.10.1). </w:t>
      </w:r>
    </w:p>
    <w:p>
      <w:pPr>
        <w:pStyle w:val="Normal"/>
        <w:tabs>
          <w:tab w:val="clear" w:pos="708"/>
          <w:tab w:val="left" w:pos="851" w:leader="none"/>
        </w:tabs>
        <w:spacing w:lineRule="auto" w:line="276" w:before="120" w:after="120"/>
        <w:contextualSpacing/>
        <w:jc w:val="right"/>
        <w:rPr>
          <w:sz w:val="23"/>
          <w:szCs w:val="23"/>
        </w:rPr>
      </w:pPr>
      <w:r>
        <w:rPr>
          <w:sz w:val="23"/>
          <w:szCs w:val="23"/>
        </w:rPr>
        <w:t>Таблица 3.10.1.</w:t>
      </w:r>
    </w:p>
    <w:p>
      <w:pPr>
        <w:pStyle w:val="Normal"/>
        <w:spacing w:lineRule="auto" w:line="276"/>
        <w:ind w:left="360" w:hanging="0"/>
        <w:jc w:val="center"/>
        <w:rPr>
          <w:szCs w:val="24"/>
        </w:rPr>
      </w:pPr>
      <w:r>
        <w:rPr>
          <w:szCs w:val="24"/>
        </w:rPr>
        <w:t xml:space="preserve">Удельный вес проб воды из централизованных систем водоснабжения, </w:t>
        <w:br/>
        <w:t>не соответствующих требованиям гигиенических нормативов</w:t>
      </w:r>
    </w:p>
    <w:tbl>
      <w:tblPr>
        <w:tblW w:w="5000" w:type="pct"/>
        <w:jc w:val="left"/>
        <w:tblInd w:w="-108" w:type="dxa"/>
        <w:tblCellMar>
          <w:top w:w="0" w:type="dxa"/>
          <w:left w:w="108" w:type="dxa"/>
          <w:bottom w:w="0" w:type="dxa"/>
          <w:right w:w="108" w:type="dxa"/>
        </w:tblCellMar>
        <w:tblLook w:firstRow="1" w:noVBand="0" w:lastRow="1" w:firstColumn="1" w:lastColumn="1" w:noHBand="0" w:val="01e0"/>
      </w:tblPr>
      <w:tblGrid>
        <w:gridCol w:w="4373"/>
        <w:gridCol w:w="1898"/>
        <w:gridCol w:w="2188"/>
        <w:gridCol w:w="1745"/>
      </w:tblGrid>
      <w:tr>
        <w:trPr>
          <w:tblHeader w:val="true"/>
          <w:trHeight w:val="20" w:hRule="atLeast"/>
        </w:trPr>
        <w:tc>
          <w:tcPr>
            <w:tcW w:w="4373" w:type="dxa"/>
            <w:vMerge w:val="restart"/>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Удельный вес проб воды, несоответствующих требованиям</w:t>
            </w:r>
          </w:p>
        </w:tc>
        <w:tc>
          <w:tcPr>
            <w:tcW w:w="5831" w:type="dxa"/>
            <w:gridSpan w:val="3"/>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Значение показателя за год</w:t>
            </w:r>
          </w:p>
        </w:tc>
      </w:tr>
      <w:tr>
        <w:trPr>
          <w:tblHeader w:val="true"/>
          <w:trHeight w:val="20" w:hRule="atLeast"/>
        </w:trPr>
        <w:tc>
          <w:tcPr>
            <w:tcW w:w="4373" w:type="dxa"/>
            <w:vMerge w:val="continue"/>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sz w:val="20"/>
                <w:szCs w:val="20"/>
              </w:rPr>
            </w:r>
          </w:p>
        </w:tc>
        <w:tc>
          <w:tcPr>
            <w:tcW w:w="1898"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sz w:val="20"/>
                <w:szCs w:val="20"/>
              </w:rPr>
              <w:t>2021</w:t>
            </w:r>
          </w:p>
        </w:tc>
        <w:tc>
          <w:tcPr>
            <w:tcW w:w="2188"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sz w:val="20"/>
                <w:szCs w:val="20"/>
              </w:rPr>
              <w:t>2022</w:t>
            </w:r>
          </w:p>
        </w:tc>
        <w:tc>
          <w:tcPr>
            <w:tcW w:w="1745"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sz w:val="20"/>
                <w:szCs w:val="20"/>
              </w:rPr>
              <w:t>2023</w:t>
            </w:r>
          </w:p>
        </w:tc>
      </w:tr>
    </w:tbl>
    <w:p>
      <w:pPr>
        <w:pStyle w:val="Normal"/>
        <w:spacing w:lineRule="auto" w:line="12"/>
        <w:rPr>
          <w:szCs w:val="24"/>
          <w:lang w:eastAsia="ru-RU"/>
        </w:rPr>
      </w:pPr>
      <w:r>
        <w:rPr/>
      </w:r>
    </w:p>
    <w:tbl>
      <w:tblPr>
        <w:tblW w:w="5000" w:type="pct"/>
        <w:jc w:val="left"/>
        <w:tblInd w:w="-108" w:type="dxa"/>
        <w:tblCellMar>
          <w:top w:w="0" w:type="dxa"/>
          <w:left w:w="108" w:type="dxa"/>
          <w:bottom w:w="0" w:type="dxa"/>
          <w:right w:w="108" w:type="dxa"/>
        </w:tblCellMar>
        <w:tblLook w:firstRow="1" w:noVBand="0" w:lastRow="1" w:firstColumn="1" w:lastColumn="1" w:noHBand="0" w:val="01e0"/>
      </w:tblPr>
      <w:tblGrid>
        <w:gridCol w:w="4375"/>
        <w:gridCol w:w="1898"/>
        <w:gridCol w:w="2188"/>
        <w:gridCol w:w="1743"/>
      </w:tblGrid>
      <w:tr>
        <w:trPr>
          <w:tblHeader w:val="true"/>
          <w:trHeight w:val="20" w:hRule="atLeast"/>
        </w:trPr>
        <w:tc>
          <w:tcPr>
            <w:tcW w:w="4375"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1</w:t>
            </w:r>
          </w:p>
        </w:tc>
        <w:tc>
          <w:tcPr>
            <w:tcW w:w="1898"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2</w:t>
            </w:r>
          </w:p>
        </w:tc>
        <w:tc>
          <w:tcPr>
            <w:tcW w:w="2188"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3</w:t>
            </w:r>
          </w:p>
        </w:tc>
        <w:tc>
          <w:tcPr>
            <w:tcW w:w="1743"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4</w:t>
            </w:r>
          </w:p>
        </w:tc>
      </w:tr>
      <w:tr>
        <w:trPr>
          <w:tblHeader w:val="true"/>
          <w:trHeight w:val="20" w:hRule="atLeast"/>
        </w:trPr>
        <w:tc>
          <w:tcPr>
            <w:tcW w:w="437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по санитарно-химическим показателям</w:t>
            </w:r>
          </w:p>
        </w:tc>
        <w:tc>
          <w:tcPr>
            <w:tcW w:w="189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0</w:t>
            </w:r>
          </w:p>
        </w:tc>
        <w:tc>
          <w:tcPr>
            <w:tcW w:w="218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0</w:t>
            </w:r>
          </w:p>
        </w:tc>
        <w:tc>
          <w:tcPr>
            <w:tcW w:w="174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0</w:t>
            </w:r>
          </w:p>
        </w:tc>
      </w:tr>
      <w:tr>
        <w:trPr>
          <w:tblHeader w:val="true"/>
          <w:trHeight w:val="20" w:hRule="atLeast"/>
        </w:trPr>
        <w:tc>
          <w:tcPr>
            <w:tcW w:w="437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по микробиологическим показателям</w:t>
            </w:r>
          </w:p>
        </w:tc>
        <w:tc>
          <w:tcPr>
            <w:tcW w:w="189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0</w:t>
            </w:r>
          </w:p>
        </w:tc>
        <w:tc>
          <w:tcPr>
            <w:tcW w:w="218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0,9</w:t>
            </w:r>
          </w:p>
        </w:tc>
        <w:tc>
          <w:tcPr>
            <w:tcW w:w="174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0</w:t>
            </w:r>
          </w:p>
        </w:tc>
      </w:tr>
    </w:tbl>
    <w:p>
      <w:pPr>
        <w:pStyle w:val="Normal"/>
        <w:spacing w:lineRule="auto" w:line="276" w:before="120" w:after="200"/>
        <w:ind w:firstLine="709"/>
        <w:rPr>
          <w:szCs w:val="24"/>
          <w:lang w:eastAsia="ru-RU"/>
        </w:rPr>
      </w:pPr>
      <w:r>
        <w:rPr>
          <w:bCs/>
          <w:szCs w:val="24"/>
          <w:lang w:eastAsia="ru-RU"/>
        </w:rPr>
        <w:t xml:space="preserve">На территории Катенинского сельского поселения мониторинг качества поверхностных и подземных вод не ведется. </w:t>
      </w:r>
    </w:p>
    <w:p>
      <w:pPr>
        <w:pStyle w:val="Normal"/>
        <w:keepNext w:val="true"/>
        <w:numPr>
          <w:ilvl w:val="0"/>
          <w:numId w:val="0"/>
        </w:numPr>
        <w:tabs>
          <w:tab w:val="clear" w:pos="708"/>
          <w:tab w:val="left" w:pos="709" w:leader="none"/>
        </w:tabs>
        <w:spacing w:lineRule="auto" w:line="276" w:before="120" w:after="200"/>
        <w:outlineLvl w:val="2"/>
        <w:rPr>
          <w:rFonts w:eastAsia="Times New Roman"/>
          <w:b/>
          <w:b/>
          <w:szCs w:val="24"/>
        </w:rPr>
      </w:pPr>
      <w:bookmarkStart w:id="237" w:name="_Toc115250833"/>
      <w:bookmarkStart w:id="238" w:name="_Toc182210502"/>
      <w:r>
        <w:rPr>
          <w:rFonts w:eastAsia="Times New Roman"/>
          <w:b/>
          <w:szCs w:val="24"/>
        </w:rPr>
        <w:t>10.2 Обращение с отходами</w:t>
      </w:r>
      <w:bookmarkEnd w:id="237"/>
      <w:bookmarkEnd w:id="238"/>
      <w:r>
        <w:rPr>
          <w:rFonts w:eastAsia="Times New Roman"/>
          <w:b/>
          <w:szCs w:val="24"/>
        </w:rPr>
        <w:t xml:space="preserve"> </w:t>
      </w:r>
      <w:bookmarkEnd w:id="234"/>
      <w:bookmarkEnd w:id="235"/>
    </w:p>
    <w:p>
      <w:pPr>
        <w:pStyle w:val="Normal"/>
        <w:spacing w:lineRule="auto" w:line="276"/>
        <w:ind w:firstLine="709"/>
        <w:rPr>
          <w:color w:val="000000"/>
          <w:szCs w:val="24"/>
        </w:rPr>
      </w:pPr>
      <w:r>
        <w:rPr>
          <w:color w:val="000000"/>
          <w:szCs w:val="24"/>
        </w:rPr>
        <w:t xml:space="preserve">В соответствии с Территориальной </w:t>
      </w:r>
      <w:hyperlink r:id="rId129">
        <w:r>
          <w:rPr>
            <w:color w:val="000000"/>
            <w:szCs w:val="24"/>
          </w:rPr>
          <w:t>схемой</w:t>
        </w:r>
      </w:hyperlink>
      <w:r>
        <w:rPr>
          <w:color w:val="000000"/>
          <w:szCs w:val="24"/>
        </w:rPr>
        <w:t xml:space="preserve"> в области обращения с отходами производства и потребления, в том числе с твердыми коммунальными отходами, Челябинской области  (утверждена приказом Министерства экологии Челябинской области от 24.12.2018 № 1562), Катенинское </w:t>
      </w:r>
      <w:r>
        <w:rPr>
          <w:kern w:val="2"/>
          <w:szCs w:val="24"/>
        </w:rPr>
        <w:t xml:space="preserve">сельское поселение </w:t>
      </w:r>
      <w:r>
        <w:rPr>
          <w:color w:val="000000"/>
          <w:szCs w:val="24"/>
        </w:rPr>
        <w:t xml:space="preserve">относится к Магнитогорсокому кластеру (зоне деятельности регионального оператора).  </w:t>
      </w:r>
    </w:p>
    <w:p>
      <w:pPr>
        <w:pStyle w:val="Normal"/>
        <w:spacing w:lineRule="auto" w:line="276"/>
        <w:ind w:firstLine="709"/>
        <w:rPr>
          <w:color w:val="000000"/>
          <w:szCs w:val="24"/>
        </w:rPr>
      </w:pPr>
      <w:r>
        <w:rPr>
          <w:color w:val="000000"/>
          <w:szCs w:val="24"/>
        </w:rPr>
        <w:t>Нормативы накопления твердых коммунальных отходов (далее — ТКО) установлены постановлением Министерства тарифного регулирования и энергетики Челябинской области от 31.08.2027 г. № 42/1 «Об утверждении нормативов накопления твердых коммунальных отходов на территории Челябинской области».</w:t>
      </w:r>
    </w:p>
    <w:p>
      <w:pPr>
        <w:pStyle w:val="Normal"/>
        <w:spacing w:lineRule="auto" w:line="276"/>
        <w:ind w:firstLine="709"/>
        <w:rPr>
          <w:color w:val="000000"/>
          <w:szCs w:val="24"/>
        </w:rPr>
      </w:pPr>
      <w:r>
        <w:rPr>
          <w:color w:val="000000"/>
          <w:szCs w:val="24"/>
        </w:rPr>
        <w:t>Для накопления твердых коммунальных отходов в зоне застройки индивидуальными жилыми домами, в зоне садоводческих, дачных и огороднических товариществ, как правило, используются контейнеры объемами 0,75 м</w:t>
      </w:r>
      <w:r>
        <w:rPr>
          <w:color w:val="000000"/>
          <w:szCs w:val="24"/>
          <w:vertAlign w:val="superscript"/>
        </w:rPr>
        <w:t>3</w:t>
      </w:r>
      <w:r>
        <w:rPr>
          <w:color w:val="000000"/>
          <w:szCs w:val="24"/>
        </w:rPr>
        <w:t>, 0,8 м</w:t>
      </w:r>
      <w:r>
        <w:rPr>
          <w:color w:val="000000"/>
          <w:szCs w:val="24"/>
          <w:vertAlign w:val="superscript"/>
        </w:rPr>
        <w:t xml:space="preserve">3 </w:t>
      </w:r>
      <w:r>
        <w:rPr>
          <w:color w:val="000000"/>
          <w:szCs w:val="24"/>
        </w:rPr>
        <w:t>и бункеры-накопители объемом 8 м</w:t>
      </w:r>
      <w:r>
        <w:rPr>
          <w:color w:val="000000"/>
          <w:szCs w:val="24"/>
          <w:vertAlign w:val="superscript"/>
        </w:rPr>
        <w:t>3</w:t>
      </w:r>
      <w:r>
        <w:rPr>
          <w:color w:val="000000"/>
          <w:szCs w:val="24"/>
        </w:rPr>
        <w:t>.</w:t>
      </w:r>
    </w:p>
    <w:p>
      <w:pPr>
        <w:pStyle w:val="Normal"/>
        <w:spacing w:lineRule="auto" w:line="276"/>
        <w:ind w:firstLine="709"/>
        <w:rPr>
          <w:color w:val="000000"/>
          <w:szCs w:val="24"/>
        </w:rPr>
      </w:pPr>
      <w:r>
        <w:rPr>
          <w:color w:val="000000"/>
          <w:szCs w:val="24"/>
        </w:rPr>
        <w:t>В соответствии с постановлением Главного государственного санитарного врача Российской Федерации от 28.01.2021 № 3 «Об утверждении 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(вместе с «СанПиН 2.1.3684-21. Санитарные правила и нормы...»), на территории муниципального района в соответствии с территориальной схемой обращения с отходами должны быть обустроены контейнерные площадки для накопления твердых коммунальных отходов или системы подземного накопления твердых коммунальных отходов с автоматическими подъемниками для подъема контейнеров и (или) специальные площадки для накопления крупногабаритных отходов.</w:t>
      </w:r>
    </w:p>
    <w:p>
      <w:pPr>
        <w:pStyle w:val="Normal"/>
        <w:spacing w:lineRule="auto" w:line="276"/>
        <w:ind w:firstLine="709"/>
        <w:rPr>
          <w:color w:val="000000"/>
          <w:szCs w:val="24"/>
        </w:rPr>
      </w:pPr>
      <w:r>
        <w:rPr>
          <w:color w:val="000000"/>
          <w:szCs w:val="24"/>
        </w:rPr>
        <w:t>Контейнерные площадки, организуемые заинтересованными лицами, независимо от видов мусоросборников (контейнеров и бункеров), должны иметь подъездной путь, твердое (асфальтовое, бетонное) покрытие с уклоном для отведения талых и дождевых сточных вод, а также ограждение, обеспечивающее предупреждение распространения отходов за пределы контейнерной площадки.</w:t>
      </w:r>
    </w:p>
    <w:p>
      <w:pPr>
        <w:pStyle w:val="Normal"/>
        <w:spacing w:lineRule="auto" w:line="276"/>
        <w:ind w:firstLine="709"/>
        <w:rPr>
          <w:color w:val="000000"/>
          <w:szCs w:val="24"/>
        </w:rPr>
      </w:pPr>
      <w:r>
        <w:rPr>
          <w:color w:val="000000"/>
          <w:szCs w:val="24"/>
        </w:rPr>
        <w:t>Площадки для накопления крупногабаритных отходов (</w:t>
      </w:r>
      <w:r>
        <w:rPr/>
        <w:t xml:space="preserve">далее — </w:t>
      </w:r>
      <w:r>
        <w:rPr>
          <w:color w:val="000000"/>
          <w:szCs w:val="24"/>
        </w:rPr>
        <w:t>КГО</w:t>
      </w:r>
      <w:r>
        <w:rPr/>
        <w:t xml:space="preserve">) </w:t>
      </w:r>
      <w:r>
        <w:rPr>
          <w:color w:val="000000"/>
          <w:szCs w:val="24"/>
        </w:rPr>
        <w:t>должны иметь подъездной путь, твердое (асфальтовое, бетонное) покрытие с уклоном для отведения талых и дождевых сточных вод, а также ограждение с трех сторон высотой не менее 1 м.</w:t>
      </w:r>
    </w:p>
    <w:p>
      <w:pPr>
        <w:pStyle w:val="Normal"/>
        <w:spacing w:lineRule="auto" w:line="276"/>
        <w:ind w:firstLine="709"/>
        <w:rPr>
          <w:color w:val="000000"/>
          <w:szCs w:val="24"/>
        </w:rPr>
      </w:pPr>
      <w:r>
        <w:rPr>
          <w:color w:val="000000"/>
          <w:szCs w:val="24"/>
        </w:rPr>
        <w:t xml:space="preserve">Расстояние от контейнерных и (или) площадок для накопления КГО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должно быть не менее 20 м, но не более 100 м; до территорий медицинских организаций в городских населенных пунктах </w:t>
      </w:r>
      <w:r>
        <w:rPr/>
        <w:t>—</w:t>
      </w:r>
      <w:r>
        <w:rPr>
          <w:color w:val="000000"/>
          <w:szCs w:val="24"/>
        </w:rPr>
        <w:t xml:space="preserve"> не менее 25 м, в сельских населенных пунктах </w:t>
      </w:r>
      <w:r>
        <w:rPr/>
        <w:t>—</w:t>
      </w:r>
      <w:r>
        <w:rPr>
          <w:color w:val="000000"/>
          <w:szCs w:val="24"/>
        </w:rPr>
        <w:t xml:space="preserve"> не менее 15 м.</w:t>
      </w:r>
    </w:p>
    <w:p>
      <w:pPr>
        <w:pStyle w:val="Normal"/>
        <w:spacing w:lineRule="auto" w:line="276"/>
        <w:ind w:firstLine="709"/>
        <w:rPr>
          <w:color w:val="000000"/>
          <w:szCs w:val="24"/>
        </w:rPr>
      </w:pPr>
      <w:r>
        <w:rPr>
          <w:color w:val="000000"/>
          <w:szCs w:val="24"/>
        </w:rPr>
        <w:t>В случае раздельного накопления отходов расстояние от контейнерных и (или) специальных площадок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должно быть не менее 8 м, но не более 100 м; до территорий медицинских организаций в городских населенных пунктах — не менее 10 м, в сельских населенных пунктах — не менее 15 м.</w:t>
      </w:r>
    </w:p>
    <w:p>
      <w:pPr>
        <w:pStyle w:val="Normal"/>
        <w:spacing w:lineRule="auto" w:line="276"/>
        <w:ind w:firstLine="709"/>
        <w:rPr>
          <w:color w:val="000000"/>
          <w:szCs w:val="24"/>
        </w:rPr>
      </w:pPr>
      <w:r>
        <w:rPr>
          <w:color w:val="000000"/>
          <w:szCs w:val="24"/>
        </w:rPr>
        <w:t>Выбор места размещения контейнерной и (или) специальной площадки на территориях ведения гражданами садоводства и огородничества осуществляется владельцами контейнерной площадки в соответствии со схемой размещения контейнерных площадок, определяемой органами местного самоуправления</w:t>
      </w:r>
    </w:p>
    <w:p>
      <w:pPr>
        <w:pStyle w:val="Normal"/>
        <w:spacing w:lineRule="auto" w:line="276"/>
        <w:ind w:firstLine="709"/>
        <w:rPr>
          <w:color w:val="000000"/>
          <w:szCs w:val="24"/>
        </w:rPr>
      </w:pPr>
      <w:r>
        <w:rPr>
          <w:color w:val="000000"/>
          <w:szCs w:val="24"/>
        </w:rPr>
        <w:t xml:space="preserve">На контейнерных площадках должно размещаться не более 8 контейнеров для смешанного накопления ТКО или 12 контейнеров, из которых 4 </w:t>
      </w:r>
      <w:r>
        <w:rPr/>
        <w:t>—</w:t>
      </w:r>
      <w:r>
        <w:rPr>
          <w:color w:val="000000"/>
          <w:szCs w:val="24"/>
        </w:rPr>
        <w:t xml:space="preserve"> для раздельного накопления ТКО, и не более 2 бункеров для накопления крупногабаритных отходов. </w:t>
      </w:r>
    </w:p>
    <w:p>
      <w:pPr>
        <w:pStyle w:val="Normal"/>
        <w:spacing w:lineRule="auto" w:line="276"/>
        <w:ind w:firstLine="709"/>
        <w:rPr>
          <w:color w:val="000000"/>
          <w:szCs w:val="24"/>
        </w:rPr>
      </w:pPr>
      <w:r>
        <w:rPr>
          <w:color w:val="000000"/>
          <w:szCs w:val="24"/>
        </w:rPr>
        <w:t>В случае раздельного накопления отходов на контейнерной площадке их владельцем должны быть предусмотрены контейнеры для каждого вида отходов или группы однородных отходов, исключающие смешивание различных видов отходов или групп отходов, либо групп однородных отходов.</w:t>
      </w:r>
    </w:p>
    <w:p>
      <w:pPr>
        <w:pStyle w:val="Normal"/>
        <w:spacing w:lineRule="auto" w:line="276"/>
        <w:ind w:firstLine="709"/>
        <w:rPr>
          <w:color w:val="000000"/>
          <w:szCs w:val="24"/>
        </w:rPr>
      </w:pPr>
      <w:r>
        <w:rPr>
          <w:color w:val="000000"/>
          <w:szCs w:val="24"/>
        </w:rPr>
        <w:t>Дворовые уборные должны находиться (располагаться, размещаться) на расстоянии не менее 50 метров от нецентрализованных источников.</w:t>
      </w:r>
    </w:p>
    <w:p>
      <w:pPr>
        <w:pStyle w:val="Normal"/>
        <w:spacing w:lineRule="auto" w:line="276"/>
        <w:ind w:firstLine="709"/>
        <w:rPr>
          <w:color w:val="000000"/>
          <w:szCs w:val="24"/>
        </w:rPr>
      </w:pPr>
      <w:r>
        <w:rPr>
          <w:color w:val="000000"/>
          <w:szCs w:val="24"/>
        </w:rPr>
        <w:t xml:space="preserve">Удаление жидких бытовых отходов (далее </w:t>
      </w:r>
      <w:r>
        <w:rPr/>
        <w:t>—</w:t>
      </w:r>
      <w:r>
        <w:rPr>
          <w:color w:val="000000"/>
          <w:szCs w:val="24"/>
        </w:rPr>
        <w:t xml:space="preserve"> ЖБО) должно проводится хозяйствующими субъектами, осуществляющими деятельность по сбору и транспортированию ЖБО, в период с 7 до 23 часов с использованием транспортных средств, специально оборудованных для забора, слива и транспортирования ЖБО, в централизованные системы водоотведения или иные сооружения, предназначенные для приема и (или) очистки ЖБО. Выгреб и помойницы должны иметь подземную водонепроницаемую емкостную часть для накопления ЖБО. </w:t>
      </w:r>
    </w:p>
    <w:p>
      <w:pPr>
        <w:pStyle w:val="Normal"/>
        <w:spacing w:lineRule="auto" w:line="276"/>
        <w:ind w:firstLine="709"/>
        <w:rPr>
          <w:color w:val="000000"/>
          <w:szCs w:val="24"/>
        </w:rPr>
      </w:pPr>
      <w:r>
        <w:rPr>
          <w:color w:val="000000"/>
          <w:szCs w:val="24"/>
        </w:rPr>
        <w:t xml:space="preserve">Отходы, образованные в Катенинском сельском поселении, региональный оператор направляет на полигон ТКО и мусороперерабатывающий комплекс в Магнитогорске Эксплуатирующая организация полигона — АО «Ситиматик». Объект размещения отходов внесен в Государственный реестр объектов размещения отходов (далее — ГРОРО) и соответствуют требованиям действующего законодательства. </w:t>
      </w:r>
    </w:p>
    <w:p>
      <w:pPr>
        <w:pStyle w:val="Normal"/>
        <w:spacing w:lineRule="auto" w:line="276"/>
        <w:ind w:firstLine="709"/>
        <w:rPr>
          <w:szCs w:val="24"/>
          <w:lang w:eastAsia="ru-RU"/>
        </w:rPr>
      </w:pPr>
      <w:r>
        <w:rPr>
          <w:color w:val="000000"/>
          <w:szCs w:val="24"/>
        </w:rPr>
        <w:t xml:space="preserve">В соответствии с Территориальной </w:t>
      </w:r>
      <w:hyperlink r:id="rId130">
        <w:r>
          <w:rPr>
            <w:color w:val="000000"/>
            <w:szCs w:val="24"/>
          </w:rPr>
          <w:t>схемой</w:t>
        </w:r>
      </w:hyperlink>
      <w:r>
        <w:rPr>
          <w:color w:val="000000"/>
          <w:szCs w:val="24"/>
        </w:rPr>
        <w:t xml:space="preserve"> в области обращения с отходами производства и потребления, в том числе с твердыми коммунальными отходами, Челябинской области  (утверждена приказом Министерства экологии Челябинской области от 24.12.2018 № 1562),</w:t>
      </w:r>
      <w:r>
        <w:rPr/>
        <w:t xml:space="preserve">, на территории Катенинского сельского поселения скотомогильники, биотермические ямы отсутствуют.  </w:t>
      </w:r>
    </w:p>
    <w:p>
      <w:pPr>
        <w:sectPr>
          <w:headerReference w:type="default" r:id="rId132"/>
          <w:footerReference w:type="default" r:id="rId133"/>
          <w:type w:val="nextPage"/>
          <w:pgSz w:w="11906" w:h="16838"/>
          <w:pgMar w:left="1134" w:right="567" w:header="567" w:top="1134" w:footer="567" w:bottom="1134" w:gutter="0"/>
          <w:pgNumType w:fmt="decimal"/>
          <w:formProt w:val="false"/>
          <w:textDirection w:val="lrTb"/>
          <w:docGrid w:type="default" w:linePitch="360" w:charSpace="0"/>
        </w:sectPr>
        <w:pStyle w:val="Normal"/>
        <w:spacing w:lineRule="auto" w:line="276"/>
        <w:ind w:firstLine="709"/>
        <w:rPr>
          <w:color w:val="000000"/>
          <w:szCs w:val="24"/>
        </w:rPr>
      </w:pPr>
      <w:r>
        <w:rPr>
          <w:color w:val="000000"/>
          <w:szCs w:val="24"/>
        </w:rPr>
        <w:t xml:space="preserve">В соответствии с Территориальной </w:t>
      </w:r>
      <w:hyperlink r:id="rId131">
        <w:r>
          <w:rPr>
            <w:color w:val="000000"/>
            <w:szCs w:val="24"/>
          </w:rPr>
          <w:t>схемой</w:t>
        </w:r>
      </w:hyperlink>
      <w:r>
        <w:rPr>
          <w:color w:val="000000"/>
          <w:szCs w:val="24"/>
        </w:rPr>
        <w:t xml:space="preserve"> в области обращения с отходами производства и потребления, в том числе с твердыми коммунальными отходами, Челябинской области  (утверждена приказом Министерства экологии Челябинской области от 24.12.2018 № 1562),</w:t>
      </w:r>
      <w:r>
        <w:rPr/>
        <w:t>,</w:t>
      </w:r>
      <w:r>
        <w:rPr>
          <w:color w:val="000000"/>
          <w:szCs w:val="24"/>
        </w:rPr>
        <w:t xml:space="preserve">, строительство новых объектов обращения с отходами в Катенинского </w:t>
      </w:r>
      <w:r>
        <w:rPr>
          <w:kern w:val="2"/>
          <w:szCs w:val="24"/>
        </w:rPr>
        <w:t xml:space="preserve">сельском поселении не планируется. </w:t>
      </w:r>
    </w:p>
    <w:p>
      <w:pPr>
        <w:pStyle w:val="0212164"/>
        <w:spacing w:before="120" w:after="0"/>
        <w:rPr>
          <w:rFonts w:ascii="Calibri" w:hAnsi="Calibri" w:asciiTheme="minorHAnsi" w:hAnsiTheme="minorHAnsi"/>
        </w:rPr>
      </w:pPr>
      <w:bookmarkStart w:id="239" w:name="_Toc9438246"/>
      <w:bookmarkStart w:id="240" w:name="_Toc182210503"/>
      <w:r>
        <w:rPr>
          <w:caps w:val="false"/>
          <w:smallCaps w:val="false"/>
        </w:rPr>
        <w:t>ГЛАВА 11. ЗОНЫ С ОСОБЫМИ УСЛОВИЯМИ ИСПОЛЬЗОВАНИЯ ТЕРРИТОРИ</w:t>
      </w:r>
      <w:bookmarkEnd w:id="239"/>
      <w:r>
        <w:rPr>
          <w:caps w:val="false"/>
          <w:smallCaps w:val="false"/>
        </w:rPr>
        <w:t>Й, ЗА ИСКЛЮЧЕНИЕМ ОХРАННЫХ ЗОН ОБЪЕКТОВ КУЛЬТУРНОГО НАСЛЕДИЯ</w:t>
      </w:r>
      <w:bookmarkEnd w:id="231"/>
      <w:bookmarkEnd w:id="232"/>
      <w:bookmarkEnd w:id="240"/>
    </w:p>
    <w:p>
      <w:pPr>
        <w:pStyle w:val="Normal"/>
        <w:spacing w:lineRule="auto" w:line="276"/>
        <w:ind w:firstLine="709"/>
        <w:rPr>
          <w:szCs w:val="24"/>
        </w:rPr>
      </w:pPr>
      <w:bookmarkStart w:id="241" w:name="_Toc115250840"/>
      <w:bookmarkStart w:id="242" w:name="_Toc80966067"/>
      <w:bookmarkStart w:id="243" w:name="_Toc69297573"/>
      <w:bookmarkStart w:id="244" w:name="_Toc115250835"/>
      <w:bookmarkStart w:id="245" w:name="_Toc80966050"/>
      <w:r>
        <w:rPr>
          <w:szCs w:val="24"/>
        </w:rPr>
        <w:t>В соответствии с пунктом 24 статьи 106 Земельного кодекса Российской Федерации от 25.10.20001 № 136-ФЗ зоны с особыми условиями использования территорий, в том числе возникающие в силу закона, ограничения использования земельных участков в таких зонах считаются установленными, измененными со дня внесения сведений о зоне с особыми условиями использования территории, соответствующих изменений в сведения о такой зоне в Единый государственный реестр недвижимости. Зоны с особыми условиями использования территорий считаются прекратившими существование, а ограничения использования земельных участков в таких зонах недействующими со дня исключения сведений о зоне с особыми условиями использования территории из Единого государственного реестра недвижимости.</w:t>
      </w:r>
    </w:p>
    <w:p>
      <w:pPr>
        <w:pStyle w:val="Normal"/>
        <w:keepNext w:val="true"/>
        <w:numPr>
          <w:ilvl w:val="0"/>
          <w:numId w:val="0"/>
        </w:numPr>
        <w:tabs>
          <w:tab w:val="clear" w:pos="708"/>
          <w:tab w:val="left" w:pos="709" w:leader="none"/>
        </w:tabs>
        <w:spacing w:lineRule="auto" w:line="276" w:before="120" w:after="200"/>
        <w:outlineLvl w:val="2"/>
        <w:rPr>
          <w:rFonts w:eastAsia="Tahoma"/>
          <w:b/>
          <w:b/>
          <w:szCs w:val="24"/>
        </w:rPr>
      </w:pPr>
      <w:bookmarkStart w:id="246" w:name="_Toc182210504"/>
      <w:r>
        <w:rPr>
          <w:rFonts w:eastAsia="Tahoma"/>
          <w:b/>
          <w:szCs w:val="24"/>
        </w:rPr>
        <w:t xml:space="preserve">11.1 </w:t>
      </w:r>
      <w:r>
        <w:rPr>
          <w:rFonts w:eastAsia="Times New Roman"/>
          <w:b/>
          <w:szCs w:val="24"/>
        </w:rPr>
        <w:t>Санитарно-защитная зона</w:t>
      </w:r>
      <w:bookmarkEnd w:id="244"/>
      <w:bookmarkEnd w:id="245"/>
      <w:bookmarkEnd w:id="246"/>
    </w:p>
    <w:p>
      <w:pPr>
        <w:pStyle w:val="Normal"/>
        <w:spacing w:lineRule="auto" w:line="276"/>
        <w:ind w:firstLine="709"/>
        <w:rPr>
          <w:color w:val="000000"/>
          <w:szCs w:val="24"/>
        </w:rPr>
      </w:pPr>
      <w:bookmarkStart w:id="247" w:name="_Toc115250836"/>
      <w:bookmarkStart w:id="248" w:name="_Toc80966051"/>
      <w:r>
        <w:rPr>
          <w:color w:val="000000"/>
          <w:szCs w:val="24"/>
        </w:rPr>
        <w:t>В целях обеспечения безопасности населения и в соответствии с постановлением Правительства Российской Федерации от 03.03.2018 № 222 «Об утверждении Правил установления санитарно-защитных зон и использования земельных участков, расположенных в границах санитарно-защитных зон»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 устанавливаются санитарно-защитные зоны (далее — СЗЗ).</w:t>
      </w:r>
    </w:p>
    <w:p>
      <w:pPr>
        <w:pStyle w:val="Normal"/>
        <w:spacing w:lineRule="auto" w:line="300"/>
        <w:ind w:firstLine="709"/>
        <w:rPr>
          <w:color w:val="000000"/>
          <w:szCs w:val="24"/>
        </w:rPr>
      </w:pPr>
      <w:r>
        <w:rPr>
          <w:color w:val="000000"/>
          <w:szCs w:val="24"/>
        </w:rPr>
        <w:t>Характеристика установленных (окончательных) и ориентировочных (нормативных) санитарно-защитных зон приведена в таблице 3.11.1. Проектом генерального плана рекомендуется разработка проектов санитарно-защитных зон предприятий.</w:t>
      </w:r>
    </w:p>
    <w:p>
      <w:pPr>
        <w:pStyle w:val="Normal"/>
        <w:spacing w:lineRule="auto" w:line="276"/>
        <w:ind w:firstLine="709"/>
        <w:jc w:val="right"/>
        <w:rPr>
          <w:color w:val="000000"/>
          <w:szCs w:val="24"/>
        </w:rPr>
      </w:pPr>
      <w:r>
        <w:rPr>
          <w:color w:val="000000"/>
          <w:szCs w:val="24"/>
        </w:rPr>
        <w:t>Таблица 3.11.1</w:t>
      </w:r>
    </w:p>
    <w:p>
      <w:pPr>
        <w:pStyle w:val="Normal"/>
        <w:spacing w:lineRule="auto" w:line="276"/>
        <w:jc w:val="center"/>
        <w:rPr>
          <w:color w:val="000000"/>
          <w:szCs w:val="24"/>
        </w:rPr>
      </w:pPr>
      <w:r>
        <w:rPr>
          <w:color w:val="000000"/>
          <w:szCs w:val="24"/>
        </w:rPr>
        <w:t>Перечень санитарно-защитных зон</w:t>
      </w:r>
    </w:p>
    <w:tbl>
      <w:tblPr>
        <w:tblW w:w="9918" w:type="dxa"/>
        <w:jc w:val="center"/>
        <w:tblInd w:w="0" w:type="dxa"/>
        <w:tblCellMar>
          <w:top w:w="0" w:type="dxa"/>
          <w:left w:w="108" w:type="dxa"/>
          <w:bottom w:w="0" w:type="dxa"/>
          <w:right w:w="108" w:type="dxa"/>
        </w:tblCellMar>
        <w:tblLook w:firstRow="1" w:noVBand="1" w:lastRow="0" w:firstColumn="1" w:lastColumn="0" w:noHBand="0" w:val="04a0"/>
      </w:tblPr>
      <w:tblGrid>
        <w:gridCol w:w="421"/>
        <w:gridCol w:w="1701"/>
        <w:gridCol w:w="1559"/>
        <w:gridCol w:w="1700"/>
        <w:gridCol w:w="1985"/>
        <w:gridCol w:w="2551"/>
      </w:tblGrid>
      <w:tr>
        <w:trPr>
          <w:tblHeader w:val="true"/>
          <w:trHeight w:val="553" w:hRule="atLeast"/>
          <w:cantSplit w:val="true"/>
        </w:trPr>
        <w:tc>
          <w:tcPr>
            <w:tcW w:w="421" w:type="dxa"/>
            <w:tcBorders>
              <w:top w:val="single" w:sz="4" w:space="0" w:color="000000"/>
              <w:left w:val="single" w:sz="4" w:space="0" w:color="000000"/>
              <w:right w:val="single" w:sz="4" w:space="0" w:color="000000"/>
            </w:tcBorders>
            <w:vAlign w:val="center"/>
          </w:tcPr>
          <w:p>
            <w:pPr>
              <w:pStyle w:val="Normal"/>
              <w:spacing w:lineRule="auto" w:line="240"/>
              <w:jc w:val="center"/>
              <w:rPr>
                <w:rFonts w:eastAsia="Calibri" w:eastAsiaTheme="minorHAnsi"/>
                <w:b/>
                <w:b/>
                <w:sz w:val="20"/>
              </w:rPr>
            </w:pPr>
            <w:r>
              <w:rPr>
                <w:rFonts w:eastAsia="Calibri" w:eastAsiaTheme="minorHAnsi"/>
                <w:b/>
                <w:sz w:val="20"/>
              </w:rPr>
              <w:t>№</w:t>
            </w:r>
          </w:p>
        </w:tc>
        <w:tc>
          <w:tcPr>
            <w:tcW w:w="1701"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rPr>
            </w:pPr>
            <w:r>
              <w:rPr>
                <w:rFonts w:eastAsia="Calibri" w:eastAsiaTheme="minorHAnsi"/>
                <w:b/>
                <w:sz w:val="20"/>
              </w:rPr>
              <w:t>Объект</w:t>
            </w:r>
          </w:p>
        </w:tc>
        <w:tc>
          <w:tcPr>
            <w:tcW w:w="1559"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rFonts w:eastAsia="Times New Roman"/>
                <w:b/>
                <w:b/>
                <w:sz w:val="20"/>
                <w:szCs w:val="20"/>
              </w:rPr>
            </w:pPr>
            <w:r>
              <w:rPr>
                <w:rFonts w:eastAsia="Calibri" w:eastAsiaTheme="minorHAnsi"/>
                <w:b/>
                <w:sz w:val="20"/>
              </w:rPr>
              <w:t>Местоположение</w:t>
            </w:r>
          </w:p>
        </w:tc>
        <w:tc>
          <w:tcPr>
            <w:tcW w:w="1700"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rFonts w:eastAsia="Calibri" w:eastAsiaTheme="minorHAnsi"/>
                <w:b/>
                <w:sz w:val="20"/>
              </w:rPr>
              <w:t>Вид деятельности</w:t>
            </w:r>
          </w:p>
        </w:tc>
        <w:tc>
          <w:tcPr>
            <w:tcW w:w="1985"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rFonts w:eastAsia="Calibri" w:eastAsiaTheme="minorHAnsi"/>
                <w:b/>
                <w:sz w:val="20"/>
              </w:rPr>
              <w:t>Размер СЗЗ</w:t>
            </w:r>
          </w:p>
        </w:tc>
        <w:tc>
          <w:tcPr>
            <w:tcW w:w="2551"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rFonts w:eastAsia="Calibri" w:eastAsiaTheme="minorHAnsi"/>
                <w:b/>
                <w:sz w:val="20"/>
              </w:rPr>
              <w:t>Основание</w:t>
            </w:r>
          </w:p>
        </w:tc>
      </w:tr>
    </w:tbl>
    <w:p>
      <w:pPr>
        <w:pStyle w:val="Normal"/>
        <w:spacing w:lineRule="auto" w:line="12"/>
        <w:ind w:firstLine="709"/>
        <w:jc w:val="center"/>
        <w:rPr>
          <w:color w:val="000000"/>
          <w:szCs w:val="24"/>
        </w:rPr>
      </w:pPr>
      <w:r>
        <w:rPr>
          <w:color w:val="000000"/>
          <w:szCs w:val="24"/>
        </w:rPr>
      </w:r>
    </w:p>
    <w:p>
      <w:pPr>
        <w:pStyle w:val="Normal"/>
        <w:spacing w:lineRule="auto" w:line="12"/>
        <w:ind w:firstLine="709"/>
        <w:jc w:val="center"/>
        <w:rPr>
          <w:color w:val="000000"/>
          <w:sz w:val="20"/>
          <w:szCs w:val="20"/>
        </w:rPr>
      </w:pPr>
      <w:r>
        <w:rPr>
          <w:color w:val="000000"/>
          <w:sz w:val="20"/>
          <w:szCs w:val="20"/>
        </w:rPr>
      </w:r>
    </w:p>
    <w:tbl>
      <w:tblPr>
        <w:tblW w:w="9918" w:type="dxa"/>
        <w:jc w:val="center"/>
        <w:tblInd w:w="0" w:type="dxa"/>
        <w:tblCellMar>
          <w:top w:w="0" w:type="dxa"/>
          <w:left w:w="108" w:type="dxa"/>
          <w:bottom w:w="0" w:type="dxa"/>
          <w:right w:w="108" w:type="dxa"/>
        </w:tblCellMar>
        <w:tblLook w:firstRow="1" w:noVBand="1" w:lastRow="0" w:firstColumn="1" w:lastColumn="0" w:noHBand="0" w:val="04a0"/>
      </w:tblPr>
      <w:tblGrid>
        <w:gridCol w:w="421"/>
        <w:gridCol w:w="1701"/>
        <w:gridCol w:w="1559"/>
        <w:gridCol w:w="1700"/>
        <w:gridCol w:w="1985"/>
        <w:gridCol w:w="2551"/>
      </w:tblGrid>
      <w:tr>
        <w:trPr>
          <w:tblHeader w:val="true"/>
          <w:trHeight w:val="20" w:hRule="atLeast"/>
        </w:trPr>
        <w:tc>
          <w:tcPr>
            <w:tcW w:w="42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Times New Roman"/>
                <w:b/>
                <w:b/>
                <w:sz w:val="20"/>
                <w:szCs w:val="20"/>
              </w:rPr>
            </w:pPr>
            <w:r>
              <w:rPr>
                <w:rFonts w:eastAsia="Times New Roman"/>
                <w:b/>
                <w:sz w:val="20"/>
                <w:szCs w:val="20"/>
              </w:rPr>
              <w:t>1</w:t>
            </w:r>
          </w:p>
        </w:tc>
        <w:tc>
          <w:tcPr>
            <w:tcW w:w="170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sz w:val="20"/>
                <w:szCs w:val="20"/>
              </w:rPr>
            </w:pPr>
            <w:r>
              <w:rPr>
                <w:rFonts w:eastAsia="Times New Roman"/>
                <w:b/>
                <w:sz w:val="20"/>
                <w:szCs w:val="20"/>
              </w:rPr>
              <w:t>2</w:t>
            </w:r>
          </w:p>
        </w:tc>
        <w:tc>
          <w:tcPr>
            <w:tcW w:w="155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rFonts w:eastAsia="Times New Roman"/>
                <w:b/>
                <w:b/>
                <w:sz w:val="20"/>
                <w:szCs w:val="20"/>
              </w:rPr>
            </w:pPr>
            <w:r>
              <w:rPr>
                <w:b/>
                <w:sz w:val="20"/>
                <w:szCs w:val="20"/>
              </w:rPr>
              <w:t>3</w:t>
            </w:r>
          </w:p>
        </w:tc>
        <w:tc>
          <w:tcPr>
            <w:tcW w:w="170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4</w:t>
            </w:r>
          </w:p>
        </w:tc>
        <w:tc>
          <w:tcPr>
            <w:tcW w:w="198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5</w:t>
            </w:r>
          </w:p>
        </w:tc>
        <w:tc>
          <w:tcPr>
            <w:tcW w:w="255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6</w:t>
            </w:r>
          </w:p>
        </w:tc>
      </w:tr>
      <w:tr>
        <w:trPr>
          <w:trHeight w:val="20" w:hRule="atLeast"/>
        </w:trPr>
        <w:tc>
          <w:tcPr>
            <w:tcW w:w="9917" w:type="dxa"/>
            <w:gridSpan w:val="6"/>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sz w:val="20"/>
              </w:rPr>
            </w:pPr>
            <w:r>
              <w:rPr>
                <w:rFonts w:eastAsia="Calibri" w:eastAsiaTheme="minorHAnsi"/>
                <w:b/>
                <w:sz w:val="20"/>
              </w:rPr>
              <w:t>Установленная (окончательная) СЗЗ</w:t>
            </w:r>
          </w:p>
        </w:tc>
      </w:tr>
      <w:tr>
        <w:trPr>
          <w:trHeight w:val="20" w:hRule="atLeast"/>
        </w:trPr>
        <w:tc>
          <w:tcPr>
            <w:tcW w:w="421" w:type="dxa"/>
            <w:tcBorders>
              <w:top w:val="single" w:sz="4" w:space="0" w:color="000000"/>
              <w:left w:val="single" w:sz="4" w:space="0" w:color="000000"/>
              <w:bottom w:val="single" w:sz="4" w:space="0" w:color="000000"/>
            </w:tcBorders>
          </w:tcPr>
          <w:p>
            <w:pPr>
              <w:pStyle w:val="Normal"/>
              <w:spacing w:lineRule="auto" w:line="240"/>
              <w:jc w:val="left"/>
              <w:rPr>
                <w:bCs/>
                <w:color w:val="000000"/>
                <w:sz w:val="20"/>
                <w:highlight w:val="white"/>
              </w:rPr>
            </w:pPr>
            <w:r>
              <w:rPr>
                <w:bCs/>
                <w:color w:val="000000"/>
                <w:sz w:val="20"/>
                <w:shd w:fill="FFFFFF" w:val="clear"/>
              </w:rPr>
              <w:t>1</w:t>
            </w:r>
          </w:p>
        </w:tc>
        <w:tc>
          <w:tcPr>
            <w:tcW w:w="1701"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bCs/>
                <w:color w:val="000000"/>
                <w:sz w:val="20"/>
                <w:shd w:fill="FFFFFF" w:val="clear"/>
              </w:rPr>
              <w:t>Промышленный узел: АО «Михеевский ГОК», ООО «ИНВЕСТ РАЗВИТИЕ», ООО «ГазЭнерго», ООО «Капитал-Сити» (ГПС №2).</w:t>
            </w:r>
          </w:p>
        </w:tc>
        <w:tc>
          <w:tcPr>
            <w:tcW w:w="1559"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bCs/>
                <w:color w:val="000000"/>
                <w:sz w:val="20"/>
                <w:shd w:fill="FFFFFF" w:val="clear"/>
              </w:rPr>
              <w:t>п. Красноармейский, Промышленная зона, владение 1, строение 1.</w:t>
            </w:r>
          </w:p>
        </w:tc>
        <w:tc>
          <w:tcPr>
            <w:tcW w:w="1700" w:type="dxa"/>
            <w:tcBorders>
              <w:top w:val="single" w:sz="4" w:space="0" w:color="000000"/>
              <w:bottom w:val="single" w:sz="4" w:space="0" w:color="000000"/>
            </w:tcBorders>
          </w:tcPr>
          <w:p>
            <w:pPr>
              <w:pStyle w:val="Normal"/>
              <w:spacing w:lineRule="auto" w:line="240"/>
              <w:jc w:val="left"/>
              <w:rPr>
                <w:bCs/>
                <w:color w:val="000000"/>
                <w:sz w:val="20"/>
                <w:highlight w:val="white"/>
              </w:rPr>
            </w:pPr>
            <w:r>
              <w:rPr>
                <w:bCs/>
                <w:color w:val="000000"/>
                <w:sz w:val="20"/>
                <w:shd w:fill="FFFFFF" w:val="clear"/>
              </w:rPr>
              <w:t>Добыча и обогащение медной руды</w:t>
            </w:r>
          </w:p>
        </w:tc>
        <w:tc>
          <w:tcPr>
            <w:tcW w:w="1985" w:type="dxa"/>
            <w:tcBorders>
              <w:top w:val="single" w:sz="4" w:space="0" w:color="000000"/>
              <w:bottom w:val="single" w:sz="4" w:space="0" w:color="000000"/>
            </w:tcBorders>
          </w:tcPr>
          <w:p>
            <w:pPr>
              <w:pStyle w:val="Normal"/>
              <w:spacing w:lineRule="auto" w:line="240"/>
              <w:jc w:val="left"/>
              <w:rPr>
                <w:bCs/>
                <w:color w:val="000000"/>
                <w:sz w:val="20"/>
                <w:highlight w:val="white"/>
              </w:rPr>
            </w:pPr>
            <w:r>
              <w:rPr>
                <w:bCs/>
                <w:color w:val="000000"/>
                <w:sz w:val="20"/>
                <w:shd w:fill="FFFFFF" w:val="clear"/>
              </w:rPr>
              <w:t>В соответствии с ЕГРН (74:00-6.681)</w:t>
            </w:r>
          </w:p>
        </w:tc>
        <w:tc>
          <w:tcPr>
            <w:tcW w:w="2551" w:type="dxa"/>
            <w:tcBorders>
              <w:top w:val="single" w:sz="4" w:space="0" w:color="000000"/>
              <w:bottom w:val="single" w:sz="4" w:space="0" w:color="000000"/>
              <w:right w:val="single" w:sz="4" w:space="0" w:color="000000"/>
            </w:tcBorders>
          </w:tcPr>
          <w:p>
            <w:pPr>
              <w:pStyle w:val="Normal"/>
              <w:pBdr>
                <w:top w:val="single" w:sz="2" w:space="0" w:color="E5E7EB"/>
                <w:left w:val="single" w:sz="2" w:space="0" w:color="E5E7EB"/>
                <w:bottom w:val="single" w:sz="2" w:space="0" w:color="E5E7EB"/>
                <w:right w:val="single" w:sz="2" w:space="0" w:color="E5E7EB"/>
              </w:pBdr>
              <w:spacing w:lineRule="auto" w:line="240"/>
              <w:jc w:val="left"/>
              <w:rPr>
                <w:bCs/>
                <w:color w:val="000000"/>
                <w:sz w:val="20"/>
                <w:highlight w:val="white"/>
              </w:rPr>
            </w:pPr>
            <w:r>
              <w:rPr>
                <w:bCs/>
                <w:color w:val="000000"/>
                <w:sz w:val="20"/>
                <w:shd w:fill="FFFFFF" w:val="clear"/>
              </w:rPr>
              <w:t>Санитарно-эпидемиологическое заключение - 74.50.02.000.Т.000627.08.19 от 05.08.2019</w:t>
            </w:r>
          </w:p>
          <w:p>
            <w:pPr>
              <w:pStyle w:val="Normal"/>
              <w:spacing w:lineRule="auto" w:line="240"/>
              <w:jc w:val="left"/>
              <w:rPr>
                <w:rFonts w:eastAsia="Times New Roman"/>
              </w:rPr>
            </w:pPr>
            <w:r>
              <w:rPr>
                <w:rFonts w:eastAsia="Times New Roman"/>
              </w:rPr>
            </w:r>
          </w:p>
        </w:tc>
      </w:tr>
      <w:tr>
        <w:trPr>
          <w:trHeight w:val="20" w:hRule="atLeast"/>
        </w:trPr>
        <w:tc>
          <w:tcPr>
            <w:tcW w:w="9917" w:type="dxa"/>
            <w:gridSpan w:val="6"/>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rFonts w:eastAsia="Calibri" w:eastAsiaTheme="minorHAnsi"/>
                <w:b/>
                <w:sz w:val="20"/>
              </w:rPr>
              <w:t>Ориентировочная (нормативная) СЗЗ</w:t>
            </w:r>
          </w:p>
        </w:tc>
      </w:tr>
      <w:tr>
        <w:trPr>
          <w:trHeight w:val="20" w:hRule="atLeast"/>
        </w:trPr>
        <w:tc>
          <w:tcPr>
            <w:tcW w:w="421" w:type="dxa"/>
            <w:tcBorders>
              <w:top w:val="single" w:sz="4" w:space="0" w:color="000000"/>
              <w:left w:val="single" w:sz="4" w:space="0" w:color="000000"/>
              <w:bottom w:val="single" w:sz="4" w:space="0" w:color="000000"/>
            </w:tcBorders>
          </w:tcPr>
          <w:p>
            <w:pPr>
              <w:pStyle w:val="Normal"/>
              <w:spacing w:lineRule="auto" w:line="240"/>
              <w:jc w:val="left"/>
              <w:rPr>
                <w:bCs/>
                <w:color w:val="000000"/>
                <w:sz w:val="20"/>
                <w:highlight w:val="white"/>
              </w:rPr>
            </w:pPr>
            <w:r>
              <w:rPr>
                <w:bCs/>
                <w:color w:val="000000"/>
                <w:sz w:val="20"/>
                <w:shd w:fill="FFFFFF" w:val="clear"/>
              </w:rPr>
              <w:t>2</w:t>
            </w:r>
          </w:p>
        </w:tc>
        <w:tc>
          <w:tcPr>
            <w:tcW w:w="1701"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bCs/>
                <w:color w:val="000000"/>
                <w:sz w:val="20"/>
                <w:shd w:fill="FFFFFF" w:val="clear"/>
              </w:rPr>
              <w:t>ООО «ПРОММОНТАЖ»</w:t>
            </w:r>
          </w:p>
        </w:tc>
        <w:tc>
          <w:tcPr>
            <w:tcW w:w="1559"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bCs/>
                <w:color w:val="000000"/>
                <w:sz w:val="20"/>
                <w:shd w:fill="FFFFFF" w:val="clear"/>
              </w:rPr>
              <w:t>В границах производственной площадки АО «Михеевский ГОК»</w:t>
            </w:r>
          </w:p>
        </w:tc>
        <w:tc>
          <w:tcPr>
            <w:tcW w:w="1700" w:type="dxa"/>
            <w:tcBorders>
              <w:top w:val="single" w:sz="4" w:space="0" w:color="000000"/>
              <w:bottom w:val="single" w:sz="4" w:space="0" w:color="000000"/>
            </w:tcBorders>
          </w:tcPr>
          <w:p>
            <w:pPr>
              <w:pStyle w:val="Normal"/>
              <w:spacing w:lineRule="auto" w:line="240"/>
              <w:jc w:val="left"/>
              <w:rPr>
                <w:bCs/>
                <w:color w:val="000000"/>
                <w:sz w:val="20"/>
                <w:highlight w:val="white"/>
              </w:rPr>
            </w:pPr>
            <w:r>
              <w:rPr>
                <w:bCs/>
                <w:color w:val="000000"/>
                <w:sz w:val="20"/>
                <w:shd w:fill="FFFFFF" w:val="clear"/>
              </w:rPr>
              <w:t>Гараж с техникой, ремонтная база</w:t>
            </w:r>
          </w:p>
        </w:tc>
        <w:tc>
          <w:tcPr>
            <w:tcW w:w="1985" w:type="dxa"/>
            <w:tcBorders>
              <w:top w:val="single" w:sz="4" w:space="0" w:color="000000"/>
              <w:bottom w:val="single" w:sz="4" w:space="0" w:color="000000"/>
            </w:tcBorders>
          </w:tcPr>
          <w:p>
            <w:pPr>
              <w:pStyle w:val="Normal"/>
              <w:spacing w:lineRule="auto" w:line="240"/>
              <w:jc w:val="center"/>
              <w:rPr>
                <w:bCs/>
                <w:color w:val="000000"/>
                <w:sz w:val="20"/>
                <w:highlight w:val="white"/>
              </w:rPr>
            </w:pPr>
            <w:r>
              <w:rPr>
                <w:bCs/>
                <w:color w:val="000000"/>
                <w:sz w:val="20"/>
                <w:shd w:fill="FFFFFF" w:val="clear"/>
              </w:rPr>
              <w:t>300 м</w:t>
            </w:r>
          </w:p>
        </w:tc>
        <w:tc>
          <w:tcPr>
            <w:tcW w:w="2551" w:type="dxa"/>
            <w:tcBorders>
              <w:top w:val="single" w:sz="4" w:space="0" w:color="000000"/>
              <w:bottom w:val="single" w:sz="4" w:space="0" w:color="000000"/>
              <w:right w:val="single" w:sz="4" w:space="0" w:color="000000"/>
            </w:tcBorders>
          </w:tcPr>
          <w:p>
            <w:pPr>
              <w:pStyle w:val="Normal"/>
              <w:spacing w:lineRule="auto" w:line="240"/>
              <w:jc w:val="left"/>
              <w:rPr>
                <w:bCs/>
                <w:color w:val="000000"/>
                <w:sz w:val="20"/>
                <w:highlight w:val="white"/>
              </w:rPr>
            </w:pPr>
            <w:r>
              <w:rPr>
                <w:bCs/>
                <w:color w:val="000000"/>
                <w:sz w:val="20"/>
                <w:shd w:fill="FFFFFF" w:val="clear"/>
              </w:rPr>
              <w:t>СанПиН 2.2.1/2.1.1.1200-03 «Санитарно-защитные зоны и санитарная классификация предприятий, сооружений и иных объектов»</w:t>
            </w:r>
          </w:p>
        </w:tc>
      </w:tr>
      <w:tr>
        <w:trPr>
          <w:trHeight w:val="20" w:hRule="atLeast"/>
        </w:trPr>
        <w:tc>
          <w:tcPr>
            <w:tcW w:w="421" w:type="dxa"/>
            <w:tcBorders>
              <w:top w:val="single" w:sz="4" w:space="0" w:color="000000"/>
              <w:left w:val="single" w:sz="4" w:space="0" w:color="000000"/>
              <w:bottom w:val="single" w:sz="4" w:space="0" w:color="000000"/>
            </w:tcBorders>
          </w:tcPr>
          <w:p>
            <w:pPr>
              <w:pStyle w:val="Normal"/>
              <w:spacing w:lineRule="auto" w:line="240"/>
              <w:jc w:val="left"/>
              <w:rPr>
                <w:bCs/>
                <w:color w:val="000000"/>
                <w:sz w:val="20"/>
                <w:highlight w:val="white"/>
              </w:rPr>
            </w:pPr>
            <w:r>
              <w:rPr>
                <w:bCs/>
                <w:color w:val="000000"/>
                <w:sz w:val="20"/>
                <w:shd w:fill="FFFFFF" w:val="clear"/>
              </w:rPr>
              <w:t>3</w:t>
            </w:r>
          </w:p>
        </w:tc>
        <w:tc>
          <w:tcPr>
            <w:tcW w:w="1701"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bCs/>
                <w:color w:val="000000"/>
                <w:sz w:val="20"/>
                <w:shd w:fill="FFFFFF" w:val="clear"/>
              </w:rPr>
              <w:t>ООО «Красноармейское» (СПК «Красноармейский).</w:t>
            </w:r>
          </w:p>
          <w:p>
            <w:pPr>
              <w:pStyle w:val="Normal"/>
              <w:widowControl w:val="false"/>
              <w:spacing w:lineRule="auto" w:line="240"/>
              <w:jc w:val="left"/>
              <w:rPr>
                <w:bCs/>
                <w:color w:val="000000"/>
                <w:sz w:val="20"/>
                <w:highlight w:val="white"/>
              </w:rPr>
            </w:pPr>
            <w:r>
              <w:rPr>
                <w:bCs/>
                <w:color w:val="000000"/>
                <w:sz w:val="20"/>
                <w:shd w:fill="FFFFFF" w:val="clear"/>
              </w:rPr>
            </w:r>
          </w:p>
        </w:tc>
        <w:tc>
          <w:tcPr>
            <w:tcW w:w="1559"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bCs/>
                <w:color w:val="000000"/>
                <w:sz w:val="20"/>
                <w:shd w:fill="FFFFFF" w:val="clear"/>
              </w:rPr>
              <w:t>Севернее п. Красноармейский (земельный участок с кадастровым номером 74:05:0000000:2194)</w:t>
            </w:r>
          </w:p>
        </w:tc>
        <w:tc>
          <w:tcPr>
            <w:tcW w:w="1700" w:type="dxa"/>
            <w:tcBorders>
              <w:top w:val="single" w:sz="4" w:space="0" w:color="000000"/>
              <w:bottom w:val="single" w:sz="4" w:space="0" w:color="000000"/>
            </w:tcBorders>
          </w:tcPr>
          <w:p>
            <w:pPr>
              <w:pStyle w:val="Normal"/>
              <w:spacing w:lineRule="auto" w:line="240"/>
              <w:jc w:val="left"/>
              <w:rPr>
                <w:bCs/>
                <w:color w:val="000000"/>
                <w:sz w:val="20"/>
                <w:highlight w:val="white"/>
              </w:rPr>
            </w:pPr>
            <w:r>
              <w:rPr>
                <w:bCs/>
                <w:color w:val="000000"/>
                <w:sz w:val="20"/>
                <w:shd w:fill="FFFFFF" w:val="clear"/>
              </w:rPr>
              <w:t>Гараж сельскохозяйственной техники</w:t>
            </w:r>
          </w:p>
        </w:tc>
        <w:tc>
          <w:tcPr>
            <w:tcW w:w="1985" w:type="dxa"/>
            <w:tcBorders>
              <w:top w:val="single" w:sz="4" w:space="0" w:color="000000"/>
              <w:bottom w:val="single" w:sz="4" w:space="0" w:color="000000"/>
            </w:tcBorders>
          </w:tcPr>
          <w:p>
            <w:pPr>
              <w:pStyle w:val="Normal"/>
              <w:spacing w:lineRule="auto" w:line="240"/>
              <w:jc w:val="center"/>
              <w:rPr>
                <w:bCs/>
                <w:color w:val="000000"/>
                <w:sz w:val="20"/>
                <w:highlight w:val="white"/>
              </w:rPr>
            </w:pPr>
            <w:r>
              <w:rPr>
                <w:bCs/>
                <w:color w:val="000000"/>
                <w:sz w:val="20"/>
                <w:shd w:fill="FFFFFF" w:val="clear"/>
              </w:rPr>
              <w:t>300 м</w:t>
            </w:r>
          </w:p>
        </w:tc>
        <w:tc>
          <w:tcPr>
            <w:tcW w:w="2551" w:type="dxa"/>
            <w:tcBorders>
              <w:top w:val="single" w:sz="4" w:space="0" w:color="000000"/>
              <w:bottom w:val="single" w:sz="4" w:space="0" w:color="000000"/>
              <w:right w:val="single" w:sz="4" w:space="0" w:color="000000"/>
            </w:tcBorders>
          </w:tcPr>
          <w:p>
            <w:pPr>
              <w:pStyle w:val="Normal"/>
              <w:spacing w:lineRule="auto" w:line="240"/>
              <w:jc w:val="left"/>
              <w:rPr>
                <w:bCs/>
                <w:color w:val="000000"/>
                <w:sz w:val="20"/>
                <w:highlight w:val="white"/>
              </w:rPr>
            </w:pPr>
            <w:r>
              <w:rPr>
                <w:bCs/>
                <w:color w:val="000000"/>
                <w:sz w:val="20"/>
                <w:shd w:fill="FFFFFF" w:val="clear"/>
              </w:rPr>
              <w:t>СанПиН 2.2.1/2.1.1.1200-03 «Санитарно-защитные зоны и санитарная классификация предприятий, сооружений и иных объектов»</w:t>
            </w:r>
          </w:p>
        </w:tc>
      </w:tr>
      <w:tr>
        <w:trPr>
          <w:trHeight w:val="20" w:hRule="atLeast"/>
        </w:trPr>
        <w:tc>
          <w:tcPr>
            <w:tcW w:w="421" w:type="dxa"/>
            <w:tcBorders>
              <w:top w:val="single" w:sz="4" w:space="0" w:color="000000"/>
              <w:left w:val="single" w:sz="4" w:space="0" w:color="000000"/>
              <w:bottom w:val="single" w:sz="4" w:space="0" w:color="000000"/>
            </w:tcBorders>
          </w:tcPr>
          <w:p>
            <w:pPr>
              <w:pStyle w:val="Normal"/>
              <w:spacing w:lineRule="auto" w:line="240"/>
              <w:jc w:val="left"/>
              <w:rPr>
                <w:bCs/>
                <w:color w:val="000000"/>
                <w:sz w:val="20"/>
                <w:highlight w:val="white"/>
              </w:rPr>
            </w:pPr>
            <w:r>
              <w:rPr>
                <w:bCs/>
                <w:color w:val="000000"/>
                <w:sz w:val="20"/>
                <w:shd w:fill="FFFFFF" w:val="clear"/>
              </w:rPr>
              <w:t>4</w:t>
            </w:r>
          </w:p>
        </w:tc>
        <w:tc>
          <w:tcPr>
            <w:tcW w:w="1701"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rFonts w:eastAsia="Times New Roman"/>
                <w:color w:val="000000"/>
                <w:sz w:val="20"/>
                <w:szCs w:val="20"/>
                <w:lang w:eastAsia="ru-RU"/>
              </w:rPr>
              <w:t>Очистные сооружения (КОС)</w:t>
            </w:r>
          </w:p>
        </w:tc>
        <w:tc>
          <w:tcPr>
            <w:tcW w:w="1559"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bCs/>
                <w:sz w:val="20"/>
                <w:szCs w:val="20"/>
                <w:shd w:fill="FFFFFF" w:val="clear"/>
                <w:lang w:bidi="ru-RU"/>
              </w:rPr>
              <w:t>Челябинская область, Варненский муниципальный район, Катенинское сельское поселение, с. Катенино</w:t>
            </w:r>
          </w:p>
        </w:tc>
        <w:tc>
          <w:tcPr>
            <w:tcW w:w="1700" w:type="dxa"/>
            <w:tcBorders>
              <w:top w:val="single" w:sz="4" w:space="0" w:color="000000"/>
              <w:bottom w:val="single" w:sz="4" w:space="0" w:color="000000"/>
            </w:tcBorders>
          </w:tcPr>
          <w:p>
            <w:pPr>
              <w:pStyle w:val="Normal"/>
              <w:spacing w:lineRule="auto" w:line="240"/>
              <w:jc w:val="left"/>
              <w:rPr>
                <w:bCs/>
                <w:color w:val="000000"/>
                <w:sz w:val="20"/>
                <w:highlight w:val="white"/>
              </w:rPr>
            </w:pPr>
            <w:r>
              <w:rPr>
                <w:rFonts w:eastAsia="Times New Roman"/>
                <w:color w:val="000000"/>
                <w:sz w:val="20"/>
                <w:szCs w:val="20"/>
                <w:lang w:eastAsia="ru-RU"/>
              </w:rPr>
              <w:t>Производительность — 0,210 тыс. м</w:t>
            </w:r>
            <w:r>
              <w:rPr>
                <w:rFonts w:eastAsia="Times New Roman"/>
                <w:color w:val="000000"/>
                <w:sz w:val="20"/>
                <w:szCs w:val="20"/>
                <w:vertAlign w:val="superscript"/>
                <w:lang w:eastAsia="ru-RU"/>
              </w:rPr>
              <w:t>3</w:t>
            </w:r>
            <w:r>
              <w:rPr>
                <w:rFonts w:eastAsia="Times New Roman"/>
                <w:color w:val="000000"/>
                <w:sz w:val="20"/>
                <w:szCs w:val="20"/>
                <w:lang w:eastAsia="ru-RU"/>
              </w:rPr>
              <w:t>/сут</w:t>
            </w:r>
          </w:p>
        </w:tc>
        <w:tc>
          <w:tcPr>
            <w:tcW w:w="1985" w:type="dxa"/>
            <w:tcBorders>
              <w:top w:val="single" w:sz="4" w:space="0" w:color="000000"/>
              <w:bottom w:val="single" w:sz="4" w:space="0" w:color="000000"/>
            </w:tcBorders>
          </w:tcPr>
          <w:p>
            <w:pPr>
              <w:pStyle w:val="Normal"/>
              <w:spacing w:lineRule="auto" w:line="240"/>
              <w:jc w:val="center"/>
              <w:rPr>
                <w:bCs/>
                <w:color w:val="000000"/>
                <w:sz w:val="20"/>
                <w:highlight w:val="white"/>
              </w:rPr>
            </w:pPr>
            <w:r>
              <w:rPr>
                <w:bCs/>
                <w:color w:val="000000"/>
                <w:sz w:val="20"/>
                <w:shd w:fill="FFFFFF" w:val="clear"/>
              </w:rPr>
              <w:t>100 м</w:t>
            </w:r>
          </w:p>
        </w:tc>
        <w:tc>
          <w:tcPr>
            <w:tcW w:w="2551" w:type="dxa"/>
            <w:tcBorders>
              <w:top w:val="single" w:sz="4" w:space="0" w:color="000000"/>
              <w:bottom w:val="single" w:sz="4" w:space="0" w:color="000000"/>
              <w:right w:val="single" w:sz="4" w:space="0" w:color="000000"/>
            </w:tcBorders>
          </w:tcPr>
          <w:p>
            <w:pPr>
              <w:pStyle w:val="Normal"/>
              <w:spacing w:lineRule="auto" w:line="240"/>
              <w:jc w:val="left"/>
              <w:rPr>
                <w:bCs/>
                <w:color w:val="000000"/>
                <w:sz w:val="20"/>
                <w:highlight w:val="white"/>
              </w:rPr>
            </w:pPr>
            <w:r>
              <w:rPr>
                <w:bCs/>
                <w:color w:val="000000"/>
                <w:sz w:val="20"/>
                <w:shd w:fill="FFFFFF" w:val="clear"/>
              </w:rPr>
              <w:t>СанПиН 2.2.1/2.1.1.1200-03 «Санитарно-защитные зоны и санитарная классификация предприятий, сооружений и иных объектов»</w:t>
            </w:r>
          </w:p>
        </w:tc>
      </w:tr>
      <w:tr>
        <w:trPr>
          <w:trHeight w:val="20" w:hRule="atLeast"/>
        </w:trPr>
        <w:tc>
          <w:tcPr>
            <w:tcW w:w="421" w:type="dxa"/>
            <w:tcBorders>
              <w:top w:val="single" w:sz="4" w:space="0" w:color="000000"/>
              <w:left w:val="single" w:sz="4" w:space="0" w:color="000000"/>
              <w:bottom w:val="single" w:sz="4" w:space="0" w:color="000000"/>
            </w:tcBorders>
          </w:tcPr>
          <w:p>
            <w:pPr>
              <w:pStyle w:val="Normal"/>
              <w:spacing w:lineRule="auto" w:line="240"/>
              <w:jc w:val="left"/>
              <w:rPr>
                <w:bCs/>
                <w:color w:val="000000"/>
                <w:sz w:val="20"/>
                <w:highlight w:val="white"/>
              </w:rPr>
            </w:pPr>
            <w:r>
              <w:rPr>
                <w:bCs/>
                <w:color w:val="000000"/>
                <w:sz w:val="20"/>
                <w:shd w:fill="FFFFFF" w:val="clear"/>
              </w:rPr>
              <w:t>5</w:t>
            </w:r>
          </w:p>
        </w:tc>
        <w:tc>
          <w:tcPr>
            <w:tcW w:w="1701"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rFonts w:eastAsia="Times New Roman"/>
                <w:color w:val="000000"/>
                <w:sz w:val="20"/>
                <w:szCs w:val="20"/>
                <w:lang w:eastAsia="ru-RU"/>
              </w:rPr>
              <w:t>Очистные сооружения (КОС)</w:t>
            </w:r>
          </w:p>
        </w:tc>
        <w:tc>
          <w:tcPr>
            <w:tcW w:w="1559"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rFonts w:eastAsia="Times New Roman"/>
                <w:bCs/>
                <w:sz w:val="20"/>
                <w:szCs w:val="20"/>
                <w:lang w:eastAsia="ru-RU" w:bidi="ru-RU"/>
              </w:rPr>
              <w:t xml:space="preserve">Челябинская область, Варненский муниципальный район, Катенинское сельское поселение, </w:t>
            </w:r>
            <w:r>
              <w:rPr>
                <w:rFonts w:eastAsia="Times New Roman"/>
                <w:sz w:val="20"/>
                <w:szCs w:val="20"/>
                <w:lang w:eastAsia="ru-RU"/>
              </w:rPr>
              <w:t>п. Караоба</w:t>
            </w:r>
          </w:p>
        </w:tc>
        <w:tc>
          <w:tcPr>
            <w:tcW w:w="1700" w:type="dxa"/>
            <w:tcBorders>
              <w:top w:val="single" w:sz="4" w:space="0" w:color="000000"/>
              <w:bottom w:val="single" w:sz="4" w:space="0" w:color="000000"/>
            </w:tcBorders>
          </w:tcPr>
          <w:p>
            <w:pPr>
              <w:pStyle w:val="Normal"/>
              <w:spacing w:lineRule="auto" w:line="240"/>
              <w:jc w:val="left"/>
              <w:rPr>
                <w:bCs/>
                <w:color w:val="000000"/>
                <w:sz w:val="20"/>
                <w:highlight w:val="white"/>
              </w:rPr>
            </w:pPr>
            <w:r>
              <w:rPr>
                <w:rFonts w:eastAsia="Times New Roman"/>
                <w:color w:val="000000"/>
                <w:sz w:val="20"/>
                <w:szCs w:val="20"/>
                <w:lang w:eastAsia="ru-RU"/>
              </w:rPr>
              <w:t>Производительность — 0,035 тыс. м</w:t>
            </w:r>
            <w:r>
              <w:rPr>
                <w:rFonts w:eastAsia="Times New Roman"/>
                <w:color w:val="000000"/>
                <w:sz w:val="20"/>
                <w:szCs w:val="20"/>
                <w:vertAlign w:val="superscript"/>
                <w:lang w:eastAsia="ru-RU"/>
              </w:rPr>
              <w:t>3</w:t>
            </w:r>
            <w:r>
              <w:rPr>
                <w:rFonts w:eastAsia="Times New Roman"/>
                <w:color w:val="000000"/>
                <w:sz w:val="20"/>
                <w:szCs w:val="20"/>
                <w:lang w:eastAsia="ru-RU"/>
              </w:rPr>
              <w:t>/сут</w:t>
            </w:r>
          </w:p>
        </w:tc>
        <w:tc>
          <w:tcPr>
            <w:tcW w:w="1985" w:type="dxa"/>
            <w:tcBorders>
              <w:top w:val="single" w:sz="4" w:space="0" w:color="000000"/>
              <w:bottom w:val="single" w:sz="4" w:space="0" w:color="000000"/>
            </w:tcBorders>
          </w:tcPr>
          <w:p>
            <w:pPr>
              <w:pStyle w:val="Normal"/>
              <w:spacing w:lineRule="auto" w:line="240"/>
              <w:jc w:val="center"/>
              <w:rPr>
                <w:bCs/>
                <w:color w:val="000000"/>
                <w:sz w:val="20"/>
                <w:highlight w:val="white"/>
              </w:rPr>
            </w:pPr>
            <w:r>
              <w:rPr>
                <w:bCs/>
                <w:color w:val="000000"/>
                <w:sz w:val="20"/>
                <w:shd w:fill="FFFFFF" w:val="clear"/>
              </w:rPr>
              <w:t>100 м</w:t>
            </w:r>
          </w:p>
        </w:tc>
        <w:tc>
          <w:tcPr>
            <w:tcW w:w="2551" w:type="dxa"/>
            <w:tcBorders>
              <w:top w:val="single" w:sz="4" w:space="0" w:color="000000"/>
              <w:bottom w:val="single" w:sz="4" w:space="0" w:color="000000"/>
              <w:right w:val="single" w:sz="4" w:space="0" w:color="000000"/>
            </w:tcBorders>
          </w:tcPr>
          <w:p>
            <w:pPr>
              <w:pStyle w:val="Normal"/>
              <w:spacing w:lineRule="auto" w:line="240"/>
              <w:jc w:val="left"/>
              <w:rPr>
                <w:bCs/>
                <w:color w:val="000000"/>
                <w:sz w:val="20"/>
                <w:highlight w:val="white"/>
              </w:rPr>
            </w:pPr>
            <w:r>
              <w:rPr>
                <w:bCs/>
                <w:color w:val="000000"/>
                <w:sz w:val="20"/>
                <w:shd w:fill="FFFFFF" w:val="clear"/>
              </w:rPr>
              <w:t>СанПиН 2.2.1/2.1.1.1200-03 «Санитарно-защитные зоны и санитарная классификация предприятий, сооружений и иных объектов»</w:t>
            </w:r>
          </w:p>
        </w:tc>
      </w:tr>
      <w:tr>
        <w:trPr>
          <w:trHeight w:val="20" w:hRule="atLeast"/>
        </w:trPr>
        <w:tc>
          <w:tcPr>
            <w:tcW w:w="421" w:type="dxa"/>
            <w:tcBorders>
              <w:top w:val="single" w:sz="4" w:space="0" w:color="000000"/>
              <w:left w:val="single" w:sz="4" w:space="0" w:color="000000"/>
              <w:bottom w:val="single" w:sz="4" w:space="0" w:color="000000"/>
            </w:tcBorders>
          </w:tcPr>
          <w:p>
            <w:pPr>
              <w:pStyle w:val="Normal"/>
              <w:spacing w:lineRule="auto" w:line="240"/>
              <w:jc w:val="left"/>
              <w:rPr>
                <w:bCs/>
                <w:color w:val="000000"/>
                <w:sz w:val="20"/>
                <w:highlight w:val="white"/>
              </w:rPr>
            </w:pPr>
            <w:r>
              <w:rPr>
                <w:bCs/>
                <w:color w:val="000000"/>
                <w:sz w:val="20"/>
                <w:shd w:fill="FFFFFF" w:val="clear"/>
              </w:rPr>
              <w:t>6</w:t>
            </w:r>
          </w:p>
        </w:tc>
        <w:tc>
          <w:tcPr>
            <w:tcW w:w="1701"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rFonts w:eastAsia="Times New Roman"/>
                <w:color w:val="000000"/>
                <w:sz w:val="20"/>
                <w:szCs w:val="20"/>
                <w:lang w:eastAsia="ru-RU"/>
              </w:rPr>
              <w:t>Очистные сооружения (КОС)</w:t>
            </w:r>
          </w:p>
        </w:tc>
        <w:tc>
          <w:tcPr>
            <w:tcW w:w="1559"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rFonts w:eastAsia="Times New Roman"/>
                <w:bCs/>
                <w:sz w:val="20"/>
                <w:szCs w:val="20"/>
                <w:lang w:eastAsia="ru-RU" w:bidi="ru-RU"/>
              </w:rPr>
              <w:t xml:space="preserve">Челябинская область, Варненский муниципальный район, Катенинское сельское поселение, </w:t>
            </w:r>
            <w:r>
              <w:rPr>
                <w:rFonts w:eastAsia="Times New Roman"/>
                <w:sz w:val="20"/>
                <w:szCs w:val="20"/>
                <w:lang w:eastAsia="ru-RU"/>
              </w:rPr>
              <w:t>п. Комсомольский</w:t>
            </w:r>
          </w:p>
        </w:tc>
        <w:tc>
          <w:tcPr>
            <w:tcW w:w="1700" w:type="dxa"/>
            <w:tcBorders>
              <w:top w:val="single" w:sz="4" w:space="0" w:color="000000"/>
              <w:bottom w:val="single" w:sz="4" w:space="0" w:color="000000"/>
            </w:tcBorders>
          </w:tcPr>
          <w:p>
            <w:pPr>
              <w:pStyle w:val="Normal"/>
              <w:spacing w:lineRule="auto" w:line="240"/>
              <w:jc w:val="left"/>
              <w:rPr>
                <w:bCs/>
                <w:color w:val="000000"/>
                <w:sz w:val="20"/>
                <w:highlight w:val="white"/>
              </w:rPr>
            </w:pPr>
            <w:r>
              <w:rPr>
                <w:rFonts w:eastAsia="Times New Roman"/>
                <w:color w:val="000000"/>
                <w:sz w:val="20"/>
                <w:szCs w:val="20"/>
                <w:lang w:eastAsia="ru-RU"/>
              </w:rPr>
              <w:t>Производительность — 0,050 тыс. м</w:t>
            </w:r>
            <w:r>
              <w:rPr>
                <w:rFonts w:eastAsia="Times New Roman"/>
                <w:color w:val="000000"/>
                <w:sz w:val="20"/>
                <w:szCs w:val="20"/>
                <w:vertAlign w:val="superscript"/>
                <w:lang w:eastAsia="ru-RU"/>
              </w:rPr>
              <w:t>3</w:t>
            </w:r>
            <w:r>
              <w:rPr>
                <w:rFonts w:eastAsia="Times New Roman"/>
                <w:color w:val="000000"/>
                <w:sz w:val="20"/>
                <w:szCs w:val="20"/>
                <w:lang w:eastAsia="ru-RU"/>
              </w:rPr>
              <w:t>/сут</w:t>
            </w:r>
          </w:p>
        </w:tc>
        <w:tc>
          <w:tcPr>
            <w:tcW w:w="1985" w:type="dxa"/>
            <w:tcBorders>
              <w:top w:val="single" w:sz="4" w:space="0" w:color="000000"/>
              <w:bottom w:val="single" w:sz="4" w:space="0" w:color="000000"/>
            </w:tcBorders>
          </w:tcPr>
          <w:p>
            <w:pPr>
              <w:pStyle w:val="Normal"/>
              <w:spacing w:lineRule="auto" w:line="240"/>
              <w:jc w:val="center"/>
              <w:rPr>
                <w:bCs/>
                <w:color w:val="000000"/>
                <w:sz w:val="20"/>
                <w:highlight w:val="white"/>
              </w:rPr>
            </w:pPr>
            <w:r>
              <w:rPr>
                <w:bCs/>
                <w:color w:val="000000"/>
                <w:sz w:val="20"/>
                <w:shd w:fill="FFFFFF" w:val="clear"/>
              </w:rPr>
              <w:t>100 м</w:t>
            </w:r>
          </w:p>
        </w:tc>
        <w:tc>
          <w:tcPr>
            <w:tcW w:w="2551" w:type="dxa"/>
            <w:tcBorders>
              <w:top w:val="single" w:sz="4" w:space="0" w:color="000000"/>
              <w:bottom w:val="single" w:sz="4" w:space="0" w:color="000000"/>
              <w:right w:val="single" w:sz="4" w:space="0" w:color="000000"/>
            </w:tcBorders>
          </w:tcPr>
          <w:p>
            <w:pPr>
              <w:pStyle w:val="Normal"/>
              <w:spacing w:lineRule="auto" w:line="240"/>
              <w:jc w:val="left"/>
              <w:rPr>
                <w:bCs/>
                <w:color w:val="000000"/>
                <w:sz w:val="20"/>
                <w:highlight w:val="white"/>
              </w:rPr>
            </w:pPr>
            <w:r>
              <w:rPr>
                <w:bCs/>
                <w:color w:val="000000"/>
                <w:sz w:val="20"/>
                <w:shd w:fill="FFFFFF" w:val="clear"/>
              </w:rPr>
              <w:t>СанПиН 2.2.1/2.1.1.1200-03 «Санитарно-защитные зоны и санитарная классификация предприятий, сооружений и иных объектов»</w:t>
            </w:r>
          </w:p>
        </w:tc>
      </w:tr>
      <w:tr>
        <w:trPr>
          <w:trHeight w:val="20" w:hRule="atLeast"/>
        </w:trPr>
        <w:tc>
          <w:tcPr>
            <w:tcW w:w="421" w:type="dxa"/>
            <w:tcBorders>
              <w:top w:val="single" w:sz="4" w:space="0" w:color="000000"/>
              <w:left w:val="single" w:sz="4" w:space="0" w:color="000000"/>
              <w:bottom w:val="single" w:sz="4" w:space="0" w:color="000000"/>
            </w:tcBorders>
          </w:tcPr>
          <w:p>
            <w:pPr>
              <w:pStyle w:val="Normal"/>
              <w:spacing w:lineRule="auto" w:line="240"/>
              <w:jc w:val="left"/>
              <w:rPr>
                <w:bCs/>
                <w:color w:val="000000"/>
                <w:sz w:val="20"/>
                <w:highlight w:val="white"/>
              </w:rPr>
            </w:pPr>
            <w:r>
              <w:rPr>
                <w:bCs/>
                <w:color w:val="000000"/>
                <w:sz w:val="20"/>
                <w:shd w:fill="FFFFFF" w:val="clear"/>
              </w:rPr>
              <w:t>7</w:t>
            </w:r>
          </w:p>
        </w:tc>
        <w:tc>
          <w:tcPr>
            <w:tcW w:w="1701"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rFonts w:eastAsia="Times New Roman"/>
                <w:color w:val="000000"/>
                <w:sz w:val="20"/>
                <w:szCs w:val="20"/>
                <w:lang w:eastAsia="ru-RU"/>
              </w:rPr>
              <w:t>Очистные сооружения (КОС)</w:t>
            </w:r>
          </w:p>
        </w:tc>
        <w:tc>
          <w:tcPr>
            <w:tcW w:w="1559"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rFonts w:eastAsia="Times New Roman"/>
                <w:bCs/>
                <w:sz w:val="20"/>
                <w:szCs w:val="20"/>
                <w:lang w:eastAsia="ru-RU" w:bidi="ru-RU"/>
              </w:rPr>
              <w:t xml:space="preserve">Челябинская область, Варненский муниципальный район, Катенинское сельское поселение, </w:t>
            </w:r>
            <w:r>
              <w:rPr>
                <w:rFonts w:eastAsia="Times New Roman"/>
                <w:sz w:val="20"/>
                <w:szCs w:val="20"/>
                <w:lang w:eastAsia="ru-RU"/>
              </w:rPr>
              <w:t>п. Красноармейский</w:t>
            </w:r>
          </w:p>
        </w:tc>
        <w:tc>
          <w:tcPr>
            <w:tcW w:w="1700" w:type="dxa"/>
            <w:tcBorders>
              <w:top w:val="single" w:sz="4" w:space="0" w:color="000000"/>
              <w:bottom w:val="single" w:sz="4" w:space="0" w:color="000000"/>
            </w:tcBorders>
          </w:tcPr>
          <w:p>
            <w:pPr>
              <w:pStyle w:val="Normal"/>
              <w:spacing w:lineRule="auto" w:line="240"/>
              <w:jc w:val="left"/>
              <w:rPr>
                <w:bCs/>
                <w:color w:val="000000"/>
                <w:sz w:val="20"/>
                <w:highlight w:val="white"/>
              </w:rPr>
            </w:pPr>
            <w:r>
              <w:rPr>
                <w:rFonts w:eastAsia="Times New Roman"/>
                <w:color w:val="000000"/>
                <w:sz w:val="20"/>
                <w:szCs w:val="20"/>
                <w:lang w:eastAsia="ru-RU"/>
              </w:rPr>
              <w:t>Производительность — 0,055 тыс. м</w:t>
            </w:r>
            <w:r>
              <w:rPr>
                <w:rFonts w:eastAsia="Times New Roman"/>
                <w:color w:val="000000"/>
                <w:sz w:val="20"/>
                <w:szCs w:val="20"/>
                <w:vertAlign w:val="superscript"/>
                <w:lang w:eastAsia="ru-RU"/>
              </w:rPr>
              <w:t>3</w:t>
            </w:r>
            <w:r>
              <w:rPr>
                <w:rFonts w:eastAsia="Times New Roman"/>
                <w:color w:val="000000"/>
                <w:sz w:val="20"/>
                <w:szCs w:val="20"/>
                <w:lang w:eastAsia="ru-RU"/>
              </w:rPr>
              <w:t>/сут</w:t>
            </w:r>
          </w:p>
        </w:tc>
        <w:tc>
          <w:tcPr>
            <w:tcW w:w="1985" w:type="dxa"/>
            <w:tcBorders>
              <w:top w:val="single" w:sz="4" w:space="0" w:color="000000"/>
              <w:bottom w:val="single" w:sz="4" w:space="0" w:color="000000"/>
            </w:tcBorders>
          </w:tcPr>
          <w:p>
            <w:pPr>
              <w:pStyle w:val="Normal"/>
              <w:spacing w:lineRule="auto" w:line="240"/>
              <w:jc w:val="center"/>
              <w:rPr>
                <w:bCs/>
                <w:color w:val="000000"/>
                <w:sz w:val="20"/>
                <w:highlight w:val="white"/>
              </w:rPr>
            </w:pPr>
            <w:r>
              <w:rPr>
                <w:bCs/>
                <w:color w:val="000000"/>
                <w:sz w:val="20"/>
                <w:shd w:fill="FFFFFF" w:val="clear"/>
              </w:rPr>
              <w:t>100 м</w:t>
            </w:r>
          </w:p>
        </w:tc>
        <w:tc>
          <w:tcPr>
            <w:tcW w:w="2551" w:type="dxa"/>
            <w:tcBorders>
              <w:top w:val="single" w:sz="4" w:space="0" w:color="000000"/>
              <w:bottom w:val="single" w:sz="4" w:space="0" w:color="000000"/>
              <w:right w:val="single" w:sz="4" w:space="0" w:color="000000"/>
            </w:tcBorders>
          </w:tcPr>
          <w:p>
            <w:pPr>
              <w:pStyle w:val="Normal"/>
              <w:spacing w:lineRule="auto" w:line="240"/>
              <w:jc w:val="left"/>
              <w:rPr>
                <w:bCs/>
                <w:color w:val="000000"/>
                <w:sz w:val="20"/>
                <w:highlight w:val="white"/>
              </w:rPr>
            </w:pPr>
            <w:r>
              <w:rPr>
                <w:bCs/>
                <w:color w:val="000000"/>
                <w:sz w:val="20"/>
                <w:shd w:fill="FFFFFF" w:val="clear"/>
              </w:rPr>
              <w:t>СанПиН 2.2.1/2.1.1.1200-03 «Санитарно-защитные зоны и санитарная классификация предприятий, сооружений и иных объектов»</w:t>
            </w:r>
          </w:p>
        </w:tc>
      </w:tr>
      <w:tr>
        <w:trPr>
          <w:trHeight w:val="20" w:hRule="atLeast"/>
        </w:trPr>
        <w:tc>
          <w:tcPr>
            <w:tcW w:w="421" w:type="dxa"/>
            <w:tcBorders>
              <w:top w:val="single" w:sz="4" w:space="0" w:color="000000"/>
              <w:left w:val="single" w:sz="4" w:space="0" w:color="000000"/>
              <w:bottom w:val="single" w:sz="4" w:space="0" w:color="000000"/>
            </w:tcBorders>
          </w:tcPr>
          <w:p>
            <w:pPr>
              <w:pStyle w:val="Normal"/>
              <w:spacing w:lineRule="auto" w:line="240"/>
              <w:jc w:val="left"/>
              <w:rPr>
                <w:sz w:val="20"/>
                <w:szCs w:val="20"/>
              </w:rPr>
            </w:pPr>
            <w:r>
              <w:rPr>
                <w:sz w:val="20"/>
                <w:szCs w:val="20"/>
              </w:rPr>
              <w:t>8</w:t>
            </w:r>
          </w:p>
        </w:tc>
        <w:tc>
          <w:tcPr>
            <w:tcW w:w="1701"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sz w:val="20"/>
                <w:szCs w:val="20"/>
              </w:rPr>
              <w:t>Кладбище</w:t>
            </w:r>
          </w:p>
        </w:tc>
        <w:tc>
          <w:tcPr>
            <w:tcW w:w="1559"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bCs/>
                <w:sz w:val="20"/>
                <w:szCs w:val="20"/>
                <w:shd w:fill="FFFFFF" w:val="clear"/>
                <w:lang w:bidi="ru-RU"/>
              </w:rPr>
              <w:t>Челябинская область, Варненский муниципальный район, Катенинское сельское поселение, с. Катенино</w:t>
            </w:r>
          </w:p>
        </w:tc>
        <w:tc>
          <w:tcPr>
            <w:tcW w:w="1700" w:type="dxa"/>
            <w:tcBorders>
              <w:top w:val="single" w:sz="4" w:space="0" w:color="000000"/>
              <w:bottom w:val="single" w:sz="4" w:space="0" w:color="000000"/>
            </w:tcBorders>
          </w:tcPr>
          <w:p>
            <w:pPr>
              <w:pStyle w:val="Normal"/>
              <w:spacing w:lineRule="auto" w:line="240"/>
              <w:jc w:val="left"/>
              <w:rPr>
                <w:bCs/>
                <w:color w:val="000000"/>
                <w:sz w:val="20"/>
                <w:highlight w:val="white"/>
              </w:rPr>
            </w:pPr>
            <w:r>
              <w:rPr>
                <w:sz w:val="20"/>
              </w:rPr>
              <w:t>Захоронение площадью 2,84 га</w:t>
            </w:r>
          </w:p>
        </w:tc>
        <w:tc>
          <w:tcPr>
            <w:tcW w:w="1985" w:type="dxa"/>
            <w:tcBorders>
              <w:top w:val="single" w:sz="4" w:space="0" w:color="000000"/>
              <w:bottom w:val="single" w:sz="4" w:space="0" w:color="000000"/>
            </w:tcBorders>
          </w:tcPr>
          <w:p>
            <w:pPr>
              <w:pStyle w:val="Normal"/>
              <w:spacing w:lineRule="auto" w:line="240"/>
              <w:jc w:val="center"/>
              <w:rPr>
                <w:bCs/>
                <w:color w:val="000000"/>
                <w:sz w:val="20"/>
                <w:highlight w:val="white"/>
              </w:rPr>
            </w:pPr>
            <w:r>
              <w:rPr>
                <w:bCs/>
                <w:color w:val="000000"/>
                <w:sz w:val="20"/>
                <w:shd w:fill="FFFFFF" w:val="clear"/>
                <w:lang w:val="en-US"/>
              </w:rPr>
              <w:t xml:space="preserve">50 </w:t>
            </w:r>
            <w:r>
              <w:rPr>
                <w:bCs/>
                <w:color w:val="000000"/>
                <w:sz w:val="20"/>
                <w:shd w:fill="FFFFFF" w:val="clear"/>
              </w:rPr>
              <w:t>м</w:t>
            </w:r>
          </w:p>
        </w:tc>
        <w:tc>
          <w:tcPr>
            <w:tcW w:w="2551" w:type="dxa"/>
            <w:tcBorders>
              <w:top w:val="single" w:sz="4" w:space="0" w:color="000000"/>
              <w:bottom w:val="single" w:sz="4" w:space="0" w:color="000000"/>
              <w:right w:val="single" w:sz="4" w:space="0" w:color="000000"/>
            </w:tcBorders>
          </w:tcPr>
          <w:p>
            <w:pPr>
              <w:pStyle w:val="Normal"/>
              <w:spacing w:lineRule="auto" w:line="240"/>
              <w:jc w:val="left"/>
              <w:rPr>
                <w:bCs/>
                <w:color w:val="000000"/>
                <w:sz w:val="20"/>
                <w:highlight w:val="white"/>
              </w:rPr>
            </w:pPr>
            <w:r>
              <w:rPr>
                <w:bCs/>
                <w:color w:val="000000"/>
                <w:sz w:val="20"/>
                <w:shd w:fill="FFFFFF" w:val="clear"/>
              </w:rPr>
              <w:t>СанПиН 2.2.1/2.1.1.1200-03 «Санитарно-защитные зоны и санитарная классификация предприятий, сооружений и иных объектов»</w:t>
            </w:r>
          </w:p>
        </w:tc>
      </w:tr>
      <w:tr>
        <w:trPr>
          <w:trHeight w:val="20" w:hRule="atLeast"/>
        </w:trPr>
        <w:tc>
          <w:tcPr>
            <w:tcW w:w="421" w:type="dxa"/>
            <w:tcBorders>
              <w:top w:val="single" w:sz="4" w:space="0" w:color="000000"/>
              <w:left w:val="single" w:sz="4" w:space="0" w:color="000000"/>
              <w:bottom w:val="single" w:sz="4" w:space="0" w:color="000000"/>
            </w:tcBorders>
          </w:tcPr>
          <w:p>
            <w:pPr>
              <w:pStyle w:val="Normal"/>
              <w:spacing w:lineRule="auto" w:line="240"/>
              <w:jc w:val="left"/>
              <w:rPr>
                <w:sz w:val="20"/>
                <w:szCs w:val="20"/>
              </w:rPr>
            </w:pPr>
            <w:r>
              <w:rPr>
                <w:sz w:val="20"/>
                <w:szCs w:val="20"/>
              </w:rPr>
              <w:t>9</w:t>
            </w:r>
          </w:p>
        </w:tc>
        <w:tc>
          <w:tcPr>
            <w:tcW w:w="1701"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sz w:val="20"/>
                <w:szCs w:val="20"/>
              </w:rPr>
              <w:t>Кладбище</w:t>
            </w:r>
          </w:p>
        </w:tc>
        <w:tc>
          <w:tcPr>
            <w:tcW w:w="1559"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bCs/>
                <w:sz w:val="20"/>
                <w:szCs w:val="20"/>
                <w:shd w:fill="FFFFFF" w:val="clear"/>
                <w:lang w:bidi="ru-RU"/>
              </w:rPr>
              <w:t>Челябинская область, Варненский муниципальный район, Катенинское сельское поселение, п. Караоба</w:t>
            </w:r>
          </w:p>
        </w:tc>
        <w:tc>
          <w:tcPr>
            <w:tcW w:w="1700" w:type="dxa"/>
            <w:tcBorders>
              <w:top w:val="single" w:sz="4" w:space="0" w:color="000000"/>
              <w:bottom w:val="single" w:sz="4" w:space="0" w:color="000000"/>
            </w:tcBorders>
          </w:tcPr>
          <w:p>
            <w:pPr>
              <w:pStyle w:val="Normal"/>
              <w:spacing w:lineRule="auto" w:line="240"/>
              <w:jc w:val="left"/>
              <w:rPr>
                <w:bCs/>
                <w:color w:val="000000"/>
                <w:sz w:val="20"/>
                <w:highlight w:val="white"/>
              </w:rPr>
            </w:pPr>
            <w:r>
              <w:rPr>
                <w:sz w:val="20"/>
              </w:rPr>
              <w:t>Захоронение площадью 0,5 га</w:t>
            </w:r>
          </w:p>
        </w:tc>
        <w:tc>
          <w:tcPr>
            <w:tcW w:w="1985" w:type="dxa"/>
            <w:tcBorders>
              <w:top w:val="single" w:sz="4" w:space="0" w:color="000000"/>
              <w:bottom w:val="single" w:sz="4" w:space="0" w:color="000000"/>
            </w:tcBorders>
          </w:tcPr>
          <w:p>
            <w:pPr>
              <w:pStyle w:val="Normal"/>
              <w:spacing w:lineRule="auto" w:line="240"/>
              <w:jc w:val="center"/>
              <w:rPr>
                <w:bCs/>
                <w:color w:val="000000"/>
                <w:sz w:val="20"/>
                <w:highlight w:val="white"/>
              </w:rPr>
            </w:pPr>
            <w:r>
              <w:rPr>
                <w:bCs/>
                <w:color w:val="000000"/>
                <w:sz w:val="20"/>
                <w:shd w:fill="FFFFFF" w:val="clear"/>
                <w:lang w:val="en-US"/>
              </w:rPr>
              <w:t xml:space="preserve">50 </w:t>
            </w:r>
            <w:r>
              <w:rPr>
                <w:bCs/>
                <w:color w:val="000000"/>
                <w:sz w:val="20"/>
                <w:shd w:fill="FFFFFF" w:val="clear"/>
              </w:rPr>
              <w:t>м</w:t>
            </w:r>
          </w:p>
        </w:tc>
        <w:tc>
          <w:tcPr>
            <w:tcW w:w="2551" w:type="dxa"/>
            <w:tcBorders>
              <w:top w:val="single" w:sz="4" w:space="0" w:color="000000"/>
              <w:bottom w:val="single" w:sz="4" w:space="0" w:color="000000"/>
              <w:right w:val="single" w:sz="4" w:space="0" w:color="000000"/>
            </w:tcBorders>
          </w:tcPr>
          <w:p>
            <w:pPr>
              <w:pStyle w:val="Normal"/>
              <w:spacing w:lineRule="auto" w:line="240"/>
              <w:jc w:val="left"/>
              <w:rPr>
                <w:bCs/>
                <w:color w:val="000000"/>
                <w:sz w:val="20"/>
                <w:highlight w:val="white"/>
              </w:rPr>
            </w:pPr>
            <w:r>
              <w:rPr>
                <w:bCs/>
                <w:color w:val="000000"/>
                <w:sz w:val="20"/>
                <w:shd w:fill="FFFFFF" w:val="clear"/>
              </w:rPr>
              <w:t>СанПиН 2.2.1/2.1.1.1200-03 «Санитарно-защитные зоны и санитарная классификация предприятий, сооружений и иных объектов»</w:t>
            </w:r>
          </w:p>
        </w:tc>
      </w:tr>
      <w:tr>
        <w:trPr>
          <w:trHeight w:val="20" w:hRule="atLeast"/>
        </w:trPr>
        <w:tc>
          <w:tcPr>
            <w:tcW w:w="421" w:type="dxa"/>
            <w:tcBorders>
              <w:top w:val="single" w:sz="4" w:space="0" w:color="000000"/>
              <w:left w:val="single" w:sz="4" w:space="0" w:color="000000"/>
              <w:bottom w:val="single" w:sz="4" w:space="0" w:color="000000"/>
            </w:tcBorders>
          </w:tcPr>
          <w:p>
            <w:pPr>
              <w:pStyle w:val="Normal"/>
              <w:spacing w:lineRule="auto" w:line="240"/>
              <w:jc w:val="left"/>
              <w:rPr>
                <w:sz w:val="20"/>
                <w:szCs w:val="20"/>
              </w:rPr>
            </w:pPr>
            <w:r>
              <w:rPr>
                <w:sz w:val="20"/>
                <w:szCs w:val="20"/>
              </w:rPr>
              <w:t>10</w:t>
            </w:r>
          </w:p>
        </w:tc>
        <w:tc>
          <w:tcPr>
            <w:tcW w:w="1701"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sz w:val="20"/>
                <w:szCs w:val="20"/>
              </w:rPr>
              <w:t>Кладбище</w:t>
            </w:r>
          </w:p>
        </w:tc>
        <w:tc>
          <w:tcPr>
            <w:tcW w:w="1559"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bCs/>
                <w:sz w:val="20"/>
                <w:szCs w:val="20"/>
                <w:shd w:fill="FFFFFF" w:val="clear"/>
                <w:lang w:bidi="ru-RU"/>
              </w:rPr>
              <w:t>Челябинская область, Варненский муниципальный район, Катенинское сельское поселение, п. Комсомольский</w:t>
            </w:r>
          </w:p>
        </w:tc>
        <w:tc>
          <w:tcPr>
            <w:tcW w:w="1700" w:type="dxa"/>
            <w:tcBorders>
              <w:top w:val="single" w:sz="4" w:space="0" w:color="000000"/>
              <w:bottom w:val="single" w:sz="4" w:space="0" w:color="000000"/>
            </w:tcBorders>
          </w:tcPr>
          <w:p>
            <w:pPr>
              <w:pStyle w:val="Normal"/>
              <w:spacing w:lineRule="auto" w:line="240"/>
              <w:jc w:val="left"/>
              <w:rPr>
                <w:bCs/>
                <w:color w:val="000000"/>
                <w:sz w:val="20"/>
                <w:highlight w:val="white"/>
              </w:rPr>
            </w:pPr>
            <w:r>
              <w:rPr>
                <w:sz w:val="20"/>
              </w:rPr>
              <w:t>Захоронение площадью 0,35 га</w:t>
            </w:r>
          </w:p>
        </w:tc>
        <w:tc>
          <w:tcPr>
            <w:tcW w:w="1985" w:type="dxa"/>
            <w:tcBorders>
              <w:top w:val="single" w:sz="4" w:space="0" w:color="000000"/>
              <w:bottom w:val="single" w:sz="4" w:space="0" w:color="000000"/>
            </w:tcBorders>
          </w:tcPr>
          <w:p>
            <w:pPr>
              <w:pStyle w:val="Normal"/>
              <w:spacing w:lineRule="auto" w:line="240"/>
              <w:jc w:val="center"/>
              <w:rPr>
                <w:bCs/>
                <w:color w:val="000000"/>
                <w:sz w:val="20"/>
                <w:highlight w:val="white"/>
              </w:rPr>
            </w:pPr>
            <w:r>
              <w:rPr>
                <w:bCs/>
                <w:color w:val="000000"/>
                <w:sz w:val="20"/>
                <w:shd w:fill="FFFFFF" w:val="clear"/>
                <w:lang w:val="en-US"/>
              </w:rPr>
              <w:t xml:space="preserve">50 </w:t>
            </w:r>
            <w:r>
              <w:rPr>
                <w:bCs/>
                <w:color w:val="000000"/>
                <w:sz w:val="20"/>
                <w:shd w:fill="FFFFFF" w:val="clear"/>
              </w:rPr>
              <w:t>м</w:t>
            </w:r>
          </w:p>
        </w:tc>
        <w:tc>
          <w:tcPr>
            <w:tcW w:w="2551" w:type="dxa"/>
            <w:tcBorders>
              <w:top w:val="single" w:sz="4" w:space="0" w:color="000000"/>
              <w:bottom w:val="single" w:sz="4" w:space="0" w:color="000000"/>
              <w:right w:val="single" w:sz="4" w:space="0" w:color="000000"/>
            </w:tcBorders>
          </w:tcPr>
          <w:p>
            <w:pPr>
              <w:pStyle w:val="Normal"/>
              <w:spacing w:lineRule="auto" w:line="240"/>
              <w:jc w:val="left"/>
              <w:rPr>
                <w:bCs/>
                <w:color w:val="000000"/>
                <w:sz w:val="20"/>
                <w:highlight w:val="white"/>
              </w:rPr>
            </w:pPr>
            <w:r>
              <w:rPr>
                <w:bCs/>
                <w:color w:val="000000"/>
                <w:sz w:val="20"/>
                <w:shd w:fill="FFFFFF" w:val="clear"/>
              </w:rPr>
              <w:t>СанПиН 2.2.1/2.1.1.1200-03 «Санитарно-защитные зоны и санитарная классификация предприятий, сооружений и иных объектов»</w:t>
            </w:r>
          </w:p>
        </w:tc>
      </w:tr>
      <w:tr>
        <w:trPr>
          <w:trHeight w:val="20" w:hRule="atLeast"/>
        </w:trPr>
        <w:tc>
          <w:tcPr>
            <w:tcW w:w="421" w:type="dxa"/>
            <w:tcBorders>
              <w:top w:val="single" w:sz="4" w:space="0" w:color="000000"/>
              <w:left w:val="single" w:sz="4" w:space="0" w:color="000000"/>
              <w:bottom w:val="single" w:sz="4" w:space="0" w:color="000000"/>
            </w:tcBorders>
          </w:tcPr>
          <w:p>
            <w:pPr>
              <w:pStyle w:val="Normal"/>
              <w:spacing w:lineRule="auto" w:line="240"/>
              <w:jc w:val="left"/>
              <w:rPr>
                <w:sz w:val="20"/>
                <w:szCs w:val="20"/>
              </w:rPr>
            </w:pPr>
            <w:r>
              <w:rPr>
                <w:sz w:val="20"/>
                <w:szCs w:val="20"/>
              </w:rPr>
              <w:t>11</w:t>
            </w:r>
          </w:p>
        </w:tc>
        <w:tc>
          <w:tcPr>
            <w:tcW w:w="1701"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sz w:val="20"/>
                <w:szCs w:val="20"/>
              </w:rPr>
              <w:t>Кладбище</w:t>
            </w:r>
          </w:p>
        </w:tc>
        <w:tc>
          <w:tcPr>
            <w:tcW w:w="1559" w:type="dxa"/>
            <w:tcBorders>
              <w:top w:val="single" w:sz="4" w:space="0" w:color="000000"/>
              <w:bottom w:val="single" w:sz="4" w:space="0" w:color="000000"/>
            </w:tcBorders>
            <w:shd w:color="auto" w:fill="auto" w:val="clear"/>
          </w:tcPr>
          <w:p>
            <w:pPr>
              <w:pStyle w:val="Normal"/>
              <w:spacing w:lineRule="auto" w:line="240"/>
              <w:jc w:val="left"/>
              <w:rPr>
                <w:bCs/>
                <w:color w:val="000000"/>
                <w:sz w:val="20"/>
                <w:highlight w:val="white"/>
              </w:rPr>
            </w:pPr>
            <w:r>
              <w:rPr>
                <w:bCs/>
                <w:sz w:val="20"/>
                <w:szCs w:val="20"/>
                <w:shd w:fill="FFFFFF" w:val="clear"/>
                <w:lang w:bidi="ru-RU"/>
              </w:rPr>
              <w:t>Челябинская область, Варненский муниципальный район, Катенинское сельское поселение, п. Красноармейский</w:t>
            </w:r>
          </w:p>
        </w:tc>
        <w:tc>
          <w:tcPr>
            <w:tcW w:w="1700" w:type="dxa"/>
            <w:tcBorders>
              <w:top w:val="single" w:sz="4" w:space="0" w:color="000000"/>
              <w:bottom w:val="single" w:sz="4" w:space="0" w:color="000000"/>
            </w:tcBorders>
          </w:tcPr>
          <w:p>
            <w:pPr>
              <w:pStyle w:val="Normal"/>
              <w:spacing w:lineRule="auto" w:line="240"/>
              <w:jc w:val="left"/>
              <w:rPr>
                <w:bCs/>
                <w:color w:val="000000"/>
                <w:sz w:val="20"/>
                <w:highlight w:val="white"/>
              </w:rPr>
            </w:pPr>
            <w:r>
              <w:rPr>
                <w:sz w:val="20"/>
              </w:rPr>
              <w:t>Захоронение</w:t>
            </w:r>
          </w:p>
        </w:tc>
        <w:tc>
          <w:tcPr>
            <w:tcW w:w="1985" w:type="dxa"/>
            <w:tcBorders>
              <w:top w:val="single" w:sz="4" w:space="0" w:color="000000"/>
              <w:bottom w:val="single" w:sz="4" w:space="0" w:color="000000"/>
            </w:tcBorders>
          </w:tcPr>
          <w:p>
            <w:pPr>
              <w:pStyle w:val="Normal"/>
              <w:spacing w:lineRule="auto" w:line="240"/>
              <w:jc w:val="center"/>
              <w:rPr>
                <w:bCs/>
                <w:color w:val="000000"/>
                <w:sz w:val="20"/>
                <w:highlight w:val="white"/>
              </w:rPr>
            </w:pPr>
            <w:r>
              <w:rPr>
                <w:bCs/>
                <w:color w:val="000000"/>
                <w:sz w:val="20"/>
                <w:shd w:fill="FFFFFF" w:val="clear"/>
                <w:lang w:val="en-US"/>
              </w:rPr>
              <w:t xml:space="preserve">50 </w:t>
            </w:r>
            <w:r>
              <w:rPr>
                <w:bCs/>
                <w:color w:val="000000"/>
                <w:sz w:val="20"/>
                <w:shd w:fill="FFFFFF" w:val="clear"/>
              </w:rPr>
              <w:t>м</w:t>
            </w:r>
          </w:p>
        </w:tc>
        <w:tc>
          <w:tcPr>
            <w:tcW w:w="2551" w:type="dxa"/>
            <w:tcBorders>
              <w:top w:val="single" w:sz="4" w:space="0" w:color="000000"/>
              <w:bottom w:val="single" w:sz="4" w:space="0" w:color="000000"/>
              <w:right w:val="single" w:sz="4" w:space="0" w:color="000000"/>
            </w:tcBorders>
          </w:tcPr>
          <w:p>
            <w:pPr>
              <w:pStyle w:val="Normal"/>
              <w:spacing w:lineRule="auto" w:line="240"/>
              <w:jc w:val="left"/>
              <w:rPr>
                <w:bCs/>
                <w:color w:val="000000"/>
                <w:sz w:val="20"/>
                <w:highlight w:val="white"/>
              </w:rPr>
            </w:pPr>
            <w:r>
              <w:rPr>
                <w:bCs/>
                <w:color w:val="000000"/>
                <w:sz w:val="20"/>
                <w:shd w:fill="FFFFFF" w:val="clear"/>
              </w:rPr>
              <w:t>СанПиН 2.2.1/2.1.1.1200-03 «Санитарно-защитные зоны и санитарная классификация предприятий, сооружений и иных объектов»</w:t>
            </w:r>
          </w:p>
        </w:tc>
      </w:tr>
    </w:tbl>
    <w:p>
      <w:pPr>
        <w:pStyle w:val="Normal"/>
        <w:spacing w:lineRule="auto" w:line="276"/>
        <w:ind w:firstLine="709"/>
        <w:rPr>
          <w:color w:val="000000"/>
          <w:szCs w:val="24"/>
        </w:rPr>
      </w:pPr>
      <w:r>
        <w:rPr>
          <w:color w:val="000000"/>
        </w:rPr>
        <w:t xml:space="preserve">Режим санитарно-защитных зон определяется в соответствии с пунктом 5 постановления </w:t>
      </w:r>
      <w:r>
        <w:rPr>
          <w:color w:val="000000"/>
          <w:szCs w:val="24"/>
        </w:rPr>
        <w:t>Правительства Российской Федерации от 03.03.2018 № 222 «Об утверждении Правил установления санитарно-защитных зон и использования земельных участков, расположенных в границах санитарно-защитных зон». В границах санитарно-защитной зоны не допускается использование земельных участков в целях:</w:t>
      </w:r>
    </w:p>
    <w:p>
      <w:pPr>
        <w:pStyle w:val="ListParagraph"/>
        <w:numPr>
          <w:ilvl w:val="0"/>
          <w:numId w:val="27"/>
        </w:numPr>
        <w:spacing w:before="0" w:after="0"/>
        <w:ind w:left="0" w:firstLine="426"/>
        <w:contextualSpacing/>
        <w:jc w:val="both"/>
        <w:rPr>
          <w:rFonts w:ascii="Times New Roman" w:hAnsi="Times New Roman"/>
          <w:sz w:val="24"/>
          <w:szCs w:val="24"/>
        </w:rPr>
      </w:pPr>
      <w:r>
        <w:rPr>
          <w:sz w:val="24"/>
          <w:szCs w:val="24"/>
        </w:rPr>
        <w:t>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pPr>
        <w:pStyle w:val="ListParagraph"/>
        <w:numPr>
          <w:ilvl w:val="0"/>
          <w:numId w:val="27"/>
        </w:numPr>
        <w:spacing w:before="0" w:after="0"/>
        <w:ind w:left="0" w:firstLine="426"/>
        <w:contextualSpacing/>
        <w:jc w:val="both"/>
        <w:rPr>
          <w:rFonts w:ascii="Times New Roman" w:hAnsi="Times New Roman"/>
          <w:color w:val="000000"/>
          <w:sz w:val="24"/>
          <w:szCs w:val="24"/>
        </w:rPr>
      </w:pPr>
      <w:r>
        <w:rPr>
          <w:sz w:val="24"/>
          <w:szCs w:val="24"/>
        </w:rPr>
        <w:t>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w:t>
      </w:r>
      <w:r>
        <w:rPr>
          <w:color w:val="000000"/>
          <w:sz w:val="24"/>
          <w:szCs w:val="24"/>
        </w:rPr>
        <w:t>, сырья, воды и продукции в соответствии с установленными к ним требованиями.</w:t>
      </w:r>
    </w:p>
    <w:p>
      <w:pPr>
        <w:pStyle w:val="Normal"/>
        <w:keepNext w:val="true"/>
        <w:numPr>
          <w:ilvl w:val="0"/>
          <w:numId w:val="0"/>
        </w:numPr>
        <w:tabs>
          <w:tab w:val="clear" w:pos="708"/>
          <w:tab w:val="left" w:pos="709" w:leader="none"/>
        </w:tabs>
        <w:spacing w:lineRule="auto" w:line="276" w:before="120" w:after="200"/>
        <w:outlineLvl w:val="2"/>
        <w:rPr>
          <w:rFonts w:eastAsia="Tahoma"/>
          <w:b/>
          <w:b/>
          <w:szCs w:val="24"/>
        </w:rPr>
      </w:pPr>
      <w:bookmarkStart w:id="249" w:name="_Toc182210505"/>
      <w:r>
        <w:rPr>
          <w:rFonts w:eastAsia="Times New Roman"/>
          <w:b/>
          <w:szCs w:val="24"/>
        </w:rPr>
        <w:t>11</w:t>
      </w:r>
      <w:r>
        <w:rPr>
          <w:rFonts w:eastAsia="Tahoma"/>
          <w:b/>
          <w:szCs w:val="24"/>
        </w:rPr>
        <w:t xml:space="preserve">.2 </w:t>
      </w:r>
      <w:r>
        <w:rPr>
          <w:rFonts w:eastAsia="Times New Roman"/>
          <w:b/>
          <w:szCs w:val="24"/>
        </w:rPr>
        <w:t>Водоохранная зона, прибрежная защитная полоса</w:t>
      </w:r>
      <w:bookmarkEnd w:id="247"/>
      <w:bookmarkEnd w:id="248"/>
      <w:bookmarkEnd w:id="249"/>
    </w:p>
    <w:p>
      <w:pPr>
        <w:pStyle w:val="Normal"/>
        <w:spacing w:lineRule="auto" w:line="276"/>
        <w:ind w:firstLine="709"/>
        <w:rPr>
          <w:color w:val="000000"/>
          <w:szCs w:val="24"/>
        </w:rPr>
      </w:pPr>
      <w:bookmarkStart w:id="250" w:name="_Toc115250837"/>
      <w:bookmarkStart w:id="251" w:name="_Toc80966052"/>
      <w:r>
        <w:rPr>
          <w:color w:val="000000"/>
          <w:szCs w:val="24"/>
        </w:rPr>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pPr>
        <w:pStyle w:val="Normal"/>
        <w:spacing w:lineRule="auto" w:line="276"/>
        <w:ind w:firstLine="709"/>
        <w:rPr>
          <w:color w:val="000000"/>
          <w:szCs w:val="24"/>
        </w:rPr>
      </w:pPr>
      <w:r>
        <w:rPr>
          <w:color w:val="000000"/>
          <w:szCs w:val="24"/>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pPr>
        <w:pStyle w:val="Normal"/>
        <w:spacing w:lineRule="auto" w:line="276"/>
        <w:ind w:firstLine="709"/>
        <w:rPr>
          <w:color w:val="000000"/>
          <w:szCs w:val="24"/>
        </w:rPr>
      </w:pPr>
      <w:r>
        <w:rPr>
          <w:color w:val="000000"/>
          <w:szCs w:val="24"/>
        </w:rPr>
        <w:t>Согласно частям 4, 5, 6 статьи 65 Водного кодекса Российской Федерации ширина водоохранной зоны рек или ручьев устанавливается от их истока для рек или ручьев протяженностью:</w:t>
      </w:r>
    </w:p>
    <w:p>
      <w:pPr>
        <w:pStyle w:val="Normal"/>
        <w:numPr>
          <w:ilvl w:val="0"/>
          <w:numId w:val="28"/>
        </w:numPr>
        <w:spacing w:lineRule="auto" w:line="276"/>
        <w:ind w:left="0" w:firstLine="426"/>
        <w:rPr>
          <w:color w:val="000000"/>
          <w:szCs w:val="24"/>
        </w:rPr>
      </w:pPr>
      <w:bookmarkStart w:id="252" w:name="dst100576"/>
      <w:bookmarkEnd w:id="252"/>
      <w:r>
        <w:rPr>
          <w:color w:val="000000"/>
          <w:szCs w:val="24"/>
        </w:rPr>
        <w:t>до десяти километров — в размере 50 м;</w:t>
      </w:r>
    </w:p>
    <w:p>
      <w:pPr>
        <w:pStyle w:val="Normal"/>
        <w:numPr>
          <w:ilvl w:val="0"/>
          <w:numId w:val="28"/>
        </w:numPr>
        <w:spacing w:lineRule="auto" w:line="276"/>
        <w:ind w:left="0" w:firstLine="426"/>
        <w:rPr>
          <w:color w:val="000000"/>
          <w:szCs w:val="24"/>
        </w:rPr>
      </w:pPr>
      <w:bookmarkStart w:id="253" w:name="dst100577"/>
      <w:bookmarkEnd w:id="253"/>
      <w:r>
        <w:rPr>
          <w:color w:val="000000"/>
          <w:szCs w:val="24"/>
        </w:rPr>
        <w:t>от десяти до пятидесяти километров — в размере 100 м;</w:t>
      </w:r>
    </w:p>
    <w:p>
      <w:pPr>
        <w:pStyle w:val="Normal"/>
        <w:numPr>
          <w:ilvl w:val="0"/>
          <w:numId w:val="28"/>
        </w:numPr>
        <w:spacing w:lineRule="auto" w:line="276"/>
        <w:ind w:left="0" w:firstLine="426"/>
        <w:rPr>
          <w:color w:val="000000"/>
          <w:szCs w:val="24"/>
        </w:rPr>
      </w:pPr>
      <w:bookmarkStart w:id="254" w:name="dst100578"/>
      <w:bookmarkEnd w:id="254"/>
      <w:r>
        <w:rPr>
          <w:color w:val="000000"/>
          <w:szCs w:val="24"/>
        </w:rPr>
        <w:t>от пятидесяти километров и более — в размере 200 м.</w:t>
      </w:r>
      <w:bookmarkStart w:id="255" w:name="dst100579"/>
      <w:bookmarkEnd w:id="255"/>
    </w:p>
    <w:p>
      <w:pPr>
        <w:pStyle w:val="Normal"/>
        <w:spacing w:lineRule="auto" w:line="276"/>
        <w:ind w:firstLine="709"/>
        <w:rPr>
          <w:color w:val="000000"/>
          <w:szCs w:val="24"/>
        </w:rPr>
      </w:pPr>
      <w:r>
        <w:rPr>
          <w:color w:val="000000"/>
          <w:szCs w:val="24"/>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50 метров.</w:t>
      </w:r>
    </w:p>
    <w:p>
      <w:pPr>
        <w:pStyle w:val="Normal"/>
        <w:spacing w:lineRule="auto" w:line="276"/>
        <w:ind w:firstLine="709"/>
        <w:rPr>
          <w:color w:val="000000"/>
          <w:szCs w:val="24"/>
        </w:rPr>
      </w:pPr>
      <w:r>
        <w:rPr>
          <w:color w:val="000000"/>
          <w:szCs w:val="24"/>
        </w:rPr>
        <w:t xml:space="preserve">Ширина водоохранной зоны озера, за исключением озера, расположенного внутри болота, или озера, с акваторией менее 0,5 квадратного километра, устанавливается в размере 50 метров. </w:t>
      </w:r>
    </w:p>
    <w:p>
      <w:pPr>
        <w:pStyle w:val="Normal"/>
        <w:tabs>
          <w:tab w:val="clear" w:pos="708"/>
          <w:tab w:val="left" w:pos="520" w:leader="none"/>
          <w:tab w:val="left" w:pos="3450" w:leader="none"/>
          <w:tab w:val="left" w:pos="7523" w:leader="none"/>
        </w:tabs>
        <w:spacing w:lineRule="auto" w:line="276"/>
        <w:ind w:firstLine="709"/>
        <w:rPr>
          <w:rFonts w:eastAsia="Arial Unicode MS"/>
          <w:szCs w:val="24"/>
        </w:rPr>
      </w:pPr>
      <w:r>
        <w:rPr>
          <w:rFonts w:eastAsia="Arial Unicode MS"/>
          <w:szCs w:val="24"/>
          <w:lang w:eastAsia="ru-RU"/>
        </w:rPr>
        <w:t>Характеристика водоохранных зон, прибрежных защитных полос, береговых полос водных объектов</w:t>
      </w:r>
      <w:r>
        <w:rPr>
          <w:rFonts w:eastAsia="Arial Unicode MS"/>
          <w:szCs w:val="24"/>
        </w:rPr>
        <w:t xml:space="preserve"> </w:t>
      </w:r>
      <w:r>
        <w:rPr>
          <w:rFonts w:eastAsia="Arial Unicode MS"/>
          <w:szCs w:val="24"/>
          <w:lang w:eastAsia="ru-RU"/>
        </w:rPr>
        <w:t>приведена</w:t>
      </w:r>
      <w:r>
        <w:rPr>
          <w:rFonts w:eastAsia="Arial Unicode MS"/>
          <w:szCs w:val="24"/>
        </w:rPr>
        <w:t xml:space="preserve"> </w:t>
      </w:r>
      <w:r>
        <w:rPr>
          <w:rFonts w:eastAsia="Arial Unicode MS"/>
          <w:szCs w:val="24"/>
          <w:lang w:eastAsia="ru-RU"/>
        </w:rPr>
        <w:t>в таблице 3.11.2.</w:t>
      </w:r>
    </w:p>
    <w:p>
      <w:pPr>
        <w:pStyle w:val="Normal"/>
        <w:tabs>
          <w:tab w:val="clear" w:pos="708"/>
          <w:tab w:val="left" w:pos="520" w:leader="none"/>
          <w:tab w:val="left" w:pos="3450" w:leader="none"/>
          <w:tab w:val="left" w:pos="7523" w:leader="none"/>
        </w:tabs>
        <w:spacing w:lineRule="auto" w:line="276"/>
        <w:ind w:right="-1" w:firstLine="709"/>
        <w:jc w:val="right"/>
        <w:rPr>
          <w:rFonts w:eastAsia="Arial Unicode MS"/>
          <w:szCs w:val="24"/>
        </w:rPr>
      </w:pPr>
      <w:r>
        <w:rPr>
          <w:rFonts w:eastAsia="Arial Unicode MS"/>
          <w:szCs w:val="24"/>
        </w:rPr>
        <w:t>Таблица 3.11.2</w:t>
      </w:r>
    </w:p>
    <w:p>
      <w:pPr>
        <w:pStyle w:val="Normal"/>
        <w:tabs>
          <w:tab w:val="clear" w:pos="708"/>
          <w:tab w:val="left" w:pos="520" w:leader="none"/>
          <w:tab w:val="left" w:pos="3450" w:leader="none"/>
          <w:tab w:val="left" w:pos="7523" w:leader="none"/>
        </w:tabs>
        <w:spacing w:lineRule="auto" w:line="276"/>
        <w:jc w:val="center"/>
        <w:rPr>
          <w:rFonts w:eastAsia="Arial Unicode MS"/>
          <w:szCs w:val="24"/>
        </w:rPr>
      </w:pPr>
      <w:r>
        <w:rPr>
          <w:rFonts w:eastAsia="Arial Unicode MS"/>
          <w:szCs w:val="24"/>
        </w:rPr>
        <w:t xml:space="preserve">Характеристика водоохранных зон, прибрежных защитных полос, </w:t>
        <w:br/>
        <w:t>береговых полос водных объектов</w:t>
      </w:r>
    </w:p>
    <w:tbl>
      <w:tblPr>
        <w:tblStyle w:val="11c"/>
        <w:tblW w:w="5000" w:type="pct"/>
        <w:jc w:val="left"/>
        <w:tblInd w:w="-108" w:type="dxa"/>
        <w:tblCellMar>
          <w:top w:w="0" w:type="dxa"/>
          <w:left w:w="108" w:type="dxa"/>
          <w:bottom w:w="0" w:type="dxa"/>
          <w:right w:w="108" w:type="dxa"/>
        </w:tblCellMar>
        <w:tblLook w:firstRow="1" w:noVBand="1" w:lastRow="0" w:firstColumn="1" w:lastColumn="0" w:noHBand="0" w:val="04a0"/>
      </w:tblPr>
      <w:tblGrid>
        <w:gridCol w:w="431"/>
        <w:gridCol w:w="1601"/>
        <w:gridCol w:w="1704"/>
        <w:gridCol w:w="1527"/>
        <w:gridCol w:w="1592"/>
        <w:gridCol w:w="1502"/>
        <w:gridCol w:w="1847"/>
      </w:tblGrid>
      <w:tr>
        <w:trPr>
          <w:tblHeader w:val="true"/>
        </w:trPr>
        <w:tc>
          <w:tcPr>
            <w:tcW w:w="431" w:type="dxa"/>
            <w:tcBorders>
              <w:bottom w:val="nil"/>
            </w:tcBorders>
            <w:vAlign w:val="center"/>
          </w:tcPr>
          <w:p>
            <w:pPr>
              <w:pStyle w:val="Normal"/>
              <w:spacing w:lineRule="auto" w:line="240"/>
              <w:jc w:val="center"/>
              <w:rPr>
                <w:rFonts w:eastAsia="Times New Roman"/>
                <w:b/>
                <w:b/>
                <w:sz w:val="20"/>
                <w:szCs w:val="20"/>
              </w:rPr>
            </w:pPr>
            <w:r>
              <w:rPr>
                <w:rFonts w:eastAsia="Times New Roman"/>
                <w:b/>
                <w:sz w:val="20"/>
                <w:szCs w:val="20"/>
                <w:lang w:eastAsia="en-US"/>
              </w:rPr>
              <w:t>№</w:t>
            </w:r>
          </w:p>
        </w:tc>
        <w:tc>
          <w:tcPr>
            <w:tcW w:w="1601" w:type="dxa"/>
            <w:tcBorders>
              <w:bottom w:val="nil"/>
            </w:tcBorders>
            <w:vAlign w:val="center"/>
          </w:tcPr>
          <w:p>
            <w:pPr>
              <w:pStyle w:val="Normal"/>
              <w:spacing w:lineRule="auto" w:line="240"/>
              <w:jc w:val="center"/>
              <w:rPr>
                <w:rFonts w:eastAsia="Times New Roman"/>
                <w:b/>
                <w:b/>
                <w:sz w:val="20"/>
                <w:szCs w:val="20"/>
              </w:rPr>
            </w:pPr>
            <w:r>
              <w:rPr>
                <w:rFonts w:eastAsia="Times New Roman"/>
                <w:b/>
                <w:sz w:val="20"/>
                <w:szCs w:val="20"/>
                <w:lang w:eastAsia="en-US"/>
              </w:rPr>
              <w:t>Наименование водного объекта</w:t>
            </w:r>
          </w:p>
        </w:tc>
        <w:tc>
          <w:tcPr>
            <w:tcW w:w="1704" w:type="dxa"/>
            <w:tcBorders>
              <w:bottom w:val="nil"/>
            </w:tcBorders>
            <w:vAlign w:val="center"/>
          </w:tcPr>
          <w:p>
            <w:pPr>
              <w:pStyle w:val="Normal"/>
              <w:spacing w:lineRule="auto" w:line="240"/>
              <w:jc w:val="center"/>
              <w:rPr>
                <w:rFonts w:eastAsia="Times New Roman"/>
                <w:b/>
                <w:b/>
                <w:sz w:val="20"/>
                <w:szCs w:val="20"/>
              </w:rPr>
            </w:pPr>
            <w:r>
              <w:rPr>
                <w:rFonts w:eastAsia="Times New Roman"/>
                <w:b/>
                <w:sz w:val="20"/>
                <w:szCs w:val="20"/>
                <w:lang w:eastAsia="en-US"/>
              </w:rPr>
              <w:t>Общая протяженность, км/площадь, км</w:t>
            </w:r>
            <w:r>
              <w:rPr>
                <w:rFonts w:eastAsia="Times New Roman"/>
                <w:b/>
                <w:sz w:val="20"/>
                <w:szCs w:val="20"/>
                <w:vertAlign w:val="superscript"/>
                <w:lang w:eastAsia="en-US"/>
              </w:rPr>
              <w:t>2</w:t>
            </w:r>
          </w:p>
        </w:tc>
        <w:tc>
          <w:tcPr>
            <w:tcW w:w="1527" w:type="dxa"/>
            <w:tcBorders>
              <w:bottom w:val="nil"/>
            </w:tcBorders>
            <w:vAlign w:val="center"/>
          </w:tcPr>
          <w:p>
            <w:pPr>
              <w:pStyle w:val="Normal"/>
              <w:spacing w:lineRule="auto" w:line="240"/>
              <w:jc w:val="center"/>
              <w:rPr>
                <w:rFonts w:eastAsia="Times New Roman"/>
                <w:b/>
                <w:b/>
                <w:sz w:val="20"/>
                <w:szCs w:val="20"/>
              </w:rPr>
            </w:pPr>
            <w:r>
              <w:rPr>
                <w:rFonts w:eastAsia="Times New Roman"/>
                <w:b/>
                <w:sz w:val="20"/>
                <w:szCs w:val="20"/>
                <w:lang w:eastAsia="en-US"/>
              </w:rPr>
              <w:t>Ширина водоохранной зоны, м</w:t>
            </w:r>
          </w:p>
        </w:tc>
        <w:tc>
          <w:tcPr>
            <w:tcW w:w="1592" w:type="dxa"/>
            <w:tcBorders>
              <w:bottom w:val="nil"/>
            </w:tcBorders>
            <w:vAlign w:val="center"/>
          </w:tcPr>
          <w:p>
            <w:pPr>
              <w:pStyle w:val="Normal"/>
              <w:spacing w:lineRule="auto" w:line="240"/>
              <w:jc w:val="center"/>
              <w:rPr>
                <w:rFonts w:eastAsia="Times New Roman"/>
                <w:b/>
                <w:b/>
                <w:sz w:val="20"/>
                <w:szCs w:val="20"/>
              </w:rPr>
            </w:pPr>
            <w:r>
              <w:rPr>
                <w:rFonts w:eastAsia="Times New Roman"/>
                <w:b/>
                <w:sz w:val="20"/>
                <w:szCs w:val="20"/>
                <w:lang w:eastAsia="en-US"/>
              </w:rPr>
              <w:t>Ширина прибрежной защитной полосы, м</w:t>
            </w:r>
          </w:p>
        </w:tc>
        <w:tc>
          <w:tcPr>
            <w:tcW w:w="1502" w:type="dxa"/>
            <w:tcBorders>
              <w:bottom w:val="nil"/>
            </w:tcBorders>
            <w:vAlign w:val="center"/>
          </w:tcPr>
          <w:p>
            <w:pPr>
              <w:pStyle w:val="Normal"/>
              <w:spacing w:lineRule="auto" w:line="240"/>
              <w:jc w:val="center"/>
              <w:rPr>
                <w:rFonts w:eastAsia="Times New Roman"/>
                <w:b/>
                <w:b/>
                <w:sz w:val="20"/>
                <w:szCs w:val="20"/>
              </w:rPr>
            </w:pPr>
            <w:r>
              <w:rPr>
                <w:rFonts w:eastAsia="Times New Roman"/>
                <w:b/>
                <w:sz w:val="20"/>
                <w:szCs w:val="20"/>
                <w:lang w:eastAsia="en-US"/>
              </w:rPr>
              <w:t>Ширина береговой полосы, м</w:t>
            </w:r>
          </w:p>
        </w:tc>
        <w:tc>
          <w:tcPr>
            <w:tcW w:w="1847" w:type="dxa"/>
            <w:tcBorders>
              <w:bottom w:val="nil"/>
            </w:tcBorders>
            <w:vAlign w:val="center"/>
          </w:tcPr>
          <w:p>
            <w:pPr>
              <w:pStyle w:val="Normal"/>
              <w:spacing w:lineRule="auto" w:line="240"/>
              <w:jc w:val="center"/>
              <w:rPr>
                <w:rFonts w:eastAsia="Times New Roman"/>
                <w:b/>
                <w:b/>
                <w:sz w:val="20"/>
                <w:szCs w:val="20"/>
              </w:rPr>
            </w:pPr>
            <w:r>
              <w:rPr>
                <w:rFonts w:eastAsia="Times New Roman"/>
                <w:b/>
                <w:sz w:val="20"/>
                <w:szCs w:val="20"/>
                <w:lang w:eastAsia="en-US"/>
              </w:rPr>
              <w:t>Основание</w:t>
            </w:r>
          </w:p>
        </w:tc>
      </w:tr>
    </w:tbl>
    <w:p>
      <w:pPr>
        <w:pStyle w:val="Normal"/>
        <w:tabs>
          <w:tab w:val="clear" w:pos="708"/>
          <w:tab w:val="left" w:pos="520" w:leader="none"/>
          <w:tab w:val="left" w:pos="3450" w:leader="none"/>
          <w:tab w:val="left" w:pos="7523" w:leader="none"/>
        </w:tabs>
        <w:spacing w:lineRule="auto" w:line="12"/>
        <w:ind w:firstLine="709"/>
        <w:jc w:val="center"/>
        <w:rPr>
          <w:rFonts w:eastAsia="Arial Unicode MS"/>
          <w:sz w:val="20"/>
          <w:szCs w:val="20"/>
        </w:rPr>
      </w:pPr>
      <w:r>
        <w:rPr>
          <w:rFonts w:eastAsia="Arial Unicode MS"/>
          <w:sz w:val="20"/>
          <w:szCs w:val="20"/>
        </w:rPr>
      </w:r>
    </w:p>
    <w:tbl>
      <w:tblPr>
        <w:tblStyle w:val="11c"/>
        <w:tblW w:w="5000" w:type="pct"/>
        <w:jc w:val="left"/>
        <w:tblInd w:w="-108" w:type="dxa"/>
        <w:tblCellMar>
          <w:top w:w="0" w:type="dxa"/>
          <w:left w:w="108" w:type="dxa"/>
          <w:bottom w:w="0" w:type="dxa"/>
          <w:right w:w="108" w:type="dxa"/>
        </w:tblCellMar>
        <w:tblLook w:firstRow="1" w:noVBand="1" w:lastRow="0" w:firstColumn="1" w:lastColumn="0" w:noHBand="0" w:val="04a0"/>
      </w:tblPr>
      <w:tblGrid>
        <w:gridCol w:w="433"/>
        <w:gridCol w:w="1751"/>
        <w:gridCol w:w="1487"/>
        <w:gridCol w:w="1604"/>
        <w:gridCol w:w="1599"/>
        <w:gridCol w:w="1438"/>
        <w:gridCol w:w="1892"/>
      </w:tblGrid>
      <w:tr>
        <w:trPr>
          <w:tblHeader w:val="true"/>
        </w:trPr>
        <w:tc>
          <w:tcPr>
            <w:tcW w:w="433" w:type="dxa"/>
            <w:tcBorders/>
          </w:tcPr>
          <w:p>
            <w:pPr>
              <w:pStyle w:val="Normal"/>
              <w:spacing w:lineRule="auto" w:line="240"/>
              <w:jc w:val="center"/>
              <w:rPr>
                <w:rFonts w:eastAsia="Times New Roman"/>
                <w:b/>
                <w:b/>
                <w:sz w:val="20"/>
                <w:szCs w:val="20"/>
              </w:rPr>
            </w:pPr>
            <w:r>
              <w:rPr>
                <w:rFonts w:eastAsia="Times New Roman"/>
                <w:b/>
                <w:sz w:val="20"/>
                <w:szCs w:val="20"/>
                <w:lang w:eastAsia="en-US"/>
              </w:rPr>
              <w:t>1</w:t>
            </w:r>
          </w:p>
        </w:tc>
        <w:tc>
          <w:tcPr>
            <w:tcW w:w="1751" w:type="dxa"/>
            <w:tcBorders/>
          </w:tcPr>
          <w:p>
            <w:pPr>
              <w:pStyle w:val="Normal"/>
              <w:spacing w:lineRule="auto" w:line="240"/>
              <w:jc w:val="center"/>
              <w:rPr>
                <w:rFonts w:eastAsia="Times New Roman"/>
                <w:b/>
                <w:b/>
                <w:sz w:val="20"/>
                <w:szCs w:val="20"/>
              </w:rPr>
            </w:pPr>
            <w:r>
              <w:rPr>
                <w:rFonts w:eastAsia="Times New Roman"/>
                <w:b/>
                <w:sz w:val="20"/>
                <w:szCs w:val="20"/>
                <w:lang w:eastAsia="en-US"/>
              </w:rPr>
              <w:t>2</w:t>
            </w:r>
          </w:p>
        </w:tc>
        <w:tc>
          <w:tcPr>
            <w:tcW w:w="1487" w:type="dxa"/>
            <w:tcBorders/>
          </w:tcPr>
          <w:p>
            <w:pPr>
              <w:pStyle w:val="Normal"/>
              <w:spacing w:lineRule="auto" w:line="240"/>
              <w:jc w:val="center"/>
              <w:rPr>
                <w:rFonts w:eastAsia="Times New Roman"/>
                <w:b/>
                <w:b/>
                <w:sz w:val="20"/>
                <w:szCs w:val="20"/>
              </w:rPr>
            </w:pPr>
            <w:r>
              <w:rPr>
                <w:rFonts w:eastAsia="Times New Roman"/>
                <w:b/>
                <w:sz w:val="20"/>
                <w:szCs w:val="20"/>
                <w:lang w:eastAsia="en-US"/>
              </w:rPr>
              <w:t>3</w:t>
            </w:r>
          </w:p>
        </w:tc>
        <w:tc>
          <w:tcPr>
            <w:tcW w:w="1604" w:type="dxa"/>
            <w:tcBorders/>
          </w:tcPr>
          <w:p>
            <w:pPr>
              <w:pStyle w:val="Normal"/>
              <w:spacing w:lineRule="auto" w:line="240"/>
              <w:jc w:val="center"/>
              <w:rPr>
                <w:rFonts w:eastAsia="Times New Roman"/>
                <w:b/>
                <w:b/>
                <w:sz w:val="20"/>
                <w:szCs w:val="20"/>
              </w:rPr>
            </w:pPr>
            <w:r>
              <w:rPr>
                <w:rFonts w:eastAsia="Times New Roman"/>
                <w:b/>
                <w:sz w:val="20"/>
                <w:szCs w:val="20"/>
                <w:lang w:eastAsia="en-US"/>
              </w:rPr>
              <w:t>4</w:t>
            </w:r>
          </w:p>
        </w:tc>
        <w:tc>
          <w:tcPr>
            <w:tcW w:w="1599" w:type="dxa"/>
            <w:tcBorders/>
          </w:tcPr>
          <w:p>
            <w:pPr>
              <w:pStyle w:val="Normal"/>
              <w:spacing w:lineRule="auto" w:line="240"/>
              <w:jc w:val="center"/>
              <w:rPr>
                <w:rFonts w:eastAsia="Times New Roman"/>
                <w:b/>
                <w:b/>
                <w:sz w:val="20"/>
                <w:szCs w:val="20"/>
              </w:rPr>
            </w:pPr>
            <w:r>
              <w:rPr>
                <w:rFonts w:eastAsia="Times New Roman"/>
                <w:b/>
                <w:sz w:val="20"/>
                <w:szCs w:val="20"/>
                <w:lang w:eastAsia="en-US"/>
              </w:rPr>
              <w:t>5</w:t>
            </w:r>
          </w:p>
        </w:tc>
        <w:tc>
          <w:tcPr>
            <w:tcW w:w="1438" w:type="dxa"/>
            <w:tcBorders/>
          </w:tcPr>
          <w:p>
            <w:pPr>
              <w:pStyle w:val="Normal"/>
              <w:spacing w:lineRule="auto" w:line="240"/>
              <w:jc w:val="center"/>
              <w:rPr>
                <w:rFonts w:eastAsia="Times New Roman"/>
                <w:b/>
                <w:b/>
                <w:sz w:val="20"/>
                <w:szCs w:val="20"/>
              </w:rPr>
            </w:pPr>
            <w:r>
              <w:rPr>
                <w:rFonts w:eastAsia="Times New Roman"/>
                <w:b/>
                <w:sz w:val="20"/>
                <w:szCs w:val="20"/>
                <w:lang w:eastAsia="en-US"/>
              </w:rPr>
              <w:t>6</w:t>
            </w:r>
          </w:p>
        </w:tc>
        <w:tc>
          <w:tcPr>
            <w:tcW w:w="1892" w:type="dxa"/>
            <w:tcBorders/>
          </w:tcPr>
          <w:p>
            <w:pPr>
              <w:pStyle w:val="Normal"/>
              <w:spacing w:lineRule="auto" w:line="240"/>
              <w:jc w:val="center"/>
              <w:rPr>
                <w:rFonts w:eastAsia="Times New Roman"/>
                <w:b/>
                <w:b/>
                <w:sz w:val="20"/>
                <w:szCs w:val="20"/>
              </w:rPr>
            </w:pPr>
            <w:r>
              <w:rPr>
                <w:rFonts w:eastAsia="Times New Roman"/>
                <w:b/>
                <w:sz w:val="20"/>
                <w:szCs w:val="20"/>
                <w:lang w:eastAsia="en-US"/>
              </w:rPr>
              <w:t>7</w:t>
            </w:r>
          </w:p>
        </w:tc>
      </w:tr>
      <w:tr>
        <w:trPr/>
        <w:tc>
          <w:tcPr>
            <w:tcW w:w="10204" w:type="dxa"/>
            <w:gridSpan w:val="7"/>
            <w:tcBorders/>
          </w:tcPr>
          <w:p>
            <w:pPr>
              <w:pStyle w:val="ConsNonformat"/>
              <w:widowControl/>
              <w:ind w:right="0" w:hanging="0"/>
              <w:jc w:val="center"/>
              <w:rPr>
                <w:rFonts w:ascii="Times New Roman" w:hAnsi="Times New Roman" w:cs="Times New Roman"/>
                <w:b/>
                <w:b/>
                <w:sz w:val="20"/>
                <w:szCs w:val="20"/>
              </w:rPr>
            </w:pPr>
            <w:r>
              <w:rPr>
                <w:rFonts w:cs="Times New Roman" w:ascii="Times New Roman" w:hAnsi="Times New Roman"/>
                <w:b/>
                <w:sz w:val="20"/>
                <w:szCs w:val="20"/>
                <w:lang w:eastAsia="en-US"/>
              </w:rPr>
              <w:t>Установленные в соответствии с приказом уполномоченного органа</w:t>
            </w:r>
          </w:p>
        </w:tc>
      </w:tr>
      <w:tr>
        <w:trPr/>
        <w:tc>
          <w:tcPr>
            <w:tcW w:w="433" w:type="dxa"/>
            <w:tcBorders/>
          </w:tcPr>
          <w:p>
            <w:pPr>
              <w:pStyle w:val="Normal"/>
              <w:spacing w:lineRule="auto" w:line="240"/>
              <w:jc w:val="center"/>
              <w:rPr>
                <w:sz w:val="20"/>
                <w:szCs w:val="20"/>
              </w:rPr>
            </w:pPr>
            <w:r>
              <w:rPr>
                <w:sz w:val="20"/>
                <w:szCs w:val="20"/>
                <w:lang w:eastAsia="en-US"/>
              </w:rPr>
              <w:t>1</w:t>
            </w:r>
          </w:p>
        </w:tc>
        <w:tc>
          <w:tcPr>
            <w:tcW w:w="1751" w:type="dxa"/>
            <w:tcBorders>
              <w:left w:val="nil"/>
              <w:righ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р. Караталы-Аят</w:t>
            </w:r>
          </w:p>
        </w:tc>
        <w:tc>
          <w:tcPr>
            <w:tcW w:w="1487" w:type="dxa"/>
            <w:tcBorders>
              <w:left w:val="nil"/>
              <w:right w:val="nil"/>
            </w:tcBorders>
          </w:tcPr>
          <w:p>
            <w:pPr>
              <w:pStyle w:val="Normal"/>
              <w:spacing w:lineRule="auto" w:line="240"/>
              <w:jc w:val="center"/>
              <w:rPr>
                <w:rFonts w:eastAsia="Times New Roman"/>
                <w:sz w:val="20"/>
                <w:szCs w:val="20"/>
                <w:lang w:eastAsia="ru-RU"/>
              </w:rPr>
            </w:pPr>
            <w:r>
              <w:rPr>
                <w:rFonts w:eastAsia="Times New Roman"/>
                <w:sz w:val="20"/>
                <w:szCs w:val="20"/>
                <w:lang w:eastAsia="ru-RU"/>
              </w:rPr>
              <w:t>175</w:t>
            </w:r>
          </w:p>
        </w:tc>
        <w:tc>
          <w:tcPr>
            <w:tcW w:w="1604" w:type="dxa"/>
            <w:tcBorders>
              <w:left w:val="nil"/>
              <w:righ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В соответствии с ЕГРН (ЗОУИТ 74:00-6.947)</w:t>
            </w:r>
          </w:p>
        </w:tc>
        <w:tc>
          <w:tcPr>
            <w:tcW w:w="1599" w:type="dxa"/>
            <w:tcBorders>
              <w:left w:val="nil"/>
              <w:righ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В соответствии с ЕГРН (ЗОУИТ 74:00-6.945)</w:t>
            </w:r>
          </w:p>
        </w:tc>
        <w:tc>
          <w:tcPr>
            <w:tcW w:w="1438" w:type="dxa"/>
            <w:tcBorders>
              <w:left w:val="nil"/>
              <w:right w:val="nil"/>
            </w:tcBorders>
          </w:tcPr>
          <w:p>
            <w:pPr>
              <w:pStyle w:val="ConsNonformat"/>
              <w:widowControl/>
              <w:ind w:right="0" w:hanging="0"/>
              <w:jc w:val="center"/>
              <w:rPr>
                <w:rFonts w:ascii="Times New Roman" w:hAnsi="Times New Roman" w:cs="Times New Roman"/>
                <w:sz w:val="20"/>
                <w:szCs w:val="20"/>
              </w:rPr>
            </w:pPr>
            <w:r>
              <w:rPr>
                <w:rFonts w:cs="Times New Roman" w:ascii="Times New Roman" w:hAnsi="Times New Roman"/>
                <w:sz w:val="20"/>
                <w:szCs w:val="20"/>
                <w:lang w:eastAsia="en-US"/>
              </w:rPr>
              <w:t>20</w:t>
            </w:r>
          </w:p>
        </w:tc>
        <w:tc>
          <w:tcPr>
            <w:tcW w:w="1892" w:type="dxa"/>
            <w:tcBorders>
              <w:left w:val="nil"/>
            </w:tcBorders>
          </w:tcPr>
          <w:p>
            <w:pPr>
              <w:pStyle w:val="ConsNonformat"/>
              <w:widowControl/>
              <w:ind w:right="0" w:hanging="0"/>
              <w:rPr>
                <w:rFonts w:ascii="Times New Roman" w:hAnsi="Times New Roman" w:cs="Times New Roman"/>
                <w:sz w:val="20"/>
                <w:szCs w:val="20"/>
              </w:rPr>
            </w:pPr>
            <w:r>
              <w:rPr>
                <w:rFonts w:cs="Times New Roman" w:ascii="Times New Roman" w:hAnsi="Times New Roman"/>
                <w:sz w:val="20"/>
                <w:szCs w:val="20"/>
                <w:lang w:eastAsia="en-US"/>
              </w:rPr>
              <w:t>Водный кодекс Российской Федерации от 03.06.2006 № 74-ФЗ</w:t>
            </w:r>
          </w:p>
        </w:tc>
      </w:tr>
      <w:tr>
        <w:trPr/>
        <w:tc>
          <w:tcPr>
            <w:tcW w:w="433" w:type="dxa"/>
            <w:tcBorders/>
          </w:tcPr>
          <w:p>
            <w:pPr>
              <w:pStyle w:val="Normal"/>
              <w:spacing w:lineRule="auto" w:line="240"/>
              <w:jc w:val="center"/>
              <w:rPr>
                <w:sz w:val="20"/>
                <w:szCs w:val="20"/>
              </w:rPr>
            </w:pPr>
            <w:r>
              <w:rPr>
                <w:sz w:val="20"/>
                <w:szCs w:val="20"/>
                <w:lang w:eastAsia="en-US"/>
              </w:rPr>
              <w:t>2</w:t>
            </w:r>
          </w:p>
        </w:tc>
        <w:tc>
          <w:tcPr>
            <w:tcW w:w="1751" w:type="dxa"/>
            <w:tcBorders>
              <w:left w:val="nil"/>
              <w:righ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водохранилище Катенинское</w:t>
            </w:r>
          </w:p>
        </w:tc>
        <w:tc>
          <w:tcPr>
            <w:tcW w:w="1487" w:type="dxa"/>
            <w:tcBorders>
              <w:left w:val="nil"/>
              <w:right w:val="nil"/>
            </w:tcBorders>
          </w:tcPr>
          <w:p>
            <w:pPr>
              <w:pStyle w:val="Normal"/>
              <w:spacing w:lineRule="auto" w:line="240"/>
              <w:jc w:val="center"/>
              <w:rPr>
                <w:rFonts w:eastAsia="Times New Roman"/>
                <w:sz w:val="20"/>
                <w:szCs w:val="20"/>
                <w:lang w:eastAsia="ru-RU"/>
              </w:rPr>
            </w:pPr>
            <w:r>
              <w:rPr>
                <w:rFonts w:eastAsia="Times New Roman"/>
                <w:sz w:val="20"/>
                <w:szCs w:val="20"/>
                <w:lang w:eastAsia="ru-RU"/>
              </w:rPr>
              <w:t>-</w:t>
            </w:r>
          </w:p>
        </w:tc>
        <w:tc>
          <w:tcPr>
            <w:tcW w:w="1604" w:type="dxa"/>
            <w:tcBorders>
              <w:left w:val="nil"/>
              <w:righ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В соответствии с ЕГРН (ЗОУИТ 74:00-6.944)</w:t>
            </w:r>
          </w:p>
        </w:tc>
        <w:tc>
          <w:tcPr>
            <w:tcW w:w="1599" w:type="dxa"/>
            <w:tcBorders>
              <w:left w:val="nil"/>
              <w:righ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В соответствии с ЕГРН (ЗОУИТ 74:00-6.84; 74:00-6.967)</w:t>
            </w:r>
          </w:p>
        </w:tc>
        <w:tc>
          <w:tcPr>
            <w:tcW w:w="1438" w:type="dxa"/>
            <w:tcBorders>
              <w:left w:val="nil"/>
              <w:right w:val="nil"/>
            </w:tcBorders>
          </w:tcPr>
          <w:p>
            <w:pPr>
              <w:pStyle w:val="ConsNonformat"/>
              <w:widowControl/>
              <w:ind w:right="0" w:hanging="0"/>
              <w:jc w:val="center"/>
              <w:rPr>
                <w:rFonts w:ascii="Times New Roman" w:hAnsi="Times New Roman" w:cs="Times New Roman"/>
              </w:rPr>
            </w:pPr>
            <w:r>
              <w:rPr>
                <w:rFonts w:cs="Times New Roman" w:ascii="Times New Roman" w:hAnsi="Times New Roman"/>
                <w:sz w:val="20"/>
                <w:szCs w:val="20"/>
                <w:lang w:eastAsia="en-US"/>
              </w:rPr>
              <w:t>20</w:t>
            </w:r>
          </w:p>
        </w:tc>
        <w:tc>
          <w:tcPr>
            <w:tcW w:w="1892" w:type="dxa"/>
            <w:tcBorders>
              <w:left w:val="nil"/>
            </w:tcBorders>
          </w:tcPr>
          <w:p>
            <w:pPr>
              <w:pStyle w:val="ConsNonformat"/>
              <w:widowControl/>
              <w:ind w:right="0" w:hanging="0"/>
              <w:rPr>
                <w:rFonts w:ascii="Times New Roman" w:hAnsi="Times New Roman" w:cs="Times New Roman"/>
              </w:rPr>
            </w:pPr>
            <w:r>
              <w:rPr>
                <w:rFonts w:cs="Times New Roman" w:ascii="Times New Roman" w:hAnsi="Times New Roman"/>
                <w:sz w:val="20"/>
                <w:szCs w:val="20"/>
                <w:lang w:eastAsia="en-US"/>
              </w:rPr>
              <w:t>Водный кодекс Российской Федерации от 03.06.2006 № 74-ФЗ</w:t>
            </w:r>
          </w:p>
        </w:tc>
      </w:tr>
      <w:tr>
        <w:trPr/>
        <w:tc>
          <w:tcPr>
            <w:tcW w:w="10204" w:type="dxa"/>
            <w:gridSpan w:val="7"/>
            <w:tcBorders/>
          </w:tcPr>
          <w:p>
            <w:pPr>
              <w:pStyle w:val="ConsNonformat"/>
              <w:widowControl/>
              <w:ind w:right="0" w:hanging="0"/>
              <w:jc w:val="center"/>
              <w:rPr>
                <w:rFonts w:ascii="Times New Roman" w:hAnsi="Times New Roman" w:cs="Times New Roman"/>
                <w:b/>
                <w:b/>
                <w:sz w:val="20"/>
                <w:szCs w:val="20"/>
              </w:rPr>
            </w:pPr>
            <w:r>
              <w:rPr>
                <w:rFonts w:cs="Times New Roman" w:ascii="Times New Roman" w:hAnsi="Times New Roman"/>
                <w:b/>
                <w:sz w:val="20"/>
                <w:szCs w:val="20"/>
                <w:lang w:eastAsia="en-US"/>
              </w:rPr>
              <w:t>Возникающие в силу федерального закона</w:t>
            </w:r>
          </w:p>
        </w:tc>
      </w:tr>
      <w:tr>
        <w:trPr/>
        <w:tc>
          <w:tcPr>
            <w:tcW w:w="433" w:type="dxa"/>
            <w:tcBorders/>
          </w:tcPr>
          <w:p>
            <w:pPr>
              <w:pStyle w:val="Normal"/>
              <w:spacing w:lineRule="auto" w:line="240"/>
              <w:jc w:val="center"/>
              <w:rPr>
                <w:sz w:val="20"/>
                <w:szCs w:val="20"/>
              </w:rPr>
            </w:pPr>
            <w:r>
              <w:rPr>
                <w:sz w:val="20"/>
                <w:szCs w:val="20"/>
                <w:lang w:eastAsia="en-US"/>
              </w:rPr>
              <w:t>3</w:t>
            </w:r>
          </w:p>
        </w:tc>
        <w:tc>
          <w:tcPr>
            <w:tcW w:w="1751" w:type="dxa"/>
            <w:tcBorders>
              <w:left w:val="nil"/>
              <w:righ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Озера площадью более 0,5 км2</w:t>
            </w:r>
          </w:p>
        </w:tc>
        <w:tc>
          <w:tcPr>
            <w:tcW w:w="1487" w:type="dxa"/>
            <w:tcBorders>
              <w:left w:val="nil"/>
              <w:righ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более 0,5 км</w:t>
            </w:r>
            <w:r>
              <w:rPr>
                <w:rFonts w:eastAsia="Times New Roman"/>
                <w:sz w:val="20"/>
                <w:szCs w:val="20"/>
                <w:vertAlign w:val="superscript"/>
                <w:lang w:eastAsia="ru-RU"/>
              </w:rPr>
              <w:t>2</w:t>
            </w:r>
          </w:p>
        </w:tc>
        <w:tc>
          <w:tcPr>
            <w:tcW w:w="1604" w:type="dxa"/>
            <w:tcBorders>
              <w:left w:val="nil"/>
              <w:right w:val="nil"/>
            </w:tcBorders>
          </w:tcPr>
          <w:p>
            <w:pPr>
              <w:pStyle w:val="Normal"/>
              <w:spacing w:lineRule="auto" w:line="240"/>
              <w:jc w:val="center"/>
              <w:rPr>
                <w:rFonts w:eastAsia="Times New Roman"/>
                <w:sz w:val="20"/>
                <w:szCs w:val="20"/>
                <w:lang w:eastAsia="ru-RU"/>
              </w:rPr>
            </w:pPr>
            <w:r>
              <w:rPr>
                <w:rFonts w:eastAsia="Times New Roman"/>
                <w:sz w:val="20"/>
                <w:szCs w:val="20"/>
                <w:lang w:eastAsia="ru-RU"/>
              </w:rPr>
              <w:t>50</w:t>
            </w:r>
          </w:p>
        </w:tc>
        <w:tc>
          <w:tcPr>
            <w:tcW w:w="1599" w:type="dxa"/>
            <w:tcBorders>
              <w:left w:val="nil"/>
              <w:right w:val="nil"/>
            </w:tcBorders>
          </w:tcPr>
          <w:p>
            <w:pPr>
              <w:pStyle w:val="Normal"/>
              <w:spacing w:lineRule="auto" w:line="240"/>
              <w:jc w:val="center"/>
              <w:rPr>
                <w:rFonts w:eastAsia="Times New Roman"/>
                <w:sz w:val="20"/>
                <w:szCs w:val="20"/>
                <w:lang w:eastAsia="ru-RU"/>
              </w:rPr>
            </w:pPr>
            <w:r>
              <w:rPr>
                <w:rFonts w:eastAsia="Times New Roman"/>
                <w:sz w:val="20"/>
                <w:szCs w:val="20"/>
                <w:lang w:eastAsia="ru-RU"/>
              </w:rPr>
              <w:t>50</w:t>
            </w:r>
          </w:p>
        </w:tc>
        <w:tc>
          <w:tcPr>
            <w:tcW w:w="1438" w:type="dxa"/>
            <w:tcBorders>
              <w:left w:val="nil"/>
              <w:right w:val="nil"/>
            </w:tcBorders>
          </w:tcPr>
          <w:p>
            <w:pPr>
              <w:pStyle w:val="Normal"/>
              <w:spacing w:lineRule="auto" w:line="240"/>
              <w:jc w:val="center"/>
              <w:rPr>
                <w:rFonts w:eastAsia="Times New Roman"/>
                <w:sz w:val="20"/>
                <w:szCs w:val="20"/>
                <w:lang w:eastAsia="ru-RU"/>
              </w:rPr>
            </w:pPr>
            <w:r>
              <w:rPr>
                <w:rFonts w:eastAsia="Times New Roman"/>
                <w:sz w:val="20"/>
                <w:szCs w:val="20"/>
                <w:lang w:eastAsia="ru-RU"/>
              </w:rPr>
              <w:t>20</w:t>
            </w:r>
          </w:p>
        </w:tc>
        <w:tc>
          <w:tcPr>
            <w:tcW w:w="1892" w:type="dxa"/>
            <w:tcBorders>
              <w:lef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Водный кодекс Российской Федерации от 03.06.2006 № 74-ФЗ</w:t>
            </w:r>
          </w:p>
        </w:tc>
      </w:tr>
      <w:tr>
        <w:trPr/>
        <w:tc>
          <w:tcPr>
            <w:tcW w:w="433" w:type="dxa"/>
            <w:tcBorders/>
          </w:tcPr>
          <w:p>
            <w:pPr>
              <w:pStyle w:val="ListParagraph"/>
              <w:spacing w:lineRule="auto" w:line="240" w:before="0" w:after="0"/>
              <w:ind w:left="0" w:hanging="0"/>
              <w:contextualSpacing/>
              <w:rPr>
                <w:rFonts w:ascii="Times New Roman" w:hAnsi="Times New Roman"/>
                <w:sz w:val="20"/>
                <w:szCs w:val="20"/>
              </w:rPr>
            </w:pPr>
            <w:r>
              <w:rPr>
                <w:sz w:val="20"/>
                <w:szCs w:val="20"/>
              </w:rPr>
              <w:t>4</w:t>
            </w:r>
          </w:p>
        </w:tc>
        <w:tc>
          <w:tcPr>
            <w:tcW w:w="1751" w:type="dxa"/>
            <w:tcBorders>
              <w:left w:val="nil"/>
              <w:righ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оз. Тулак</w:t>
            </w:r>
          </w:p>
        </w:tc>
        <w:tc>
          <w:tcPr>
            <w:tcW w:w="1487" w:type="dxa"/>
            <w:tcBorders>
              <w:left w:val="nil"/>
              <w:righ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0,46 км</w:t>
            </w:r>
            <w:r>
              <w:rPr>
                <w:rFonts w:eastAsia="Times New Roman"/>
                <w:sz w:val="20"/>
                <w:szCs w:val="20"/>
                <w:vertAlign w:val="superscript"/>
                <w:lang w:eastAsia="ru-RU"/>
              </w:rPr>
              <w:t>2</w:t>
            </w:r>
          </w:p>
        </w:tc>
        <w:tc>
          <w:tcPr>
            <w:tcW w:w="1604" w:type="dxa"/>
            <w:tcBorders>
              <w:left w:val="nil"/>
              <w:right w:val="nil"/>
            </w:tcBorders>
          </w:tcPr>
          <w:p>
            <w:pPr>
              <w:pStyle w:val="Normal"/>
              <w:spacing w:lineRule="auto" w:line="240"/>
              <w:jc w:val="center"/>
              <w:rPr>
                <w:rFonts w:eastAsia="Times New Roman"/>
                <w:sz w:val="20"/>
                <w:szCs w:val="20"/>
                <w:lang w:eastAsia="ru-RU"/>
              </w:rPr>
            </w:pPr>
            <w:r>
              <w:rPr>
                <w:rFonts w:eastAsia="Times New Roman"/>
                <w:sz w:val="20"/>
                <w:szCs w:val="20"/>
                <w:lang w:eastAsia="ru-RU"/>
              </w:rPr>
              <w:t>-</w:t>
            </w:r>
          </w:p>
        </w:tc>
        <w:tc>
          <w:tcPr>
            <w:tcW w:w="1599" w:type="dxa"/>
            <w:tcBorders>
              <w:left w:val="nil"/>
              <w:right w:val="nil"/>
            </w:tcBorders>
          </w:tcPr>
          <w:p>
            <w:pPr>
              <w:pStyle w:val="Normal"/>
              <w:spacing w:lineRule="auto" w:line="240"/>
              <w:jc w:val="center"/>
              <w:rPr>
                <w:rFonts w:eastAsia="Times New Roman"/>
                <w:sz w:val="20"/>
                <w:szCs w:val="20"/>
                <w:lang w:eastAsia="ru-RU"/>
              </w:rPr>
            </w:pPr>
            <w:r>
              <w:rPr>
                <w:rFonts w:eastAsia="Times New Roman"/>
                <w:sz w:val="20"/>
                <w:szCs w:val="20"/>
                <w:lang w:eastAsia="ru-RU"/>
              </w:rPr>
              <w:t>-</w:t>
            </w:r>
          </w:p>
        </w:tc>
        <w:tc>
          <w:tcPr>
            <w:tcW w:w="1438" w:type="dxa"/>
            <w:tcBorders>
              <w:left w:val="nil"/>
              <w:right w:val="nil"/>
            </w:tcBorders>
          </w:tcPr>
          <w:p>
            <w:pPr>
              <w:pStyle w:val="Normal"/>
              <w:spacing w:lineRule="auto" w:line="240"/>
              <w:jc w:val="center"/>
              <w:rPr>
                <w:rFonts w:eastAsia="Times New Roman"/>
                <w:sz w:val="20"/>
                <w:szCs w:val="20"/>
                <w:lang w:eastAsia="ru-RU"/>
              </w:rPr>
            </w:pPr>
            <w:r>
              <w:rPr>
                <w:rFonts w:eastAsia="Times New Roman"/>
                <w:sz w:val="20"/>
                <w:szCs w:val="20"/>
                <w:lang w:eastAsia="ru-RU"/>
              </w:rPr>
              <w:t>20</w:t>
            </w:r>
          </w:p>
        </w:tc>
        <w:tc>
          <w:tcPr>
            <w:tcW w:w="1892" w:type="dxa"/>
            <w:tcBorders>
              <w:lef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Водный кодекс Российской Федерации от 03.06.2006 № 74-ФЗ</w:t>
            </w:r>
          </w:p>
        </w:tc>
      </w:tr>
      <w:tr>
        <w:trPr/>
        <w:tc>
          <w:tcPr>
            <w:tcW w:w="433" w:type="dxa"/>
            <w:tcBorders/>
          </w:tcPr>
          <w:p>
            <w:pPr>
              <w:pStyle w:val="ListParagraph"/>
              <w:spacing w:lineRule="auto" w:line="240" w:before="0" w:after="0"/>
              <w:ind w:left="0" w:hanging="0"/>
              <w:contextualSpacing/>
              <w:rPr>
                <w:rFonts w:ascii="Times New Roman" w:hAnsi="Times New Roman"/>
                <w:sz w:val="20"/>
                <w:szCs w:val="20"/>
              </w:rPr>
            </w:pPr>
            <w:r>
              <w:rPr>
                <w:sz w:val="20"/>
                <w:szCs w:val="20"/>
              </w:rPr>
              <w:t>5</w:t>
            </w:r>
          </w:p>
        </w:tc>
        <w:tc>
          <w:tcPr>
            <w:tcW w:w="1751" w:type="dxa"/>
            <w:tcBorders>
              <w:left w:val="nil"/>
              <w:righ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озера Чекатай</w:t>
            </w:r>
          </w:p>
        </w:tc>
        <w:tc>
          <w:tcPr>
            <w:tcW w:w="1487" w:type="dxa"/>
            <w:tcBorders>
              <w:left w:val="nil"/>
              <w:righ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0,2 км</w:t>
            </w:r>
            <w:r>
              <w:rPr>
                <w:rFonts w:eastAsia="Times New Roman"/>
                <w:sz w:val="20"/>
                <w:szCs w:val="20"/>
                <w:vertAlign w:val="superscript"/>
                <w:lang w:eastAsia="ru-RU"/>
              </w:rPr>
              <w:t>2</w:t>
            </w:r>
          </w:p>
        </w:tc>
        <w:tc>
          <w:tcPr>
            <w:tcW w:w="1604" w:type="dxa"/>
            <w:tcBorders>
              <w:left w:val="nil"/>
              <w:right w:val="nil"/>
            </w:tcBorders>
          </w:tcPr>
          <w:p>
            <w:pPr>
              <w:pStyle w:val="Normal"/>
              <w:spacing w:lineRule="auto" w:line="240"/>
              <w:jc w:val="center"/>
              <w:rPr>
                <w:rFonts w:eastAsia="Times New Roman"/>
                <w:sz w:val="20"/>
                <w:szCs w:val="20"/>
                <w:lang w:eastAsia="ru-RU"/>
              </w:rPr>
            </w:pPr>
            <w:r>
              <w:rPr>
                <w:rFonts w:eastAsia="Times New Roman"/>
                <w:sz w:val="20"/>
                <w:szCs w:val="20"/>
                <w:lang w:eastAsia="ru-RU"/>
              </w:rPr>
              <w:t>-</w:t>
            </w:r>
          </w:p>
        </w:tc>
        <w:tc>
          <w:tcPr>
            <w:tcW w:w="1599" w:type="dxa"/>
            <w:tcBorders>
              <w:left w:val="nil"/>
              <w:right w:val="nil"/>
            </w:tcBorders>
          </w:tcPr>
          <w:p>
            <w:pPr>
              <w:pStyle w:val="Normal"/>
              <w:spacing w:lineRule="auto" w:line="240"/>
              <w:jc w:val="center"/>
              <w:rPr>
                <w:rFonts w:eastAsia="Times New Roman"/>
                <w:sz w:val="20"/>
                <w:szCs w:val="20"/>
                <w:lang w:eastAsia="ru-RU"/>
              </w:rPr>
            </w:pPr>
            <w:r>
              <w:rPr>
                <w:rFonts w:eastAsia="Times New Roman"/>
                <w:sz w:val="20"/>
                <w:szCs w:val="20"/>
                <w:lang w:eastAsia="ru-RU"/>
              </w:rPr>
              <w:t>-</w:t>
            </w:r>
          </w:p>
        </w:tc>
        <w:tc>
          <w:tcPr>
            <w:tcW w:w="1438" w:type="dxa"/>
            <w:tcBorders>
              <w:left w:val="nil"/>
              <w:right w:val="nil"/>
            </w:tcBorders>
          </w:tcPr>
          <w:p>
            <w:pPr>
              <w:pStyle w:val="Normal"/>
              <w:spacing w:lineRule="auto" w:line="240"/>
              <w:jc w:val="center"/>
              <w:rPr>
                <w:rFonts w:eastAsia="Times New Roman"/>
                <w:sz w:val="20"/>
                <w:szCs w:val="20"/>
                <w:lang w:eastAsia="ru-RU"/>
              </w:rPr>
            </w:pPr>
            <w:r>
              <w:rPr>
                <w:rFonts w:eastAsia="Times New Roman"/>
                <w:sz w:val="20"/>
                <w:szCs w:val="20"/>
                <w:lang w:eastAsia="ru-RU"/>
              </w:rPr>
              <w:t>20</w:t>
            </w:r>
          </w:p>
        </w:tc>
        <w:tc>
          <w:tcPr>
            <w:tcW w:w="1892" w:type="dxa"/>
            <w:tcBorders>
              <w:lef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Водный кодекс Российской Федерации от 03.06.2006 № 74-ФЗ</w:t>
            </w:r>
          </w:p>
        </w:tc>
      </w:tr>
      <w:tr>
        <w:trPr/>
        <w:tc>
          <w:tcPr>
            <w:tcW w:w="433" w:type="dxa"/>
            <w:tcBorders/>
          </w:tcPr>
          <w:p>
            <w:pPr>
              <w:pStyle w:val="ListParagraph"/>
              <w:spacing w:lineRule="auto" w:line="240" w:before="0" w:after="0"/>
              <w:ind w:left="0" w:hanging="0"/>
              <w:contextualSpacing/>
              <w:rPr>
                <w:rFonts w:ascii="Times New Roman" w:hAnsi="Times New Roman"/>
                <w:sz w:val="20"/>
                <w:szCs w:val="20"/>
              </w:rPr>
            </w:pPr>
            <w:r>
              <w:rPr>
                <w:sz w:val="20"/>
                <w:szCs w:val="20"/>
              </w:rPr>
              <w:t>6</w:t>
            </w:r>
          </w:p>
        </w:tc>
        <w:tc>
          <w:tcPr>
            <w:tcW w:w="1751" w:type="dxa"/>
            <w:tcBorders>
              <w:left w:val="nil"/>
              <w:righ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реки и ручьи длиной менее 10 км</w:t>
            </w:r>
          </w:p>
        </w:tc>
        <w:tc>
          <w:tcPr>
            <w:tcW w:w="1487" w:type="dxa"/>
            <w:tcBorders>
              <w:left w:val="nil"/>
              <w:righ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менее 10 км</w:t>
            </w:r>
          </w:p>
        </w:tc>
        <w:tc>
          <w:tcPr>
            <w:tcW w:w="1604" w:type="dxa"/>
            <w:tcBorders>
              <w:left w:val="nil"/>
              <w:right w:val="nil"/>
            </w:tcBorders>
          </w:tcPr>
          <w:p>
            <w:pPr>
              <w:pStyle w:val="Normal"/>
              <w:spacing w:lineRule="auto" w:line="240"/>
              <w:jc w:val="center"/>
              <w:rPr>
                <w:rFonts w:eastAsia="Times New Roman"/>
                <w:sz w:val="20"/>
                <w:szCs w:val="20"/>
                <w:lang w:eastAsia="ru-RU"/>
              </w:rPr>
            </w:pPr>
            <w:r>
              <w:rPr>
                <w:rFonts w:eastAsia="Times New Roman"/>
                <w:sz w:val="20"/>
                <w:szCs w:val="20"/>
                <w:lang w:eastAsia="ru-RU"/>
              </w:rPr>
              <w:t>50</w:t>
            </w:r>
          </w:p>
        </w:tc>
        <w:tc>
          <w:tcPr>
            <w:tcW w:w="1599" w:type="dxa"/>
            <w:tcBorders>
              <w:left w:val="nil"/>
              <w:right w:val="nil"/>
            </w:tcBorders>
          </w:tcPr>
          <w:p>
            <w:pPr>
              <w:pStyle w:val="Normal"/>
              <w:spacing w:lineRule="auto" w:line="240"/>
              <w:jc w:val="center"/>
              <w:rPr>
                <w:rFonts w:eastAsia="Times New Roman"/>
                <w:sz w:val="20"/>
                <w:szCs w:val="20"/>
                <w:lang w:eastAsia="ru-RU"/>
              </w:rPr>
            </w:pPr>
            <w:r>
              <w:rPr>
                <w:rFonts w:eastAsia="Times New Roman"/>
                <w:sz w:val="20"/>
                <w:szCs w:val="20"/>
                <w:lang w:eastAsia="ru-RU"/>
              </w:rPr>
              <w:t>50</w:t>
            </w:r>
          </w:p>
        </w:tc>
        <w:tc>
          <w:tcPr>
            <w:tcW w:w="1438" w:type="dxa"/>
            <w:tcBorders>
              <w:left w:val="nil"/>
              <w:right w:val="nil"/>
            </w:tcBorders>
          </w:tcPr>
          <w:p>
            <w:pPr>
              <w:pStyle w:val="Normal"/>
              <w:spacing w:lineRule="auto" w:line="240"/>
              <w:jc w:val="center"/>
              <w:rPr>
                <w:rFonts w:eastAsia="Times New Roman"/>
                <w:sz w:val="20"/>
                <w:szCs w:val="20"/>
                <w:lang w:eastAsia="ru-RU"/>
              </w:rPr>
            </w:pPr>
            <w:r>
              <w:rPr>
                <w:rFonts w:eastAsia="Times New Roman"/>
                <w:sz w:val="20"/>
                <w:szCs w:val="20"/>
                <w:lang w:eastAsia="ru-RU"/>
              </w:rPr>
              <w:t>5</w:t>
            </w:r>
          </w:p>
        </w:tc>
        <w:tc>
          <w:tcPr>
            <w:tcW w:w="1892" w:type="dxa"/>
            <w:tcBorders>
              <w:lef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Водный кодекс Российской Федерации от 03.06.2006 № 74-ФЗ</w:t>
            </w:r>
          </w:p>
        </w:tc>
      </w:tr>
    </w:tbl>
    <w:p>
      <w:pPr>
        <w:pStyle w:val="Normal"/>
        <w:shd w:val="clear" w:color="auto" w:fill="FFFFFF"/>
        <w:tabs>
          <w:tab w:val="clear" w:pos="708"/>
          <w:tab w:val="center" w:pos="142" w:leader="none"/>
        </w:tabs>
        <w:spacing w:lineRule="auto" w:line="276" w:before="120" w:after="200"/>
        <w:ind w:firstLine="709"/>
        <w:rPr>
          <w:rFonts w:eastAsia="Times New Roman"/>
          <w:szCs w:val="24"/>
          <w:lang w:eastAsia="ru-RU"/>
        </w:rPr>
      </w:pPr>
      <w:r>
        <w:rPr>
          <w:rFonts w:eastAsia="Times New Roman"/>
          <w:szCs w:val="24"/>
          <w:lang w:eastAsia="ru-RU"/>
        </w:rPr>
        <w:t>Ограничения использования территорий водоохранных и прибрежных защитных полос представлены в таблице 3.11.3.</w:t>
      </w:r>
    </w:p>
    <w:p>
      <w:pPr>
        <w:pStyle w:val="Normal"/>
        <w:shd w:val="clear" w:color="auto" w:fill="FFFFFF"/>
        <w:tabs>
          <w:tab w:val="clear" w:pos="708"/>
          <w:tab w:val="center" w:pos="142" w:leader="none"/>
        </w:tabs>
        <w:spacing w:lineRule="auto" w:line="276" w:before="120" w:after="200"/>
        <w:ind w:firstLine="709"/>
        <w:jc w:val="right"/>
        <w:rPr>
          <w:rFonts w:eastAsia="Times New Roman"/>
          <w:szCs w:val="24"/>
          <w:lang w:eastAsia="ru-RU"/>
        </w:rPr>
      </w:pPr>
      <w:r>
        <w:rPr>
          <w:rFonts w:eastAsia="Times New Roman"/>
          <w:szCs w:val="24"/>
          <w:lang w:eastAsia="ru-RU"/>
        </w:rPr>
        <w:t>Таблица 3.11.3</w:t>
      </w:r>
    </w:p>
    <w:p>
      <w:pPr>
        <w:pStyle w:val="Normal"/>
        <w:shd w:val="clear" w:color="auto" w:fill="FFFFFF"/>
        <w:tabs>
          <w:tab w:val="clear" w:pos="708"/>
          <w:tab w:val="center" w:pos="142" w:leader="none"/>
        </w:tabs>
        <w:spacing w:lineRule="auto" w:line="276"/>
        <w:jc w:val="center"/>
        <w:rPr>
          <w:rFonts w:eastAsia="Times New Roman"/>
          <w:szCs w:val="24"/>
          <w:lang w:eastAsia="ru-RU"/>
        </w:rPr>
      </w:pPr>
      <w:r>
        <w:rPr>
          <w:rFonts w:eastAsia="Times New Roman"/>
          <w:szCs w:val="24"/>
          <w:lang w:eastAsia="ru-RU"/>
        </w:rPr>
        <w:t>Ограничения использования территорий водоохранных и прибрежных защитных полос</w:t>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2460"/>
        <w:gridCol w:w="4395"/>
        <w:gridCol w:w="3350"/>
      </w:tblGrid>
      <w:tr>
        <w:trPr>
          <w:tblHeader w:val="true"/>
        </w:trPr>
        <w:tc>
          <w:tcPr>
            <w:tcW w:w="2460" w:type="dxa"/>
            <w:tcBorders>
              <w:top w:val="single" w:sz="4" w:space="0" w:color="000000"/>
              <w:left w:val="single" w:sz="4" w:space="0" w:color="000000"/>
              <w:right w:val="single" w:sz="4" w:space="0" w:color="000000"/>
            </w:tcBorders>
            <w:vAlign w:val="center"/>
          </w:tcPr>
          <w:p>
            <w:pPr>
              <w:pStyle w:val="Normal"/>
              <w:tabs>
                <w:tab w:val="clear" w:pos="708"/>
                <w:tab w:val="center" w:pos="142" w:leader="none"/>
              </w:tabs>
              <w:spacing w:lineRule="auto" w:line="240"/>
              <w:jc w:val="center"/>
              <w:rPr>
                <w:b/>
                <w:b/>
                <w:sz w:val="20"/>
                <w:szCs w:val="20"/>
                <w:lang w:eastAsia="ru-RU"/>
              </w:rPr>
            </w:pPr>
            <w:r>
              <w:rPr>
                <w:b/>
                <w:sz w:val="20"/>
                <w:szCs w:val="20"/>
                <w:lang w:eastAsia="ru-RU"/>
              </w:rPr>
              <w:t>Наименование зон</w:t>
            </w:r>
          </w:p>
        </w:tc>
        <w:tc>
          <w:tcPr>
            <w:tcW w:w="4395" w:type="dxa"/>
            <w:tcBorders>
              <w:top w:val="single" w:sz="4" w:space="0" w:color="000000"/>
              <w:left w:val="single" w:sz="4" w:space="0" w:color="000000"/>
              <w:right w:val="single" w:sz="4" w:space="0" w:color="000000"/>
            </w:tcBorders>
            <w:vAlign w:val="center"/>
          </w:tcPr>
          <w:p>
            <w:pPr>
              <w:pStyle w:val="Normal"/>
              <w:tabs>
                <w:tab w:val="clear" w:pos="708"/>
                <w:tab w:val="center" w:pos="142" w:leader="none"/>
              </w:tabs>
              <w:spacing w:lineRule="auto" w:line="240"/>
              <w:jc w:val="center"/>
              <w:rPr>
                <w:b/>
                <w:b/>
                <w:sz w:val="20"/>
                <w:szCs w:val="20"/>
                <w:lang w:eastAsia="ru-RU"/>
              </w:rPr>
            </w:pPr>
            <w:r>
              <w:rPr>
                <w:b/>
                <w:sz w:val="20"/>
                <w:szCs w:val="20"/>
                <w:lang w:eastAsia="ru-RU"/>
              </w:rPr>
              <w:t>Запрещается</w:t>
            </w:r>
          </w:p>
        </w:tc>
        <w:tc>
          <w:tcPr>
            <w:tcW w:w="3350" w:type="dxa"/>
            <w:tcBorders>
              <w:top w:val="single" w:sz="4" w:space="0" w:color="000000"/>
              <w:left w:val="single" w:sz="4" w:space="0" w:color="000000"/>
              <w:right w:val="single" w:sz="4" w:space="0" w:color="000000"/>
            </w:tcBorders>
            <w:vAlign w:val="center"/>
          </w:tcPr>
          <w:p>
            <w:pPr>
              <w:pStyle w:val="Normal"/>
              <w:tabs>
                <w:tab w:val="clear" w:pos="708"/>
                <w:tab w:val="center" w:pos="142" w:leader="none"/>
              </w:tabs>
              <w:spacing w:lineRule="auto" w:line="240"/>
              <w:jc w:val="center"/>
              <w:rPr>
                <w:b/>
                <w:b/>
                <w:sz w:val="20"/>
                <w:szCs w:val="20"/>
                <w:lang w:eastAsia="ru-RU"/>
              </w:rPr>
            </w:pPr>
            <w:r>
              <w:rPr>
                <w:b/>
                <w:sz w:val="20"/>
                <w:szCs w:val="20"/>
                <w:lang w:eastAsia="ru-RU"/>
              </w:rPr>
              <w:t>Допускается</w:t>
            </w:r>
          </w:p>
        </w:tc>
      </w:tr>
    </w:tbl>
    <w:p>
      <w:pPr>
        <w:pStyle w:val="Normal"/>
        <w:shd w:val="clear" w:color="auto" w:fill="FFFFFF"/>
        <w:tabs>
          <w:tab w:val="clear" w:pos="708"/>
          <w:tab w:val="center" w:pos="142" w:leader="none"/>
        </w:tabs>
        <w:spacing w:lineRule="auto" w:line="12"/>
        <w:ind w:firstLine="709"/>
        <w:jc w:val="center"/>
        <w:rPr>
          <w:szCs w:val="24"/>
        </w:rPr>
      </w:pPr>
      <w:r>
        <w:rPr>
          <w:szCs w:val="24"/>
        </w:rPr>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2460"/>
        <w:gridCol w:w="4395"/>
        <w:gridCol w:w="3350"/>
      </w:tblGrid>
      <w:tr>
        <w:trPr>
          <w:tblHeader w:val="true"/>
        </w:trPr>
        <w:tc>
          <w:tcPr>
            <w:tcW w:w="2460" w:type="dxa"/>
            <w:tcBorders>
              <w:top w:val="single" w:sz="4" w:space="0" w:color="000000"/>
              <w:left w:val="single" w:sz="4" w:space="0" w:color="000000"/>
              <w:bottom w:val="single" w:sz="4" w:space="0" w:color="000000"/>
              <w:right w:val="single" w:sz="4" w:space="0" w:color="000000"/>
            </w:tcBorders>
            <w:vAlign w:val="center"/>
          </w:tcPr>
          <w:p>
            <w:pPr>
              <w:pStyle w:val="Normal"/>
              <w:tabs>
                <w:tab w:val="clear" w:pos="708"/>
                <w:tab w:val="center" w:pos="142" w:leader="none"/>
              </w:tabs>
              <w:spacing w:lineRule="auto" w:line="240"/>
              <w:jc w:val="center"/>
              <w:rPr>
                <w:b/>
                <w:b/>
                <w:sz w:val="20"/>
                <w:szCs w:val="20"/>
                <w:lang w:eastAsia="ru-RU"/>
              </w:rPr>
            </w:pPr>
            <w:r>
              <w:rPr>
                <w:b/>
                <w:sz w:val="20"/>
                <w:szCs w:val="20"/>
                <w:lang w:eastAsia="ru-RU"/>
              </w:rPr>
              <w:t>1</w:t>
            </w:r>
          </w:p>
        </w:tc>
        <w:tc>
          <w:tcPr>
            <w:tcW w:w="4395" w:type="dxa"/>
            <w:tcBorders>
              <w:top w:val="single" w:sz="4" w:space="0" w:color="000000"/>
              <w:left w:val="single" w:sz="4" w:space="0" w:color="000000"/>
              <w:bottom w:val="single" w:sz="4" w:space="0" w:color="000000"/>
              <w:right w:val="single" w:sz="4" w:space="0" w:color="000000"/>
            </w:tcBorders>
            <w:vAlign w:val="center"/>
          </w:tcPr>
          <w:p>
            <w:pPr>
              <w:pStyle w:val="Normal"/>
              <w:tabs>
                <w:tab w:val="clear" w:pos="708"/>
                <w:tab w:val="center" w:pos="142" w:leader="none"/>
              </w:tabs>
              <w:spacing w:lineRule="auto" w:line="240"/>
              <w:jc w:val="center"/>
              <w:rPr>
                <w:b/>
                <w:b/>
                <w:sz w:val="20"/>
                <w:szCs w:val="20"/>
                <w:lang w:eastAsia="ru-RU"/>
              </w:rPr>
            </w:pPr>
            <w:r>
              <w:rPr>
                <w:b/>
                <w:sz w:val="20"/>
                <w:szCs w:val="20"/>
                <w:lang w:eastAsia="ru-RU"/>
              </w:rPr>
              <w:t>2</w:t>
            </w:r>
          </w:p>
        </w:tc>
        <w:tc>
          <w:tcPr>
            <w:tcW w:w="3350" w:type="dxa"/>
            <w:tcBorders>
              <w:top w:val="single" w:sz="4" w:space="0" w:color="000000"/>
              <w:left w:val="single" w:sz="4" w:space="0" w:color="000000"/>
              <w:bottom w:val="single" w:sz="4" w:space="0" w:color="000000"/>
              <w:right w:val="single" w:sz="4" w:space="0" w:color="000000"/>
            </w:tcBorders>
            <w:vAlign w:val="center"/>
          </w:tcPr>
          <w:p>
            <w:pPr>
              <w:pStyle w:val="Normal"/>
              <w:tabs>
                <w:tab w:val="clear" w:pos="708"/>
                <w:tab w:val="center" w:pos="142" w:leader="none"/>
              </w:tabs>
              <w:spacing w:lineRule="auto" w:line="240"/>
              <w:jc w:val="center"/>
              <w:rPr>
                <w:b/>
                <w:b/>
                <w:sz w:val="20"/>
                <w:szCs w:val="20"/>
                <w:lang w:eastAsia="ru-RU"/>
              </w:rPr>
            </w:pPr>
            <w:r>
              <w:rPr>
                <w:b/>
                <w:sz w:val="20"/>
                <w:szCs w:val="20"/>
                <w:lang w:eastAsia="ru-RU"/>
              </w:rPr>
              <w:t>3</w:t>
            </w:r>
          </w:p>
        </w:tc>
      </w:tr>
      <w:tr>
        <w:trPr/>
        <w:tc>
          <w:tcPr>
            <w:tcW w:w="2460" w:type="dxa"/>
            <w:vMerge w:val="restart"/>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sz w:val="20"/>
                <w:szCs w:val="20"/>
                <w:lang w:eastAsia="ru-RU"/>
              </w:rPr>
            </w:pPr>
            <w:r>
              <w:rPr>
                <w:sz w:val="20"/>
                <w:szCs w:val="20"/>
                <w:lang w:eastAsia="ru-RU"/>
              </w:rPr>
              <w:t>Прибрежная защитная полоса (30–50 м в зависимости от уклона берега), водоохранная зона</w:t>
            </w:r>
          </w:p>
        </w:tc>
        <w:tc>
          <w:tcPr>
            <w:tcW w:w="4395" w:type="dxa"/>
            <w:tcBorders>
              <w:top w:val="single" w:sz="4" w:space="0" w:color="000000"/>
              <w:left w:val="single" w:sz="4" w:space="0" w:color="000000"/>
              <w:bottom w:val="single" w:sz="4" w:space="0" w:color="000000"/>
              <w:right w:val="single" w:sz="4" w:space="0" w:color="000000"/>
            </w:tcBorders>
          </w:tcPr>
          <w:p>
            <w:pPr>
              <w:pStyle w:val="ListParagraph"/>
              <w:numPr>
                <w:ilvl w:val="0"/>
                <w:numId w:val="29"/>
              </w:numPr>
              <w:tabs>
                <w:tab w:val="clear" w:pos="708"/>
                <w:tab w:val="center" w:pos="142" w:leader="none"/>
              </w:tabs>
              <w:spacing w:lineRule="auto" w:line="240" w:before="0" w:after="0"/>
              <w:ind w:left="-39" w:hanging="0"/>
              <w:contextualSpacing/>
              <w:rPr>
                <w:rFonts w:ascii="Times New Roman" w:hAnsi="Times New Roman"/>
                <w:sz w:val="20"/>
                <w:szCs w:val="20"/>
              </w:rPr>
            </w:pPr>
            <w:r>
              <w:rPr>
                <w:sz w:val="20"/>
                <w:szCs w:val="20"/>
              </w:rPr>
              <w:t>использование сточных вод в целях повышения почвенного плодородия;</w:t>
            </w:r>
          </w:p>
          <w:p>
            <w:pPr>
              <w:pStyle w:val="ListParagraph"/>
              <w:numPr>
                <w:ilvl w:val="0"/>
                <w:numId w:val="29"/>
              </w:numPr>
              <w:tabs>
                <w:tab w:val="clear" w:pos="708"/>
                <w:tab w:val="center" w:pos="142" w:leader="none"/>
              </w:tabs>
              <w:spacing w:lineRule="auto" w:line="240" w:before="0" w:after="0"/>
              <w:ind w:left="-39" w:hanging="0"/>
              <w:contextualSpacing/>
              <w:rPr>
                <w:rFonts w:ascii="Times New Roman" w:hAnsi="Times New Roman"/>
                <w:sz w:val="20"/>
                <w:szCs w:val="20"/>
              </w:rPr>
            </w:pPr>
            <w:r>
              <w:rPr>
                <w:sz w:val="20"/>
                <w:szCs w:val="20"/>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pPr>
              <w:pStyle w:val="ListParagraph"/>
              <w:numPr>
                <w:ilvl w:val="0"/>
                <w:numId w:val="29"/>
              </w:numPr>
              <w:tabs>
                <w:tab w:val="clear" w:pos="708"/>
                <w:tab w:val="center" w:pos="142" w:leader="none"/>
              </w:tabs>
              <w:spacing w:lineRule="auto" w:line="240" w:before="0" w:after="0"/>
              <w:ind w:left="-39" w:hanging="0"/>
              <w:contextualSpacing/>
              <w:rPr>
                <w:rFonts w:ascii="Times New Roman" w:hAnsi="Times New Roman"/>
                <w:sz w:val="20"/>
                <w:szCs w:val="20"/>
              </w:rPr>
            </w:pPr>
            <w:r>
              <w:rPr>
                <w:sz w:val="20"/>
                <w:szCs w:val="20"/>
              </w:rPr>
              <w:t>осуществление авиационных мер по борьбе с вредными организмами;</w:t>
            </w:r>
          </w:p>
          <w:p>
            <w:pPr>
              <w:pStyle w:val="ListParagraph"/>
              <w:numPr>
                <w:ilvl w:val="0"/>
                <w:numId w:val="29"/>
              </w:numPr>
              <w:tabs>
                <w:tab w:val="clear" w:pos="708"/>
                <w:tab w:val="center" w:pos="142" w:leader="none"/>
              </w:tabs>
              <w:spacing w:lineRule="auto" w:line="240" w:before="0" w:after="0"/>
              <w:ind w:left="-39" w:hanging="0"/>
              <w:contextualSpacing/>
              <w:rPr>
                <w:rFonts w:ascii="Times New Roman" w:hAnsi="Times New Roman"/>
                <w:sz w:val="20"/>
                <w:szCs w:val="20"/>
              </w:rPr>
            </w:pPr>
            <w:r>
              <w:rPr>
                <w:sz w:val="20"/>
                <w:szCs w:val="20"/>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pPr>
              <w:pStyle w:val="ListParagraph"/>
              <w:numPr>
                <w:ilvl w:val="0"/>
                <w:numId w:val="29"/>
              </w:numPr>
              <w:tabs>
                <w:tab w:val="clear" w:pos="708"/>
                <w:tab w:val="center" w:pos="142" w:leader="none"/>
              </w:tabs>
              <w:spacing w:lineRule="auto" w:line="240" w:before="0" w:after="0"/>
              <w:ind w:left="-39" w:hanging="0"/>
              <w:contextualSpacing/>
              <w:rPr>
                <w:rFonts w:ascii="Times New Roman" w:hAnsi="Times New Roman"/>
                <w:sz w:val="20"/>
                <w:szCs w:val="20"/>
              </w:rPr>
            </w:pPr>
            <w:r>
              <w:rPr>
                <w:sz w:val="20"/>
                <w:szCs w:val="20"/>
              </w:rPr>
              <w:t>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pPr>
              <w:pStyle w:val="ListParagraph"/>
              <w:numPr>
                <w:ilvl w:val="0"/>
                <w:numId w:val="29"/>
              </w:numPr>
              <w:tabs>
                <w:tab w:val="clear" w:pos="708"/>
                <w:tab w:val="center" w:pos="142" w:leader="none"/>
              </w:tabs>
              <w:spacing w:lineRule="auto" w:line="240" w:before="0" w:after="0"/>
              <w:ind w:left="-39" w:hanging="0"/>
              <w:contextualSpacing/>
              <w:rPr>
                <w:rFonts w:ascii="Times New Roman" w:hAnsi="Times New Roman"/>
                <w:sz w:val="20"/>
                <w:szCs w:val="20"/>
              </w:rPr>
            </w:pPr>
            <w:r>
              <w:rPr>
                <w:sz w:val="20"/>
                <w:szCs w:val="20"/>
              </w:rPr>
              <w:t>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pPr>
              <w:pStyle w:val="ListParagraph"/>
              <w:numPr>
                <w:ilvl w:val="0"/>
                <w:numId w:val="29"/>
              </w:numPr>
              <w:tabs>
                <w:tab w:val="clear" w:pos="708"/>
                <w:tab w:val="center" w:pos="142" w:leader="none"/>
              </w:tabs>
              <w:spacing w:lineRule="auto" w:line="240" w:before="0" w:after="0"/>
              <w:ind w:left="-39" w:hanging="0"/>
              <w:contextualSpacing/>
              <w:rPr>
                <w:rFonts w:ascii="Times New Roman" w:hAnsi="Times New Roman"/>
                <w:sz w:val="20"/>
                <w:szCs w:val="20"/>
              </w:rPr>
            </w:pPr>
            <w:r>
              <w:rPr>
                <w:sz w:val="20"/>
                <w:szCs w:val="20"/>
              </w:rPr>
              <w:t>сброс сточных, в том числе дренажных, вод;</w:t>
            </w:r>
          </w:p>
          <w:p>
            <w:pPr>
              <w:pStyle w:val="ListParagraph"/>
              <w:numPr>
                <w:ilvl w:val="0"/>
                <w:numId w:val="29"/>
              </w:numPr>
              <w:tabs>
                <w:tab w:val="clear" w:pos="708"/>
                <w:tab w:val="center" w:pos="142" w:leader="none"/>
              </w:tabs>
              <w:spacing w:lineRule="auto" w:line="240" w:before="0" w:after="0"/>
              <w:ind w:left="-39" w:hanging="0"/>
              <w:contextualSpacing/>
              <w:rPr>
                <w:rFonts w:ascii="Times New Roman" w:hAnsi="Times New Roman"/>
                <w:sz w:val="20"/>
                <w:szCs w:val="20"/>
              </w:rPr>
            </w:pPr>
            <w:r>
              <w:rPr>
                <w:sz w:val="20"/>
                <w:szCs w:val="20"/>
              </w:rPr>
              <w:t xml:space="preserve">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br/>
              <w:t>статьей 19.1 Закона Российской Федерации от 21.02.1992 № 2395-1 «О недрах»)</w:t>
            </w:r>
          </w:p>
        </w:tc>
        <w:tc>
          <w:tcPr>
            <w:tcW w:w="3350" w:type="dxa"/>
            <w:vMerge w:val="restart"/>
            <w:tcBorders>
              <w:top w:val="single" w:sz="4" w:space="0" w:color="000000"/>
              <w:left w:val="single" w:sz="4" w:space="0" w:color="000000"/>
              <w:bottom w:val="single" w:sz="4" w:space="0" w:color="000000"/>
              <w:right w:val="single" w:sz="4" w:space="0" w:color="000000"/>
            </w:tcBorders>
          </w:tcPr>
          <w:p>
            <w:pPr>
              <w:pStyle w:val="ListParagraph"/>
              <w:numPr>
                <w:ilvl w:val="0"/>
                <w:numId w:val="29"/>
              </w:numPr>
              <w:tabs>
                <w:tab w:val="clear" w:pos="708"/>
                <w:tab w:val="center" w:pos="142" w:leader="none"/>
              </w:tabs>
              <w:spacing w:lineRule="auto" w:line="240" w:before="0" w:after="0"/>
              <w:ind w:left="-39" w:hanging="0"/>
              <w:contextualSpacing/>
              <w:rPr>
                <w:rFonts w:ascii="Times New Roman" w:hAnsi="Times New Roman"/>
                <w:sz w:val="20"/>
                <w:szCs w:val="20"/>
              </w:rPr>
            </w:pPr>
            <w:r>
              <w:rPr>
                <w:sz w:val="20"/>
                <w:szCs w:val="20"/>
              </w:rPr>
              <w:t>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w:t>
            </w:r>
          </w:p>
          <w:p>
            <w:pPr>
              <w:pStyle w:val="ListParagraph"/>
              <w:numPr>
                <w:ilvl w:val="0"/>
                <w:numId w:val="29"/>
              </w:numPr>
              <w:tabs>
                <w:tab w:val="clear" w:pos="708"/>
                <w:tab w:val="center" w:pos="142" w:leader="none"/>
              </w:tabs>
              <w:spacing w:lineRule="auto" w:line="240" w:before="0" w:after="0"/>
              <w:ind w:left="-39" w:hanging="0"/>
              <w:contextualSpacing/>
              <w:rPr>
                <w:rFonts w:ascii="Times New Roman" w:hAnsi="Times New Roman"/>
                <w:sz w:val="20"/>
                <w:szCs w:val="20"/>
              </w:rPr>
            </w:pPr>
            <w:r>
              <w:rPr>
                <w:sz w:val="20"/>
                <w:szCs w:val="20"/>
              </w:rPr>
              <w:t>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w:t>
            </w:r>
          </w:p>
          <w:p>
            <w:pPr>
              <w:pStyle w:val="ListParagraph"/>
              <w:numPr>
                <w:ilvl w:val="0"/>
                <w:numId w:val="29"/>
              </w:numPr>
              <w:tabs>
                <w:tab w:val="clear" w:pos="708"/>
                <w:tab w:val="center" w:pos="142" w:leader="none"/>
              </w:tabs>
              <w:spacing w:lineRule="auto" w:line="240" w:before="0" w:after="0"/>
              <w:ind w:left="-39" w:hanging="0"/>
              <w:contextualSpacing/>
              <w:rPr>
                <w:rFonts w:ascii="Times New Roman" w:hAnsi="Times New Roman"/>
                <w:sz w:val="20"/>
                <w:szCs w:val="20"/>
              </w:rPr>
            </w:pPr>
            <w:r>
              <w:rPr>
                <w:sz w:val="20"/>
                <w:szCs w:val="20"/>
              </w:rPr>
              <w:t>строительство, реконструкция и эксплуатация специализированных хранилищ агрохимикатов при условии оборудования таких хранилищ сооружениями и системами, предотвращающими загрязнение водных объектов.</w:t>
            </w:r>
          </w:p>
        </w:tc>
      </w:tr>
      <w:tr>
        <w:trPr/>
        <w:tc>
          <w:tcPr>
            <w:tcW w:w="2460" w:type="dxa"/>
            <w:vMerge w:val="continue"/>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sz w:val="20"/>
                <w:szCs w:val="20"/>
                <w:lang w:eastAsia="ru-RU"/>
              </w:rPr>
            </w:pPr>
            <w:r>
              <w:rPr>
                <w:sz w:val="20"/>
                <w:szCs w:val="20"/>
                <w:lang w:eastAsia="ru-RU"/>
              </w:rPr>
            </w:r>
          </w:p>
        </w:tc>
        <w:tc>
          <w:tcPr>
            <w:tcW w:w="4395"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sz w:val="20"/>
                <w:szCs w:val="20"/>
                <w:lang w:eastAsia="ru-RU"/>
              </w:rPr>
            </w:pPr>
            <w:r>
              <w:rPr>
                <w:sz w:val="20"/>
                <w:szCs w:val="20"/>
                <w:lang w:eastAsia="ru-RU"/>
              </w:rPr>
              <w:t>Дополнительно к указанным ограничениям для прибрежных защитных полос запрещается:</w:t>
            </w:r>
          </w:p>
          <w:p>
            <w:pPr>
              <w:pStyle w:val="ListParagraph"/>
              <w:numPr>
                <w:ilvl w:val="0"/>
                <w:numId w:val="30"/>
              </w:numPr>
              <w:tabs>
                <w:tab w:val="clear" w:pos="708"/>
                <w:tab w:val="center" w:pos="142" w:leader="none"/>
              </w:tabs>
              <w:spacing w:lineRule="auto" w:line="240" w:before="0" w:after="0"/>
              <w:ind w:left="-39" w:hanging="0"/>
              <w:contextualSpacing/>
              <w:rPr>
                <w:rFonts w:ascii="Times New Roman" w:hAnsi="Times New Roman"/>
                <w:sz w:val="20"/>
                <w:szCs w:val="20"/>
              </w:rPr>
            </w:pPr>
            <w:r>
              <w:rPr>
                <w:sz w:val="20"/>
                <w:szCs w:val="20"/>
              </w:rPr>
              <w:t>распашка земель;</w:t>
            </w:r>
          </w:p>
          <w:p>
            <w:pPr>
              <w:pStyle w:val="ListParagraph"/>
              <w:numPr>
                <w:ilvl w:val="0"/>
                <w:numId w:val="30"/>
              </w:numPr>
              <w:tabs>
                <w:tab w:val="clear" w:pos="708"/>
                <w:tab w:val="center" w:pos="142" w:leader="none"/>
              </w:tabs>
              <w:spacing w:lineRule="auto" w:line="240" w:before="0" w:after="0"/>
              <w:ind w:left="-39" w:hanging="0"/>
              <w:contextualSpacing/>
              <w:rPr>
                <w:rFonts w:ascii="Times New Roman" w:hAnsi="Times New Roman"/>
                <w:sz w:val="20"/>
                <w:szCs w:val="20"/>
              </w:rPr>
            </w:pPr>
            <w:r>
              <w:rPr>
                <w:sz w:val="20"/>
                <w:szCs w:val="20"/>
              </w:rPr>
              <w:t>размещение отвалов размываемых грунтов;</w:t>
            </w:r>
          </w:p>
          <w:p>
            <w:pPr>
              <w:pStyle w:val="ListParagraph"/>
              <w:tabs>
                <w:tab w:val="clear" w:pos="708"/>
                <w:tab w:val="center" w:pos="142" w:leader="none"/>
              </w:tabs>
              <w:spacing w:lineRule="auto" w:line="240"/>
              <w:ind w:left="-39" w:hanging="0"/>
              <w:rPr>
                <w:rFonts w:ascii="Times New Roman" w:hAnsi="Times New Roman"/>
                <w:sz w:val="20"/>
                <w:szCs w:val="20"/>
              </w:rPr>
            </w:pPr>
            <w:r>
              <w:rPr>
                <w:sz w:val="20"/>
                <w:szCs w:val="20"/>
              </w:rPr>
              <w:t>выпас сельскохозяйственных животных и организация для них летних лагерей, ванн;</w:t>
            </w:r>
          </w:p>
          <w:p>
            <w:pPr>
              <w:pStyle w:val="ListParagraph"/>
              <w:tabs>
                <w:tab w:val="clear" w:pos="708"/>
                <w:tab w:val="center" w:pos="142" w:leader="none"/>
              </w:tabs>
              <w:spacing w:lineRule="auto" w:line="240" w:before="0" w:after="0"/>
              <w:ind w:left="-39" w:hanging="0"/>
              <w:contextualSpacing/>
              <w:rPr>
                <w:rFonts w:ascii="Times New Roman" w:hAnsi="Times New Roman"/>
                <w:sz w:val="20"/>
                <w:szCs w:val="20"/>
              </w:rPr>
            </w:pPr>
            <w:r>
              <w:rPr>
                <w:sz w:val="20"/>
                <w:szCs w:val="20"/>
              </w:rPr>
              <w:t>На территориях, расположенных в границах водоохранных зон и занятых защитными лесами, особо защитными участками лесов дополнительно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tc>
        <w:tc>
          <w:tcPr>
            <w:tcW w:w="3350" w:type="dxa"/>
            <w:vMerge w:val="continue"/>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Calibri" w:eastAsiaTheme="minorHAnsi"/>
                <w:sz w:val="20"/>
                <w:szCs w:val="20"/>
              </w:rPr>
            </w:r>
          </w:p>
        </w:tc>
      </w:tr>
    </w:tbl>
    <w:p>
      <w:pPr>
        <w:pStyle w:val="Normal"/>
        <w:spacing w:lineRule="auto" w:line="276" w:before="120" w:after="200"/>
        <w:ind w:firstLine="709"/>
        <w:rPr>
          <w:szCs w:val="24"/>
        </w:rPr>
      </w:pPr>
      <w:r>
        <w:rPr>
          <w:szCs w:val="24"/>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рыболовства и причаливания плавучих средств.</w:t>
      </w:r>
    </w:p>
    <w:p>
      <w:pPr>
        <w:pStyle w:val="Normal"/>
        <w:keepNext w:val="true"/>
        <w:numPr>
          <w:ilvl w:val="0"/>
          <w:numId w:val="0"/>
        </w:numPr>
        <w:tabs>
          <w:tab w:val="clear" w:pos="708"/>
          <w:tab w:val="left" w:pos="709" w:leader="none"/>
        </w:tabs>
        <w:spacing w:lineRule="auto" w:line="276" w:before="120" w:after="200"/>
        <w:outlineLvl w:val="2"/>
        <w:rPr>
          <w:rFonts w:eastAsia="Times New Roman"/>
          <w:b/>
          <w:b/>
          <w:szCs w:val="24"/>
        </w:rPr>
      </w:pPr>
      <w:bookmarkStart w:id="256" w:name="_Toc115250837"/>
      <w:bookmarkStart w:id="257" w:name="_Toc80966052"/>
      <w:bookmarkStart w:id="258" w:name="_Toc182210506"/>
      <w:r>
        <w:rPr>
          <w:rFonts w:eastAsia="Times New Roman"/>
          <w:b/>
          <w:szCs w:val="24"/>
        </w:rPr>
        <w:t>11.3 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bookmarkEnd w:id="256"/>
      <w:bookmarkEnd w:id="257"/>
      <w:bookmarkEnd w:id="258"/>
    </w:p>
    <w:p>
      <w:pPr>
        <w:pStyle w:val="Normal"/>
        <w:spacing w:lineRule="auto" w:line="276"/>
        <w:ind w:firstLine="709"/>
        <w:rPr>
          <w:szCs w:val="24"/>
        </w:rPr>
      </w:pPr>
      <w:bookmarkStart w:id="259" w:name="_Toc115250839"/>
      <w:bookmarkStart w:id="260" w:name="_Toc80966058"/>
      <w:r>
        <w:rPr>
          <w:szCs w:val="24"/>
        </w:rPr>
        <w:t>Санитарно-эпидемиологические требования к организации и эксплуатации зон санитарной охраны (далее — ЗСО) источников водоснабжения и водопроводов питьевого назначения определяет постановление Главного государственного санитарного врача Российской Федерации от 14.03.2002 № 10 «О введении в действие Санитарных правил и норм «Зоны санитарной охраны источников водоснабжения и водопроводов питьевого назначения. СанПиН 2.1.4.1110-02» (с изм. от 25.09.2014) (вместе с «СанПиН 2.1.4.1110-02. 2.1.4. Питьевая вода и водоснабжение населенных мест. Зоны санитарной охраны источников водоснабжения и водопроводов питьевого назначения. Санитарные правила и нормы», утв. Главным государственным санитарным врачом РФ 26.02.2002) (Зарегистрировано в Минюсте РФ 24.04.2002 № 3399), ЗСО организуются на всех водопроводах, вне зависимости от ведомственной принадлежности, подающих воду как из поверхностных, так и из подземных источников.</w:t>
      </w:r>
    </w:p>
    <w:p>
      <w:pPr>
        <w:pStyle w:val="Normal"/>
        <w:spacing w:lineRule="auto" w:line="276"/>
        <w:ind w:firstLine="709"/>
        <w:rPr>
          <w:szCs w:val="24"/>
        </w:rPr>
      </w:pPr>
      <w:r>
        <w:rPr>
          <w:szCs w:val="24"/>
        </w:rPr>
        <w:t xml:space="preserve">Согласно части II, пункту 2.2, подпункту 2.2.1.1 </w:t>
      </w:r>
      <w:r>
        <w:rPr>
          <w:iCs/>
          <w:szCs w:val="24"/>
        </w:rPr>
        <w:t xml:space="preserve">СанПиН 2.1.4.1110-02 «Зоны санитарной охраны источников водоснабжения и водопроводов </w:t>
      </w:r>
      <w:r>
        <w:rPr>
          <w:szCs w:val="24"/>
        </w:rPr>
        <w:t>питьевого назначения», граница первого пояса водозаборов подземных вод устанавливается:</w:t>
      </w:r>
    </w:p>
    <w:p>
      <w:pPr>
        <w:pStyle w:val="Normal"/>
        <w:numPr>
          <w:ilvl w:val="0"/>
          <w:numId w:val="28"/>
        </w:numPr>
        <w:spacing w:lineRule="auto" w:line="276"/>
        <w:ind w:left="0" w:firstLine="426"/>
        <w:rPr>
          <w:color w:val="000000"/>
          <w:szCs w:val="24"/>
        </w:rPr>
      </w:pPr>
      <w:r>
        <w:rPr>
          <w:color w:val="000000"/>
          <w:szCs w:val="24"/>
        </w:rPr>
        <w:t xml:space="preserve"> </w:t>
      </w:r>
      <w:r>
        <w:rPr>
          <w:color w:val="000000"/>
          <w:szCs w:val="24"/>
        </w:rPr>
        <w:t xml:space="preserve">на расстоянии не менее 30 м от водозабора — при использовании защищенных подземных вод; </w:t>
      </w:r>
    </w:p>
    <w:p>
      <w:pPr>
        <w:pStyle w:val="Normal"/>
        <w:numPr>
          <w:ilvl w:val="0"/>
          <w:numId w:val="28"/>
        </w:numPr>
        <w:spacing w:lineRule="auto" w:line="276"/>
        <w:ind w:left="0" w:firstLine="426"/>
        <w:rPr>
          <w:color w:val="000000"/>
          <w:szCs w:val="24"/>
        </w:rPr>
      </w:pPr>
      <w:r>
        <w:rPr>
          <w:color w:val="000000"/>
          <w:szCs w:val="24"/>
        </w:rPr>
        <w:t>на расстоянии не менее 50 м — при использовании недостаточно защищенных подземных вод.</w:t>
      </w:r>
    </w:p>
    <w:p>
      <w:pPr>
        <w:pStyle w:val="Normal"/>
        <w:spacing w:lineRule="auto" w:line="276"/>
        <w:ind w:firstLine="709"/>
        <w:rPr>
          <w:szCs w:val="24"/>
        </w:rPr>
      </w:pPr>
      <w:r>
        <w:rPr>
          <w:szCs w:val="24"/>
        </w:rPr>
        <w:t>Согласно части II, пункту 2.4, подпункту 2.4.2</w:t>
      </w:r>
      <w:r>
        <w:rPr>
          <w:iCs/>
          <w:szCs w:val="24"/>
        </w:rPr>
        <w:t xml:space="preserve"> СанПиН 2.1.4.1110-02 «Зоны санитарной охраны источников водоснабжения и водопроводов </w:t>
      </w:r>
      <w:r>
        <w:rPr>
          <w:szCs w:val="24"/>
        </w:rPr>
        <w:t>питьевого назначения», граница первого пояса ЗСО водопроводных сооружений принимается на расстоянии:</w:t>
      </w:r>
    </w:p>
    <w:p>
      <w:pPr>
        <w:pStyle w:val="Normal"/>
        <w:numPr>
          <w:ilvl w:val="0"/>
          <w:numId w:val="28"/>
        </w:numPr>
        <w:spacing w:lineRule="auto" w:line="276"/>
        <w:ind w:left="0" w:firstLine="426"/>
        <w:rPr>
          <w:color w:val="000000"/>
          <w:szCs w:val="24"/>
        </w:rPr>
      </w:pPr>
      <w:r>
        <w:rPr>
          <w:color w:val="000000"/>
          <w:szCs w:val="24"/>
        </w:rPr>
        <w:t>от водонапорных башен — не менее 10 м;</w:t>
      </w:r>
    </w:p>
    <w:p>
      <w:pPr>
        <w:pStyle w:val="Normal"/>
        <w:numPr>
          <w:ilvl w:val="0"/>
          <w:numId w:val="28"/>
        </w:numPr>
        <w:spacing w:lineRule="auto" w:line="276"/>
        <w:ind w:left="0" w:firstLine="426"/>
        <w:rPr>
          <w:color w:val="000000"/>
          <w:szCs w:val="24"/>
        </w:rPr>
      </w:pPr>
      <w:r>
        <w:rPr>
          <w:color w:val="000000"/>
          <w:szCs w:val="24"/>
        </w:rPr>
        <w:t>от остальных помещений (отстойники, реагентное хозяйство, склад хлора, насосные станции и др.) — не менее 15 м.</w:t>
      </w:r>
    </w:p>
    <w:p>
      <w:pPr>
        <w:pStyle w:val="Normal"/>
        <w:spacing w:lineRule="auto" w:line="276"/>
        <w:ind w:firstLine="709"/>
        <w:rPr>
          <w:iCs/>
          <w:szCs w:val="24"/>
        </w:rPr>
      </w:pPr>
      <w:r>
        <w:rPr>
          <w:iCs/>
          <w:szCs w:val="24"/>
        </w:rPr>
        <w:t>Проектом рекомендуется разработка проектов зон санитарной охраны всех источников водоснабжения.</w:t>
      </w:r>
    </w:p>
    <w:p>
      <w:pPr>
        <w:pStyle w:val="Normal"/>
        <w:spacing w:lineRule="auto" w:line="276"/>
        <w:ind w:firstLine="709"/>
        <w:rPr>
          <w:iCs/>
          <w:szCs w:val="24"/>
        </w:rPr>
      </w:pPr>
      <w:r>
        <w:rPr>
          <w:iCs/>
          <w:szCs w:val="24"/>
        </w:rPr>
        <w:t>Перечень зон санитарной охраны</w:t>
      </w:r>
      <w:r>
        <w:rPr>
          <w:szCs w:val="24"/>
        </w:rPr>
        <w:t xml:space="preserve"> источников водоснабжения и водопроводов питьевого назначения</w:t>
      </w:r>
      <w:r>
        <w:rPr>
          <w:iCs/>
          <w:szCs w:val="24"/>
        </w:rPr>
        <w:t xml:space="preserve"> представлен в таблице 3.10.4.</w:t>
      </w:r>
    </w:p>
    <w:p>
      <w:pPr>
        <w:pStyle w:val="Normal"/>
        <w:spacing w:lineRule="auto" w:line="276"/>
        <w:ind w:firstLine="709"/>
        <w:jc w:val="right"/>
        <w:rPr>
          <w:iCs/>
          <w:szCs w:val="24"/>
        </w:rPr>
      </w:pPr>
      <w:r>
        <w:rPr>
          <w:iCs/>
          <w:szCs w:val="24"/>
        </w:rPr>
        <w:t>Таблица 2.11.4</w:t>
      </w:r>
    </w:p>
    <w:p>
      <w:pPr>
        <w:pStyle w:val="Normal"/>
        <w:spacing w:lineRule="auto" w:line="276"/>
        <w:jc w:val="center"/>
        <w:rPr>
          <w:iCs/>
          <w:szCs w:val="24"/>
        </w:rPr>
      </w:pPr>
      <w:r>
        <w:rPr>
          <w:iCs/>
          <w:szCs w:val="24"/>
        </w:rPr>
        <w:t xml:space="preserve">Перечень зон санитарной охраны </w:t>
      </w:r>
      <w:r>
        <w:rPr>
          <w:rFonts w:eastAsia="Calibri" w:eastAsiaTheme="minorHAnsi"/>
          <w:szCs w:val="24"/>
        </w:rPr>
        <w:t>источников водоснабжения и водопроводов питьевого назначения</w:t>
      </w:r>
    </w:p>
    <w:tbl>
      <w:tblPr>
        <w:tblW w:w="9911" w:type="dxa"/>
        <w:jc w:val="left"/>
        <w:tblInd w:w="-108" w:type="dxa"/>
        <w:tblCellMar>
          <w:top w:w="0" w:type="dxa"/>
          <w:left w:w="108" w:type="dxa"/>
          <w:bottom w:w="0" w:type="dxa"/>
          <w:right w:w="108" w:type="dxa"/>
        </w:tblCellMar>
        <w:tblLook w:firstRow="1" w:noVBand="1" w:lastRow="0" w:firstColumn="1" w:lastColumn="0" w:noHBand="0" w:val="04a0"/>
      </w:tblPr>
      <w:tblGrid>
        <w:gridCol w:w="417"/>
        <w:gridCol w:w="1704"/>
        <w:gridCol w:w="2126"/>
        <w:gridCol w:w="2836"/>
        <w:gridCol w:w="2828"/>
      </w:tblGrid>
      <w:tr>
        <w:trPr>
          <w:tblHeader w:val="true"/>
        </w:trPr>
        <w:tc>
          <w:tcPr>
            <w:tcW w:w="417" w:type="dxa"/>
            <w:tcBorders>
              <w:top w:val="single" w:sz="4" w:space="0" w:color="000000"/>
              <w:left w:val="single" w:sz="4" w:space="0" w:color="000000"/>
              <w:right w:val="single" w:sz="4" w:space="0" w:color="000000"/>
            </w:tcBorders>
            <w:vAlign w:val="center"/>
          </w:tcPr>
          <w:p>
            <w:pPr>
              <w:pStyle w:val="Normal"/>
              <w:tabs>
                <w:tab w:val="clear" w:pos="708"/>
                <w:tab w:val="center" w:pos="142" w:leader="none"/>
              </w:tabs>
              <w:spacing w:lineRule="auto" w:line="240"/>
              <w:jc w:val="center"/>
              <w:rPr>
                <w:b/>
                <w:b/>
                <w:sz w:val="20"/>
                <w:szCs w:val="20"/>
                <w:lang w:eastAsia="ru-RU"/>
              </w:rPr>
            </w:pPr>
            <w:r>
              <w:rPr>
                <w:b/>
                <w:iCs/>
                <w:sz w:val="20"/>
              </w:rPr>
              <w:t>№</w:t>
            </w:r>
          </w:p>
        </w:tc>
        <w:tc>
          <w:tcPr>
            <w:tcW w:w="1704" w:type="dxa"/>
            <w:tcBorders>
              <w:top w:val="single" w:sz="4" w:space="0" w:color="000000"/>
              <w:left w:val="single" w:sz="4" w:space="0" w:color="000000"/>
              <w:right w:val="single" w:sz="4" w:space="0" w:color="000000"/>
            </w:tcBorders>
            <w:vAlign w:val="center"/>
          </w:tcPr>
          <w:p>
            <w:pPr>
              <w:pStyle w:val="Normal"/>
              <w:tabs>
                <w:tab w:val="clear" w:pos="708"/>
                <w:tab w:val="center" w:pos="142" w:leader="none"/>
              </w:tabs>
              <w:spacing w:lineRule="auto" w:line="240"/>
              <w:jc w:val="center"/>
              <w:rPr>
                <w:b/>
                <w:b/>
                <w:sz w:val="20"/>
                <w:szCs w:val="20"/>
                <w:lang w:eastAsia="ru-RU"/>
              </w:rPr>
            </w:pPr>
            <w:r>
              <w:rPr>
                <w:b/>
                <w:iCs/>
                <w:sz w:val="20"/>
              </w:rPr>
              <w:t>Объект</w:t>
            </w:r>
          </w:p>
        </w:tc>
        <w:tc>
          <w:tcPr>
            <w:tcW w:w="2126" w:type="dxa"/>
            <w:tcBorders>
              <w:top w:val="single" w:sz="4" w:space="0" w:color="000000"/>
              <w:left w:val="single" w:sz="4" w:space="0" w:color="000000"/>
              <w:right w:val="single" w:sz="4" w:space="0" w:color="000000"/>
            </w:tcBorders>
            <w:vAlign w:val="center"/>
          </w:tcPr>
          <w:p>
            <w:pPr>
              <w:pStyle w:val="Normal"/>
              <w:tabs>
                <w:tab w:val="clear" w:pos="708"/>
                <w:tab w:val="center" w:pos="142" w:leader="none"/>
              </w:tabs>
              <w:spacing w:lineRule="auto" w:line="240"/>
              <w:jc w:val="center"/>
              <w:rPr>
                <w:b/>
                <w:b/>
                <w:sz w:val="20"/>
                <w:szCs w:val="20"/>
                <w:lang w:eastAsia="ru-RU"/>
              </w:rPr>
            </w:pPr>
            <w:r>
              <w:rPr>
                <w:b/>
                <w:iCs/>
                <w:sz w:val="20"/>
              </w:rPr>
              <w:t>Местоположение</w:t>
            </w:r>
          </w:p>
        </w:tc>
        <w:tc>
          <w:tcPr>
            <w:tcW w:w="2836" w:type="dxa"/>
            <w:tcBorders>
              <w:top w:val="single" w:sz="4" w:space="0" w:color="000000"/>
              <w:left w:val="single" w:sz="4" w:space="0" w:color="000000"/>
              <w:right w:val="single" w:sz="4" w:space="0" w:color="000000"/>
            </w:tcBorders>
          </w:tcPr>
          <w:p>
            <w:pPr>
              <w:pStyle w:val="Normal"/>
              <w:tabs>
                <w:tab w:val="clear" w:pos="708"/>
                <w:tab w:val="center" w:pos="142" w:leader="none"/>
              </w:tabs>
              <w:spacing w:lineRule="auto" w:line="240"/>
              <w:jc w:val="center"/>
              <w:rPr>
                <w:b/>
                <w:b/>
                <w:iCs/>
                <w:sz w:val="20"/>
              </w:rPr>
            </w:pPr>
            <w:r>
              <w:rPr>
                <w:b/>
                <w:iCs/>
                <w:sz w:val="20"/>
              </w:rPr>
              <w:t>Границы ЗСО</w:t>
            </w:r>
          </w:p>
        </w:tc>
        <w:tc>
          <w:tcPr>
            <w:tcW w:w="2828" w:type="dxa"/>
            <w:tcBorders>
              <w:top w:val="single" w:sz="4" w:space="0" w:color="000000"/>
              <w:left w:val="single" w:sz="4" w:space="0" w:color="000000"/>
              <w:right w:val="single" w:sz="4" w:space="0" w:color="000000"/>
            </w:tcBorders>
          </w:tcPr>
          <w:p>
            <w:pPr>
              <w:pStyle w:val="Normal"/>
              <w:tabs>
                <w:tab w:val="clear" w:pos="708"/>
                <w:tab w:val="center" w:pos="142" w:leader="none"/>
              </w:tabs>
              <w:spacing w:lineRule="auto" w:line="240"/>
              <w:jc w:val="center"/>
              <w:rPr>
                <w:b/>
                <w:b/>
                <w:iCs/>
                <w:sz w:val="20"/>
              </w:rPr>
            </w:pPr>
            <w:r>
              <w:rPr>
                <w:b/>
                <w:iCs/>
                <w:sz w:val="20"/>
              </w:rPr>
              <w:t>Основание</w:t>
            </w:r>
          </w:p>
        </w:tc>
      </w:tr>
    </w:tbl>
    <w:p>
      <w:pPr>
        <w:pStyle w:val="Normal"/>
        <w:shd w:val="clear" w:color="auto" w:fill="FFFFFF"/>
        <w:tabs>
          <w:tab w:val="clear" w:pos="708"/>
          <w:tab w:val="center" w:pos="142" w:leader="none"/>
        </w:tabs>
        <w:spacing w:lineRule="auto" w:line="12"/>
        <w:ind w:firstLine="709"/>
        <w:jc w:val="center"/>
        <w:rPr>
          <w:szCs w:val="24"/>
        </w:rPr>
      </w:pPr>
      <w:r>
        <w:rPr>
          <w:szCs w:val="24"/>
        </w:rPr>
      </w:r>
    </w:p>
    <w:tbl>
      <w:tblPr>
        <w:tblW w:w="9911" w:type="dxa"/>
        <w:jc w:val="left"/>
        <w:tblInd w:w="-108" w:type="dxa"/>
        <w:tblCellMar>
          <w:top w:w="0" w:type="dxa"/>
          <w:left w:w="108" w:type="dxa"/>
          <w:bottom w:w="0" w:type="dxa"/>
          <w:right w:w="108" w:type="dxa"/>
        </w:tblCellMar>
        <w:tblLook w:firstRow="1" w:noVBand="1" w:lastRow="0" w:firstColumn="1" w:lastColumn="0" w:noHBand="0" w:val="04a0"/>
      </w:tblPr>
      <w:tblGrid>
        <w:gridCol w:w="445"/>
        <w:gridCol w:w="1676"/>
        <w:gridCol w:w="2126"/>
        <w:gridCol w:w="2836"/>
        <w:gridCol w:w="2828"/>
      </w:tblGrid>
      <w:tr>
        <w:trPr>
          <w:tblHeader w:val="true"/>
        </w:trPr>
        <w:tc>
          <w:tcPr>
            <w:tcW w:w="445"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center"/>
              <w:rPr>
                <w:b/>
                <w:b/>
                <w:sz w:val="20"/>
                <w:szCs w:val="20"/>
                <w:lang w:eastAsia="ru-RU"/>
              </w:rPr>
            </w:pPr>
            <w:r>
              <w:rPr>
                <w:b/>
                <w:sz w:val="20"/>
                <w:szCs w:val="20"/>
                <w:lang w:eastAsia="ru-RU"/>
              </w:rPr>
              <w:t>1</w:t>
            </w:r>
          </w:p>
        </w:tc>
        <w:tc>
          <w:tcPr>
            <w:tcW w:w="167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center"/>
              <w:rPr>
                <w:b/>
                <w:b/>
                <w:sz w:val="20"/>
                <w:szCs w:val="20"/>
                <w:lang w:eastAsia="ru-RU"/>
              </w:rPr>
            </w:pPr>
            <w:r>
              <w:rPr>
                <w:b/>
                <w:sz w:val="20"/>
                <w:szCs w:val="20"/>
                <w:lang w:eastAsia="ru-RU"/>
              </w:rPr>
              <w:t>2</w:t>
            </w:r>
          </w:p>
        </w:tc>
        <w:tc>
          <w:tcPr>
            <w:tcW w:w="212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center"/>
              <w:rPr>
                <w:b/>
                <w:b/>
                <w:sz w:val="20"/>
                <w:szCs w:val="20"/>
                <w:lang w:eastAsia="ru-RU"/>
              </w:rPr>
            </w:pPr>
            <w:r>
              <w:rPr>
                <w:b/>
                <w:sz w:val="20"/>
                <w:szCs w:val="20"/>
                <w:lang w:eastAsia="ru-RU"/>
              </w:rPr>
              <w:t>3</w:t>
            </w:r>
          </w:p>
        </w:tc>
        <w:tc>
          <w:tcPr>
            <w:tcW w:w="283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center"/>
              <w:rPr>
                <w:b/>
                <w:b/>
                <w:sz w:val="20"/>
                <w:szCs w:val="20"/>
                <w:lang w:eastAsia="ru-RU"/>
              </w:rPr>
            </w:pPr>
            <w:r>
              <w:rPr>
                <w:b/>
                <w:sz w:val="20"/>
                <w:szCs w:val="20"/>
                <w:lang w:eastAsia="ru-RU"/>
              </w:rPr>
              <w:t>4</w:t>
            </w:r>
          </w:p>
        </w:tc>
        <w:tc>
          <w:tcPr>
            <w:tcW w:w="2828"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center"/>
              <w:rPr>
                <w:b/>
                <w:b/>
                <w:sz w:val="20"/>
                <w:szCs w:val="20"/>
                <w:lang w:eastAsia="ru-RU"/>
              </w:rPr>
            </w:pPr>
            <w:r>
              <w:rPr>
                <w:b/>
                <w:sz w:val="20"/>
                <w:szCs w:val="20"/>
                <w:lang w:eastAsia="ru-RU"/>
              </w:rPr>
              <w:t>5</w:t>
            </w:r>
          </w:p>
        </w:tc>
      </w:tr>
      <w:tr>
        <w:trPr/>
        <w:tc>
          <w:tcPr>
            <w:tcW w:w="9911" w:type="dxa"/>
            <w:gridSpan w:val="5"/>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center"/>
              <w:rPr>
                <w:b/>
                <w:b/>
                <w:sz w:val="20"/>
                <w:szCs w:val="20"/>
              </w:rPr>
            </w:pPr>
            <w:r>
              <w:rPr>
                <w:rFonts w:eastAsia="Calibri" w:eastAsiaTheme="minorHAnsi"/>
                <w:b/>
                <w:sz w:val="20"/>
                <w:szCs w:val="20"/>
              </w:rPr>
              <w:t>Установленная (окончательная), внесенная в ЕГРН</w:t>
            </w:r>
          </w:p>
        </w:tc>
      </w:tr>
      <w:tr>
        <w:trPr/>
        <w:tc>
          <w:tcPr>
            <w:tcW w:w="445"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center"/>
              <w:rPr>
                <w:sz w:val="20"/>
                <w:szCs w:val="20"/>
                <w:lang w:eastAsia="ru-RU"/>
              </w:rPr>
            </w:pPr>
            <w:r>
              <w:rPr>
                <w:sz w:val="20"/>
                <w:szCs w:val="20"/>
                <w:lang w:eastAsia="ru-RU"/>
              </w:rPr>
              <w:t>1</w:t>
            </w:r>
          </w:p>
        </w:tc>
        <w:tc>
          <w:tcPr>
            <w:tcW w:w="167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Водозабор из Катенинского водохранилища на реке Караталаят (Караталыаят) – источника питьевого и хозяйственно-бытового водоснабжения</w:t>
            </w:r>
          </w:p>
        </w:tc>
        <w:tc>
          <w:tcPr>
            <w:tcW w:w="212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п. Красноармейский, в 9000 метрах на юго-запад, владение 1, строение 1.</w:t>
            </w:r>
          </w:p>
        </w:tc>
        <w:tc>
          <w:tcPr>
            <w:tcW w:w="283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 xml:space="preserve">Границы ЗСО в соответствии с ЕГРН </w:t>
            </w:r>
          </w:p>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I пояс –  ЗОУИТ 74:05-6.746</w:t>
              <w:br/>
              <w:t>II пояс –ЗОУИТ 74:05-6.747</w:t>
            </w:r>
          </w:p>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III пояс – ЗОУИТ 74:05-6.747</w:t>
            </w:r>
          </w:p>
        </w:tc>
        <w:tc>
          <w:tcPr>
            <w:tcW w:w="2828"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Санитарно-эпидемиологическое заключение 74.33.02.000.Т.000014.12.19 от 09.12.2019</w:t>
            </w:r>
          </w:p>
        </w:tc>
      </w:tr>
      <w:tr>
        <w:trPr/>
        <w:tc>
          <w:tcPr>
            <w:tcW w:w="445"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center"/>
              <w:rPr>
                <w:sz w:val="20"/>
                <w:szCs w:val="20"/>
                <w:lang w:eastAsia="ru-RU"/>
              </w:rPr>
            </w:pPr>
            <w:r>
              <w:rPr>
                <w:sz w:val="20"/>
                <w:szCs w:val="20"/>
                <w:lang w:eastAsia="ru-RU"/>
              </w:rPr>
              <w:t>2</w:t>
            </w:r>
          </w:p>
        </w:tc>
        <w:tc>
          <w:tcPr>
            <w:tcW w:w="167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Водозаборная скважина № 1143-68</w:t>
            </w:r>
          </w:p>
        </w:tc>
        <w:tc>
          <w:tcPr>
            <w:tcW w:w="212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п. Комсомольский</w:t>
            </w:r>
          </w:p>
        </w:tc>
        <w:tc>
          <w:tcPr>
            <w:tcW w:w="283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 xml:space="preserve">Границы ЗСО в соответствии с ЕГРН </w:t>
            </w:r>
          </w:p>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I пояс –  ЗОУИТ 74:05-6.784</w:t>
              <w:br/>
              <w:t>II пояс –ЗОУИТ 74:05-6.785</w:t>
            </w:r>
          </w:p>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III пояс – ЗОУИТ 74:05-6.783</w:t>
            </w:r>
          </w:p>
        </w:tc>
        <w:tc>
          <w:tcPr>
            <w:tcW w:w="2828"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Санитарно-эпидемиологическое заключение 74.13.02.000.Т.000017.06.20 от 29.06.2020</w:t>
            </w:r>
          </w:p>
        </w:tc>
      </w:tr>
      <w:tr>
        <w:trPr/>
        <w:tc>
          <w:tcPr>
            <w:tcW w:w="445"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center"/>
              <w:rPr>
                <w:sz w:val="20"/>
                <w:szCs w:val="20"/>
                <w:lang w:eastAsia="ru-RU"/>
              </w:rPr>
            </w:pPr>
            <w:r>
              <w:rPr>
                <w:sz w:val="20"/>
                <w:szCs w:val="20"/>
                <w:lang w:eastAsia="ru-RU"/>
              </w:rPr>
              <w:t>3</w:t>
            </w:r>
          </w:p>
        </w:tc>
        <w:tc>
          <w:tcPr>
            <w:tcW w:w="167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Водозаборная скважина № 5787</w:t>
            </w:r>
          </w:p>
        </w:tc>
        <w:tc>
          <w:tcPr>
            <w:tcW w:w="212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п. Катенино</w:t>
            </w:r>
          </w:p>
        </w:tc>
        <w:tc>
          <w:tcPr>
            <w:tcW w:w="283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 xml:space="preserve">Границы ЗСО в соответствии с ЕГРН </w:t>
            </w:r>
          </w:p>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I пояс –  ЗОУИТ 74:05-6.788</w:t>
              <w:br/>
              <w:t>II пояс –ЗОУИТ 74:05-6.787</w:t>
            </w:r>
          </w:p>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III пояс – ЗОУИТ 74:05-6.786</w:t>
            </w:r>
          </w:p>
        </w:tc>
        <w:tc>
          <w:tcPr>
            <w:tcW w:w="2828"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Санитарно-эпидемиологическое заключение 74.13.02.000.Т.000020.06.20 от 29.06.2020</w:t>
            </w:r>
          </w:p>
        </w:tc>
      </w:tr>
      <w:tr>
        <w:trPr/>
        <w:tc>
          <w:tcPr>
            <w:tcW w:w="445"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center"/>
              <w:rPr>
                <w:sz w:val="20"/>
                <w:szCs w:val="20"/>
                <w:lang w:eastAsia="ru-RU"/>
              </w:rPr>
            </w:pPr>
            <w:r>
              <w:rPr>
                <w:sz w:val="20"/>
                <w:szCs w:val="20"/>
                <w:lang w:eastAsia="ru-RU"/>
              </w:rPr>
              <w:t>4</w:t>
            </w:r>
          </w:p>
        </w:tc>
        <w:tc>
          <w:tcPr>
            <w:tcW w:w="167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Водозаборная скважина № 3726</w:t>
            </w:r>
          </w:p>
        </w:tc>
        <w:tc>
          <w:tcPr>
            <w:tcW w:w="212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п. Караоба</w:t>
            </w:r>
          </w:p>
        </w:tc>
        <w:tc>
          <w:tcPr>
            <w:tcW w:w="283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 xml:space="preserve">Границы ЗСО в соответствии с ЕГРН </w:t>
            </w:r>
          </w:p>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I пояс –  ЗОУИТ 74:05-6.790</w:t>
              <w:br/>
              <w:t>II пояс –ЗОУИТ 74:05-6.791</w:t>
            </w:r>
          </w:p>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III пояс – ЗОУИТ 74:05-6.789</w:t>
            </w:r>
          </w:p>
        </w:tc>
        <w:tc>
          <w:tcPr>
            <w:tcW w:w="2828"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Санитарно-эпидемиологическое заключение 74.13.02.000.Т.000019.06.20 от 29.06.2020</w:t>
            </w:r>
          </w:p>
        </w:tc>
      </w:tr>
      <w:tr>
        <w:trPr/>
        <w:tc>
          <w:tcPr>
            <w:tcW w:w="9911" w:type="dxa"/>
            <w:gridSpan w:val="5"/>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center"/>
              <w:rPr>
                <w:b/>
                <w:b/>
                <w:color w:val="000000"/>
                <w:sz w:val="20"/>
                <w:szCs w:val="20"/>
                <w:highlight w:val="white"/>
              </w:rPr>
            </w:pPr>
            <w:r>
              <w:rPr>
                <w:b/>
                <w:color w:val="000000"/>
                <w:sz w:val="20"/>
                <w:szCs w:val="20"/>
                <w:shd w:fill="FFFFFF" w:val="clear"/>
              </w:rPr>
              <w:t>Ориентировочные (нормативные)</w:t>
            </w:r>
          </w:p>
        </w:tc>
      </w:tr>
      <w:tr>
        <w:trPr/>
        <w:tc>
          <w:tcPr>
            <w:tcW w:w="445"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center"/>
              <w:rPr>
                <w:sz w:val="20"/>
                <w:szCs w:val="20"/>
                <w:lang w:eastAsia="ru-RU"/>
              </w:rPr>
            </w:pPr>
            <w:r>
              <w:rPr>
                <w:sz w:val="20"/>
                <w:szCs w:val="20"/>
                <w:lang w:eastAsia="ru-RU"/>
              </w:rPr>
              <w:t>4</w:t>
            </w:r>
          </w:p>
        </w:tc>
        <w:tc>
          <w:tcPr>
            <w:tcW w:w="167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 xml:space="preserve">Артезианская скважина </w:t>
            </w:r>
          </w:p>
        </w:tc>
        <w:tc>
          <w:tcPr>
            <w:tcW w:w="212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Катенинское сельское поселение</w:t>
            </w:r>
          </w:p>
        </w:tc>
        <w:tc>
          <w:tcPr>
            <w:tcW w:w="283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I пояс – 50 м</w:t>
            </w:r>
          </w:p>
        </w:tc>
        <w:tc>
          <w:tcPr>
            <w:tcW w:w="2828"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rPr>
              <w:t>СанПиН 2.1.4.1110-02 «Зоны санитарной охраны источников водоснабжения и водопроводов питьевого назначения»</w:t>
            </w:r>
          </w:p>
        </w:tc>
      </w:tr>
    </w:tbl>
    <w:p>
      <w:pPr>
        <w:pStyle w:val="Normal"/>
        <w:spacing w:lineRule="auto" w:line="276"/>
        <w:ind w:firstLine="709"/>
        <w:rPr>
          <w:iCs/>
          <w:szCs w:val="24"/>
        </w:rPr>
      </w:pPr>
      <w:r>
        <w:rPr>
          <w:iCs/>
          <w:szCs w:val="24"/>
        </w:rPr>
      </w:r>
    </w:p>
    <w:p>
      <w:pPr>
        <w:pStyle w:val="Normal"/>
        <w:spacing w:lineRule="auto" w:line="276"/>
        <w:ind w:firstLine="709"/>
        <w:rPr>
          <w:color w:val="000000"/>
          <w:szCs w:val="24"/>
        </w:rPr>
      </w:pPr>
      <w:r>
        <w:rPr/>
        <w:t xml:space="preserve">Режим использования территорий зон санитарной охраны источников водоснабжения и водопроводов питьевого назначения в таблице 3.11.5. </w:t>
      </w:r>
    </w:p>
    <w:p>
      <w:pPr>
        <w:pStyle w:val="Normal"/>
        <w:spacing w:lineRule="auto" w:line="276"/>
        <w:ind w:firstLine="709"/>
        <w:rPr>
          <w:color w:val="000000"/>
          <w:szCs w:val="24"/>
        </w:rPr>
      </w:pPr>
      <w:r>
        <w:rPr/>
        <w:t>Отсутствие утвержденного проекта ЗСО не является основанием для освобождения владельцев водопровода, владельцев объектов, расположенных в границах ЗСО, организаций, индивидуальных предпринимателей, а также граждан от выполнения требований, предъявляемых СанПиН 2.1.4.1110-02 «Зоны санитарной охраны источников водоснабжения и водопроводов питьевого назначения».</w:t>
      </w:r>
    </w:p>
    <w:p>
      <w:pPr>
        <w:pStyle w:val="Normal"/>
        <w:shd w:val="clear" w:color="auto" w:fill="FFFFFF"/>
        <w:tabs>
          <w:tab w:val="clear" w:pos="708"/>
          <w:tab w:val="center" w:pos="142" w:leader="none"/>
        </w:tabs>
        <w:spacing w:lineRule="auto" w:line="276"/>
        <w:ind w:firstLine="709"/>
        <w:jc w:val="right"/>
        <w:rPr>
          <w:rFonts w:eastAsia="Times New Roman"/>
          <w:szCs w:val="24"/>
          <w:lang w:eastAsia="ru-RU"/>
        </w:rPr>
      </w:pPr>
      <w:r>
        <w:rPr>
          <w:rFonts w:eastAsia="Times New Roman"/>
          <w:szCs w:val="24"/>
          <w:lang w:eastAsia="ru-RU"/>
        </w:rPr>
        <w:t>Таблица 3.11.5</w:t>
      </w:r>
    </w:p>
    <w:p>
      <w:pPr>
        <w:pStyle w:val="Normal"/>
        <w:shd w:val="clear" w:color="auto" w:fill="FFFFFF"/>
        <w:tabs>
          <w:tab w:val="clear" w:pos="708"/>
          <w:tab w:val="center" w:pos="142" w:leader="none"/>
        </w:tabs>
        <w:spacing w:lineRule="auto" w:line="276"/>
        <w:jc w:val="center"/>
        <w:rPr>
          <w:rFonts w:eastAsia="Times New Roman"/>
          <w:szCs w:val="24"/>
          <w:lang w:eastAsia="ru-RU"/>
        </w:rPr>
      </w:pPr>
      <w:r>
        <w:rPr>
          <w:rFonts w:eastAsia="Times New Roman"/>
          <w:szCs w:val="24"/>
          <w:lang w:eastAsia="ru-RU"/>
        </w:rPr>
        <w:t xml:space="preserve">Режим использования территорий зон санитарной охраны </w:t>
      </w:r>
      <w:r>
        <w:rPr>
          <w:rFonts w:eastAsia="Calibri" w:eastAsiaTheme="minorHAnsi"/>
          <w:szCs w:val="24"/>
        </w:rPr>
        <w:t>источников водоснабжения и водопроводов питьевого назначения</w:t>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2006"/>
        <w:gridCol w:w="3561"/>
        <w:gridCol w:w="4638"/>
      </w:tblGrid>
      <w:tr>
        <w:trPr>
          <w:tblHeader w:val="true"/>
        </w:trPr>
        <w:tc>
          <w:tcPr>
            <w:tcW w:w="2006" w:type="dxa"/>
            <w:tcBorders>
              <w:top w:val="single" w:sz="4" w:space="0" w:color="000000"/>
              <w:left w:val="single" w:sz="4" w:space="0" w:color="000000"/>
              <w:right w:val="single" w:sz="4" w:space="0" w:color="000000"/>
            </w:tcBorders>
            <w:vAlign w:val="center"/>
          </w:tcPr>
          <w:p>
            <w:pPr>
              <w:pStyle w:val="Normal"/>
              <w:tabs>
                <w:tab w:val="clear" w:pos="708"/>
                <w:tab w:val="center" w:pos="142" w:leader="none"/>
              </w:tabs>
              <w:spacing w:lineRule="auto" w:line="240"/>
              <w:jc w:val="center"/>
              <w:rPr>
                <w:b/>
                <w:b/>
                <w:sz w:val="20"/>
                <w:szCs w:val="20"/>
                <w:lang w:eastAsia="ru-RU"/>
              </w:rPr>
            </w:pPr>
            <w:r>
              <w:rPr>
                <w:b/>
                <w:sz w:val="20"/>
                <w:szCs w:val="20"/>
                <w:lang w:eastAsia="ru-RU"/>
              </w:rPr>
              <w:t>Пояс ЗСО</w:t>
            </w:r>
          </w:p>
        </w:tc>
        <w:tc>
          <w:tcPr>
            <w:tcW w:w="3561" w:type="dxa"/>
            <w:tcBorders>
              <w:top w:val="single" w:sz="4" w:space="0" w:color="000000"/>
              <w:left w:val="single" w:sz="4" w:space="0" w:color="000000"/>
              <w:right w:val="single" w:sz="4" w:space="0" w:color="000000"/>
            </w:tcBorders>
            <w:vAlign w:val="center"/>
          </w:tcPr>
          <w:p>
            <w:pPr>
              <w:pStyle w:val="Normal"/>
              <w:tabs>
                <w:tab w:val="clear" w:pos="708"/>
                <w:tab w:val="center" w:pos="142" w:leader="none"/>
              </w:tabs>
              <w:spacing w:lineRule="auto" w:line="240"/>
              <w:jc w:val="center"/>
              <w:rPr>
                <w:b/>
                <w:b/>
                <w:sz w:val="20"/>
                <w:szCs w:val="20"/>
                <w:lang w:eastAsia="ru-RU"/>
              </w:rPr>
            </w:pPr>
            <w:r>
              <w:rPr>
                <w:b/>
                <w:sz w:val="20"/>
                <w:szCs w:val="20"/>
                <w:lang w:eastAsia="ru-RU"/>
              </w:rPr>
              <w:t>Запрещается</w:t>
            </w:r>
          </w:p>
        </w:tc>
        <w:tc>
          <w:tcPr>
            <w:tcW w:w="4638" w:type="dxa"/>
            <w:tcBorders>
              <w:top w:val="single" w:sz="4" w:space="0" w:color="000000"/>
              <w:left w:val="single" w:sz="4" w:space="0" w:color="000000"/>
              <w:right w:val="single" w:sz="4" w:space="0" w:color="000000"/>
            </w:tcBorders>
            <w:vAlign w:val="center"/>
          </w:tcPr>
          <w:p>
            <w:pPr>
              <w:pStyle w:val="Normal"/>
              <w:tabs>
                <w:tab w:val="clear" w:pos="708"/>
                <w:tab w:val="center" w:pos="142" w:leader="none"/>
              </w:tabs>
              <w:spacing w:lineRule="auto" w:line="240"/>
              <w:jc w:val="center"/>
              <w:rPr>
                <w:b/>
                <w:b/>
                <w:sz w:val="20"/>
                <w:szCs w:val="20"/>
                <w:lang w:eastAsia="ru-RU"/>
              </w:rPr>
            </w:pPr>
            <w:r>
              <w:rPr>
                <w:b/>
                <w:sz w:val="20"/>
                <w:szCs w:val="20"/>
                <w:lang w:eastAsia="ru-RU"/>
              </w:rPr>
              <w:t>Требования к организации территории</w:t>
            </w:r>
          </w:p>
        </w:tc>
      </w:tr>
    </w:tbl>
    <w:p>
      <w:pPr>
        <w:pStyle w:val="Normal"/>
        <w:shd w:val="clear" w:color="auto" w:fill="FFFFFF"/>
        <w:tabs>
          <w:tab w:val="clear" w:pos="708"/>
          <w:tab w:val="center" w:pos="142" w:leader="none"/>
        </w:tabs>
        <w:spacing w:lineRule="auto" w:line="12"/>
        <w:ind w:firstLine="709"/>
        <w:jc w:val="center"/>
        <w:rPr>
          <w:sz w:val="20"/>
          <w:szCs w:val="20"/>
        </w:rPr>
      </w:pPr>
      <w:r>
        <w:rPr>
          <w:sz w:val="20"/>
          <w:szCs w:val="20"/>
        </w:rPr>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2006"/>
        <w:gridCol w:w="3561"/>
        <w:gridCol w:w="4638"/>
      </w:tblGrid>
      <w:tr>
        <w:trPr>
          <w:tblHeader w:val="true"/>
        </w:trPr>
        <w:tc>
          <w:tcPr>
            <w:tcW w:w="200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center"/>
              <w:rPr>
                <w:b/>
                <w:b/>
                <w:sz w:val="20"/>
                <w:szCs w:val="20"/>
                <w:lang w:eastAsia="ru-RU"/>
              </w:rPr>
            </w:pPr>
            <w:r>
              <w:rPr>
                <w:b/>
                <w:sz w:val="20"/>
                <w:szCs w:val="20"/>
                <w:lang w:eastAsia="ru-RU"/>
              </w:rPr>
              <w:t>1</w:t>
            </w:r>
          </w:p>
        </w:tc>
        <w:tc>
          <w:tcPr>
            <w:tcW w:w="3561"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center"/>
              <w:rPr>
                <w:b/>
                <w:b/>
                <w:sz w:val="20"/>
                <w:szCs w:val="20"/>
                <w:lang w:eastAsia="ru-RU"/>
              </w:rPr>
            </w:pPr>
            <w:r>
              <w:rPr>
                <w:b/>
                <w:sz w:val="20"/>
                <w:szCs w:val="20"/>
                <w:lang w:eastAsia="ru-RU"/>
              </w:rPr>
              <w:t>2</w:t>
            </w:r>
          </w:p>
        </w:tc>
        <w:tc>
          <w:tcPr>
            <w:tcW w:w="4638"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center"/>
              <w:rPr>
                <w:b/>
                <w:b/>
                <w:sz w:val="20"/>
                <w:szCs w:val="20"/>
                <w:lang w:eastAsia="ru-RU"/>
              </w:rPr>
            </w:pPr>
            <w:r>
              <w:rPr>
                <w:b/>
                <w:sz w:val="20"/>
                <w:szCs w:val="20"/>
                <w:lang w:eastAsia="ru-RU"/>
              </w:rPr>
              <w:t>3</w:t>
            </w:r>
          </w:p>
        </w:tc>
      </w:tr>
      <w:tr>
        <w:trPr/>
        <w:tc>
          <w:tcPr>
            <w:tcW w:w="10205" w:type="dxa"/>
            <w:gridSpan w:val="3"/>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rFonts w:eastAsia="Calibri" w:eastAsiaTheme="minorHAnsi"/>
                <w:b/>
                <w:b/>
                <w:sz w:val="20"/>
                <w:szCs w:val="20"/>
              </w:rPr>
            </w:pPr>
            <w:r>
              <w:rPr>
                <w:rFonts w:eastAsia="Calibri" w:eastAsiaTheme="minorHAnsi"/>
                <w:b/>
                <w:sz w:val="20"/>
                <w:szCs w:val="20"/>
              </w:rPr>
              <w:t>Мероприятия на территории ЗСО подземных источников водоснабжения</w:t>
            </w:r>
          </w:p>
        </w:tc>
      </w:tr>
      <w:tr>
        <w:trPr/>
        <w:tc>
          <w:tcPr>
            <w:tcW w:w="200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sz w:val="20"/>
                <w:szCs w:val="20"/>
                <w:lang w:eastAsia="ru-RU"/>
              </w:rPr>
            </w:pPr>
            <w:r>
              <w:rPr>
                <w:color w:val="000000"/>
                <w:sz w:val="20"/>
                <w:szCs w:val="20"/>
                <w:shd w:fill="FFFFFF" w:val="clear"/>
                <w:lang w:val="en-US"/>
              </w:rPr>
              <w:t xml:space="preserve">I </w:t>
            </w:r>
            <w:r>
              <w:rPr>
                <w:color w:val="000000"/>
                <w:sz w:val="20"/>
                <w:szCs w:val="20"/>
                <w:shd w:fill="FFFFFF" w:val="clear"/>
              </w:rPr>
              <w:t>пояс</w:t>
            </w:r>
          </w:p>
        </w:tc>
        <w:tc>
          <w:tcPr>
            <w:tcW w:w="3561" w:type="dxa"/>
            <w:tcBorders>
              <w:top w:val="single" w:sz="4" w:space="0" w:color="000000"/>
              <w:left w:val="single" w:sz="4" w:space="0" w:color="000000"/>
              <w:bottom w:val="single" w:sz="4" w:space="0" w:color="000000"/>
              <w:right w:val="single" w:sz="4" w:space="0" w:color="000000"/>
            </w:tcBorders>
          </w:tcPr>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eastAsia="Calibri" w:eastAsiaTheme="minorHAnsi"/>
                <w:sz w:val="20"/>
                <w:szCs w:val="20"/>
              </w:rPr>
            </w:pPr>
            <w:r>
              <w:rPr>
                <w:sz w:val="20"/>
                <w:szCs w:val="20"/>
              </w:rPr>
              <w:t>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tc>
        <w:tc>
          <w:tcPr>
            <w:tcW w:w="463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Calibri" w:eastAsiaTheme="minorHAnsi"/>
                <w:sz w:val="20"/>
                <w:szCs w:val="20"/>
              </w:rPr>
              <w:t>Территория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pPr>
              <w:pStyle w:val="Normal"/>
              <w:spacing w:lineRule="auto" w:line="240"/>
              <w:jc w:val="left"/>
              <w:rPr>
                <w:rFonts w:eastAsia="Calibri" w:eastAsiaTheme="minorHAnsi"/>
                <w:sz w:val="20"/>
                <w:szCs w:val="20"/>
              </w:rPr>
            </w:pPr>
            <w:r>
              <w:rPr>
                <w:rFonts w:eastAsia="Calibri" w:eastAsiaTheme="minorHAnsi"/>
                <w:sz w:val="20"/>
                <w:szCs w:val="20"/>
              </w:rPr>
              <w:t>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pPr>
              <w:pStyle w:val="Normal"/>
              <w:spacing w:lineRule="auto" w:line="240"/>
              <w:jc w:val="left"/>
              <w:rPr>
                <w:rFonts w:eastAsia="Calibri" w:eastAsiaTheme="minorHAnsi"/>
                <w:sz w:val="20"/>
                <w:szCs w:val="20"/>
              </w:rPr>
            </w:pPr>
            <w:r>
              <w:rPr>
                <w:rFonts w:eastAsia="Calibri" w:eastAsiaTheme="minorHAnsi"/>
                <w:sz w:val="20"/>
                <w:szCs w:val="20"/>
              </w:rPr>
              <w:t>Водопроводные сооружения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pPr>
              <w:pStyle w:val="Normal"/>
              <w:spacing w:lineRule="auto" w:line="240"/>
              <w:jc w:val="left"/>
              <w:rPr>
                <w:rFonts w:eastAsia="Calibri" w:eastAsiaTheme="minorHAnsi"/>
                <w:sz w:val="20"/>
                <w:szCs w:val="20"/>
              </w:rPr>
            </w:pPr>
            <w:r>
              <w:rPr>
                <w:rFonts w:eastAsia="Calibri" w:eastAsiaTheme="minorHAnsi"/>
                <w:sz w:val="20"/>
                <w:szCs w:val="20"/>
              </w:rPr>
              <w:t>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tc>
      </w:tr>
      <w:tr>
        <w:trPr/>
        <w:tc>
          <w:tcPr>
            <w:tcW w:w="200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sz w:val="20"/>
                <w:szCs w:val="20"/>
                <w:lang w:eastAsia="ru-RU"/>
              </w:rPr>
            </w:pPr>
            <w:r>
              <w:rPr>
                <w:color w:val="000000"/>
                <w:sz w:val="20"/>
                <w:szCs w:val="20"/>
                <w:shd w:fill="FFFFFF" w:val="clear"/>
                <w:lang w:val="en-US"/>
              </w:rPr>
              <w:t xml:space="preserve">II </w:t>
            </w:r>
            <w:r>
              <w:rPr>
                <w:color w:val="000000"/>
                <w:sz w:val="20"/>
                <w:szCs w:val="20"/>
                <w:shd w:fill="FFFFFF" w:val="clear"/>
              </w:rPr>
              <w:t>пояс</w:t>
            </w:r>
          </w:p>
        </w:tc>
        <w:tc>
          <w:tcPr>
            <w:tcW w:w="3561" w:type="dxa"/>
            <w:tcBorders>
              <w:top w:val="single" w:sz="4" w:space="0" w:color="000000"/>
              <w:left w:val="single" w:sz="4" w:space="0" w:color="000000"/>
              <w:bottom w:val="single" w:sz="4" w:space="0" w:color="000000"/>
              <w:right w:val="single" w:sz="4" w:space="0" w:color="000000"/>
            </w:tcBorders>
          </w:tcPr>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применение удобрений и ядохимикатов;</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рубка леса главного пользования и реконструкции;</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закачка отработанных вод в подземные горизонты, подземного складирования твердых отходов и разработки недр земли;</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tc>
        <w:tc>
          <w:tcPr>
            <w:tcW w:w="4638" w:type="dxa"/>
            <w:vMerge w:val="restart"/>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Calibri" w:eastAsiaTheme="minorHAnsi"/>
                <w:sz w:val="20"/>
                <w:szCs w:val="20"/>
              </w:rPr>
              <w:t>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pPr>
              <w:pStyle w:val="Normal"/>
              <w:spacing w:lineRule="auto" w:line="240"/>
              <w:jc w:val="left"/>
              <w:rPr>
                <w:rFonts w:eastAsia="Calibri" w:eastAsiaTheme="minorHAnsi"/>
                <w:sz w:val="20"/>
                <w:szCs w:val="20"/>
              </w:rPr>
            </w:pPr>
            <w:r>
              <w:rPr>
                <w:rFonts w:eastAsia="Calibri" w:eastAsiaTheme="minorHAnsi"/>
                <w:sz w:val="20"/>
                <w:szCs w:val="20"/>
              </w:rPr>
              <w:t>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p>
          <w:p>
            <w:pPr>
              <w:pStyle w:val="Normal"/>
              <w:spacing w:lineRule="auto" w:line="240"/>
              <w:jc w:val="left"/>
              <w:rPr>
                <w:rFonts w:eastAsia="Calibri" w:eastAsiaTheme="minorHAnsi"/>
                <w:sz w:val="20"/>
                <w:szCs w:val="20"/>
              </w:rPr>
            </w:pPr>
            <w:r>
              <w:rPr>
                <w:rFonts w:eastAsia="Calibri" w:eastAsiaTheme="minorHAnsi"/>
                <w:sz w:val="20"/>
                <w:szCs w:val="20"/>
              </w:rPr>
              <w:t>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p>
        </w:tc>
      </w:tr>
      <w:tr>
        <w:trPr/>
        <w:tc>
          <w:tcPr>
            <w:tcW w:w="200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sz w:val="20"/>
                <w:szCs w:val="20"/>
                <w:lang w:val="en-US" w:eastAsia="ru-RU"/>
              </w:rPr>
            </w:pPr>
            <w:r>
              <w:rPr>
                <w:color w:val="000000"/>
                <w:sz w:val="20"/>
                <w:szCs w:val="20"/>
                <w:shd w:fill="FFFFFF" w:val="clear"/>
                <w:lang w:val="en-US"/>
              </w:rPr>
              <w:t xml:space="preserve">III </w:t>
            </w:r>
            <w:r>
              <w:rPr>
                <w:color w:val="000000"/>
                <w:sz w:val="20"/>
                <w:szCs w:val="20"/>
                <w:shd w:fill="FFFFFF" w:val="clear"/>
              </w:rPr>
              <w:t>пояс</w:t>
            </w:r>
          </w:p>
        </w:tc>
        <w:tc>
          <w:tcPr>
            <w:tcW w:w="3561"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sz w:val="20"/>
                <w:szCs w:val="20"/>
                <w:lang w:eastAsia="ru-RU"/>
              </w:rPr>
            </w:pPr>
            <w:r>
              <w:rPr>
                <w:sz w:val="20"/>
                <w:szCs w:val="20"/>
                <w:lang w:eastAsia="ru-RU"/>
              </w:rPr>
              <w:t>-</w:t>
            </w:r>
          </w:p>
        </w:tc>
        <w:tc>
          <w:tcPr>
            <w:tcW w:w="4638" w:type="dxa"/>
            <w:vMerge w:val="continue"/>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sz w:val="20"/>
                <w:szCs w:val="20"/>
                <w:lang w:eastAsia="ru-RU"/>
              </w:rPr>
            </w:pPr>
            <w:r>
              <w:rPr>
                <w:sz w:val="20"/>
                <w:szCs w:val="20"/>
                <w:lang w:eastAsia="ru-RU"/>
              </w:rPr>
            </w:r>
          </w:p>
        </w:tc>
      </w:tr>
      <w:tr>
        <w:trPr/>
        <w:tc>
          <w:tcPr>
            <w:tcW w:w="10205" w:type="dxa"/>
            <w:gridSpan w:val="3"/>
            <w:tcBorders>
              <w:top w:val="single" w:sz="4" w:space="0" w:color="000000"/>
              <w:left w:val="single" w:sz="4" w:space="0" w:color="000000"/>
              <w:bottom w:val="single" w:sz="4" w:space="0" w:color="000000"/>
              <w:right w:val="single" w:sz="4" w:space="0" w:color="000000"/>
            </w:tcBorders>
          </w:tcPr>
          <w:p>
            <w:pPr>
              <w:pStyle w:val="Normal"/>
              <w:tabs>
                <w:tab w:val="clear" w:pos="708"/>
                <w:tab w:val="left" w:pos="960" w:leader="none"/>
                <w:tab w:val="center" w:pos="4564" w:leader="none"/>
              </w:tabs>
              <w:spacing w:lineRule="auto" w:line="240"/>
              <w:jc w:val="center"/>
              <w:rPr>
                <w:sz w:val="20"/>
                <w:szCs w:val="20"/>
                <w:lang w:eastAsia="ru-RU"/>
              </w:rPr>
            </w:pPr>
            <w:r>
              <w:rPr>
                <w:rFonts w:eastAsia="Calibri" w:eastAsiaTheme="minorHAnsi"/>
                <w:b/>
                <w:sz w:val="20"/>
                <w:szCs w:val="20"/>
              </w:rPr>
              <w:t>Мероприятия на территории ЗСО поверхностных источников водоснабжения</w:t>
            </w:r>
          </w:p>
        </w:tc>
      </w:tr>
      <w:tr>
        <w:trPr/>
        <w:tc>
          <w:tcPr>
            <w:tcW w:w="200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lang w:val="en-US"/>
              </w:rPr>
              <w:t xml:space="preserve">I </w:t>
            </w:r>
            <w:r>
              <w:rPr>
                <w:color w:val="000000"/>
                <w:sz w:val="20"/>
                <w:szCs w:val="20"/>
                <w:shd w:fill="FFFFFF" w:val="clear"/>
              </w:rPr>
              <w:t>пояс</w:t>
            </w:r>
          </w:p>
        </w:tc>
        <w:tc>
          <w:tcPr>
            <w:tcW w:w="3561" w:type="dxa"/>
            <w:tcBorders>
              <w:top w:val="single" w:sz="4" w:space="0" w:color="000000"/>
              <w:left w:val="single" w:sz="4" w:space="0" w:color="000000"/>
              <w:bottom w:val="single" w:sz="4" w:space="0" w:color="000000"/>
              <w:right w:val="single" w:sz="4" w:space="0" w:color="000000"/>
            </w:tcBorders>
          </w:tcPr>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спуск любых сточных вод, в том числе сточных вод водного транспорта, а также купание, стирка белья, водопой скота и другие виды водопользования, оказывающие влияние на качество воды</w:t>
            </w:r>
          </w:p>
        </w:tc>
        <w:tc>
          <w:tcPr>
            <w:tcW w:w="463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Calibri" w:eastAsiaTheme="minorHAnsi"/>
                <w:sz w:val="20"/>
                <w:szCs w:val="20"/>
              </w:rPr>
              <w:t>Акватория первого пояса ограждается буями и другими предупредительными знаками. На судоходных водоемах над водоприемником должны устанавливаться бакены с освещением</w:t>
            </w:r>
          </w:p>
        </w:tc>
      </w:tr>
      <w:tr>
        <w:trPr/>
        <w:tc>
          <w:tcPr>
            <w:tcW w:w="200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lang w:val="en-US"/>
              </w:rPr>
              <w:t xml:space="preserve">II </w:t>
            </w:r>
            <w:r>
              <w:rPr>
                <w:color w:val="000000"/>
                <w:sz w:val="20"/>
                <w:szCs w:val="20"/>
                <w:shd w:fill="FFFFFF" w:val="clear"/>
              </w:rPr>
              <w:t>пояс</w:t>
            </w:r>
          </w:p>
        </w:tc>
        <w:tc>
          <w:tcPr>
            <w:tcW w:w="3561" w:type="dxa"/>
            <w:tcBorders>
              <w:top w:val="single" w:sz="4" w:space="0" w:color="000000"/>
              <w:left w:val="single" w:sz="4" w:space="0" w:color="000000"/>
              <w:bottom w:val="single" w:sz="4" w:space="0" w:color="000000"/>
              <w:right w:val="single" w:sz="4" w:space="0" w:color="000000"/>
            </w:tcBorders>
          </w:tcPr>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 xml:space="preserve">отведение сточных вод в зоне водосбора источника водоснабжения, включая его притоки, не отвечающих </w:t>
            </w:r>
            <w:hyperlink r:id="rId134">
              <w:r>
                <w:rPr>
                  <w:sz w:val="20"/>
                  <w:szCs w:val="20"/>
                </w:rPr>
                <w:t>гигиеническим требованиям</w:t>
              </w:r>
            </w:hyperlink>
            <w:r>
              <w:rPr>
                <w:sz w:val="20"/>
                <w:szCs w:val="20"/>
              </w:rPr>
              <w:t xml:space="preserve"> к охране поверхностных вод;</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рубки леса главного пользования и реконструкции, а также закрепление за лесозаготовительными предприятиями древесины на корню и лесосечного фонда долгосрочного пользования. Допускаются только рубки ухода и санитарные рубки леса;</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расположение стойбищ и выпаса скота, а также всякое другое использование водоема и земельных участков, лесных угодий в пределах прибрежной полосы шириной не менее 500 м, которое может привести к ухудшению качества или уменьшению количества воды источника водоснабжения;</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в границах второго пояса зоны санитарной охраны запрещается сброс промышленных, сельскохозяйственных, городских и ливневых сточных вод, содержание в которых химических веществ и микроорганизмов превышает установленные санитарными правилами гигиенические нормативы качества воды</w:t>
            </w:r>
          </w:p>
        </w:tc>
        <w:tc>
          <w:tcPr>
            <w:tcW w:w="4638" w:type="dxa"/>
            <w:vMerge w:val="restart"/>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rFonts w:eastAsia="Calibri" w:eastAsiaTheme="minorHAnsi"/>
                <w:sz w:val="20"/>
                <w:szCs w:val="20"/>
              </w:rPr>
            </w:pPr>
            <w:r>
              <w:rPr>
                <w:rFonts w:eastAsia="Calibri" w:eastAsiaTheme="minorHAnsi"/>
                <w:sz w:val="20"/>
                <w:szCs w:val="20"/>
              </w:rPr>
              <w:t>Выявление объектов, загрязняющих источники водоснабжения, с разработкой конкретных водоохранных мероприятий, обеспеченных источниками финансирования, подрядными организациями и согласованных с центром государственного санитарно-эпидемиологического надзора.</w:t>
            </w:r>
          </w:p>
          <w:p>
            <w:pPr>
              <w:pStyle w:val="Normal"/>
              <w:spacing w:lineRule="auto" w:line="240"/>
              <w:jc w:val="left"/>
              <w:rPr>
                <w:rFonts w:eastAsia="Calibri" w:eastAsiaTheme="minorHAnsi"/>
                <w:sz w:val="20"/>
                <w:szCs w:val="20"/>
              </w:rPr>
            </w:pPr>
            <w:r>
              <w:rPr>
                <w:rFonts w:eastAsia="Calibri" w:eastAsiaTheme="minorHAnsi"/>
                <w:sz w:val="20"/>
                <w:szCs w:val="20"/>
              </w:rPr>
              <w:t>Регулирование отведения территории для нового строительства жилых, промышленных и сельскохозяйственных объектов, а также согласование изменений технологий действующих предприятий, связанных с повышением степени опасности загрязнения сточными водами источника водоснабжения.</w:t>
            </w:r>
          </w:p>
          <w:p>
            <w:pPr>
              <w:pStyle w:val="Normal"/>
              <w:spacing w:lineRule="auto" w:line="240"/>
              <w:jc w:val="left"/>
              <w:rPr>
                <w:rFonts w:eastAsia="Calibri" w:eastAsiaTheme="minorHAnsi"/>
                <w:sz w:val="20"/>
                <w:szCs w:val="20"/>
              </w:rPr>
            </w:pPr>
            <w:r>
              <w:rPr>
                <w:rFonts w:eastAsia="Calibri" w:eastAsiaTheme="minorHAnsi"/>
                <w:sz w:val="20"/>
                <w:szCs w:val="20"/>
              </w:rPr>
              <w:t>Все работы, в том числе добыча песка, гравия, донноуглубительные, в пределах акватории ЗСО допускаются по согласованию с центром государственного санитарно-эпидемиологического надзора лишь при обосновании гидрологическими расчетами отсутствия ухудшения качества воды в створе водозабора.</w:t>
            </w:r>
          </w:p>
          <w:p>
            <w:pPr>
              <w:pStyle w:val="Normal"/>
              <w:spacing w:lineRule="auto" w:line="240"/>
              <w:jc w:val="left"/>
              <w:rPr>
                <w:rFonts w:eastAsia="Calibri" w:eastAsiaTheme="minorHAnsi"/>
                <w:sz w:val="20"/>
                <w:szCs w:val="20"/>
              </w:rPr>
            </w:pPr>
            <w:r>
              <w:rPr>
                <w:rFonts w:eastAsia="Calibri" w:eastAsiaTheme="minorHAnsi"/>
                <w:sz w:val="20"/>
                <w:szCs w:val="20"/>
              </w:rPr>
              <w:t>Использование химических методов борьбы с эвтрофикацией водоемов допускается при условии применения препаратов, имеющих положительное санитарно-эпидемиологическое заключение государственной санитарно-эпидемиологической службы Российской Федерации.</w:t>
            </w:r>
          </w:p>
          <w:p>
            <w:pPr>
              <w:pStyle w:val="Normal"/>
              <w:spacing w:lineRule="auto" w:line="240"/>
              <w:jc w:val="left"/>
              <w:rPr>
                <w:rFonts w:eastAsia="Calibri" w:eastAsiaTheme="minorHAnsi"/>
                <w:sz w:val="20"/>
                <w:szCs w:val="20"/>
              </w:rPr>
            </w:pPr>
            <w:r>
              <w:rPr>
                <w:rFonts w:eastAsia="Calibri" w:eastAsiaTheme="minorHAnsi"/>
                <w:sz w:val="20"/>
                <w:szCs w:val="20"/>
              </w:rPr>
              <w:t>При наличии судоходства необходимо оборудование судов, дебаркадеров и брандвахт устройствами для сбора фановых и подсланевых вод и твердых отходов; оборудование на пристанях сливных станций и приемников для сбора твердых отходов.</w:t>
            </w:r>
          </w:p>
          <w:p>
            <w:pPr>
              <w:pStyle w:val="Normal"/>
              <w:spacing w:lineRule="auto" w:line="240"/>
              <w:jc w:val="left"/>
              <w:rPr>
                <w:rFonts w:eastAsia="Calibri" w:eastAsiaTheme="minorHAnsi"/>
                <w:sz w:val="20"/>
                <w:szCs w:val="20"/>
              </w:rPr>
            </w:pPr>
            <w:r>
              <w:rPr>
                <w:rFonts w:eastAsia="Calibri" w:eastAsiaTheme="minorHAnsi"/>
                <w:sz w:val="20"/>
                <w:szCs w:val="20"/>
              </w:rPr>
              <w:t xml:space="preserve">Использование источников водоснабжения в пределах второго пояса ЗСО для купания, туризма, водного спорта и рыбной ловли допускается в установленных местах при условии соблюдения </w:t>
            </w:r>
            <w:hyperlink r:id="rId135">
              <w:r>
                <w:rPr>
                  <w:rFonts w:eastAsia="Calibri" w:eastAsiaTheme="minorHAnsi"/>
                  <w:sz w:val="20"/>
                  <w:szCs w:val="20"/>
                </w:rPr>
                <w:t>гигиенических требований</w:t>
              </w:r>
            </w:hyperlink>
            <w:r>
              <w:rPr>
                <w:rFonts w:eastAsia="Calibri" w:eastAsiaTheme="minorHAnsi"/>
                <w:sz w:val="20"/>
                <w:szCs w:val="20"/>
              </w:rPr>
              <w:t xml:space="preserve"> к охране поверхностных вод, а также гигиенических требований к зонам рекреации водных объектов.</w:t>
            </w:r>
          </w:p>
          <w:p>
            <w:pPr>
              <w:pStyle w:val="Normal"/>
              <w:spacing w:lineRule="auto" w:line="240"/>
              <w:jc w:val="left"/>
              <w:rPr>
                <w:sz w:val="20"/>
                <w:szCs w:val="20"/>
                <w:lang w:eastAsia="ru-RU"/>
              </w:rPr>
            </w:pPr>
            <w:r>
              <w:rPr>
                <w:rFonts w:eastAsia="Calibri" w:eastAsiaTheme="minorHAnsi"/>
                <w:sz w:val="20"/>
                <w:szCs w:val="20"/>
              </w:rPr>
              <w:t>Границы второго пояса ЗСО на пересечении дорог, пешеходных троп и прочего обозначаются столбами со специальными знаками</w:t>
            </w:r>
          </w:p>
        </w:tc>
      </w:tr>
      <w:tr>
        <w:trPr/>
        <w:tc>
          <w:tcPr>
            <w:tcW w:w="2006" w:type="dxa"/>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color w:val="000000"/>
                <w:sz w:val="20"/>
                <w:szCs w:val="20"/>
                <w:highlight w:val="white"/>
              </w:rPr>
            </w:pPr>
            <w:r>
              <w:rPr>
                <w:color w:val="000000"/>
                <w:sz w:val="20"/>
                <w:szCs w:val="20"/>
                <w:shd w:fill="FFFFFF" w:val="clear"/>
                <w:lang w:val="en-US"/>
              </w:rPr>
              <w:t xml:space="preserve">III </w:t>
            </w:r>
            <w:r>
              <w:rPr>
                <w:color w:val="000000"/>
                <w:sz w:val="20"/>
                <w:szCs w:val="20"/>
                <w:shd w:fill="FFFFFF" w:val="clear"/>
              </w:rPr>
              <w:t>пояс</w:t>
            </w:r>
          </w:p>
        </w:tc>
        <w:tc>
          <w:tcPr>
            <w:tcW w:w="3561" w:type="dxa"/>
            <w:tcBorders>
              <w:top w:val="single" w:sz="4" w:space="0" w:color="000000"/>
              <w:left w:val="single" w:sz="4" w:space="0" w:color="000000"/>
              <w:bottom w:val="single" w:sz="4" w:space="0" w:color="000000"/>
              <w:right w:val="single" w:sz="4" w:space="0" w:color="000000"/>
            </w:tcBorders>
          </w:tcPr>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 xml:space="preserve">отведение сточных вод в зоне водосбора источника водоснабжения, включая его притоки, не отвечающих </w:t>
            </w:r>
            <w:hyperlink r:id="rId136">
              <w:r>
                <w:rPr>
                  <w:sz w:val="20"/>
                  <w:szCs w:val="20"/>
                </w:rPr>
                <w:t>гигиеническим требованиям</w:t>
              </w:r>
            </w:hyperlink>
            <w:r>
              <w:rPr>
                <w:sz w:val="20"/>
                <w:szCs w:val="20"/>
              </w:rPr>
              <w:t xml:space="preserve"> к охране поверхностных вод</w:t>
            </w:r>
          </w:p>
        </w:tc>
        <w:tc>
          <w:tcPr>
            <w:tcW w:w="4638" w:type="dxa"/>
            <w:vMerge w:val="continue"/>
            <w:tcBorders>
              <w:top w:val="single" w:sz="4" w:space="0" w:color="000000"/>
              <w:left w:val="single" w:sz="4" w:space="0" w:color="000000"/>
              <w:bottom w:val="single" w:sz="4" w:space="0" w:color="000000"/>
              <w:right w:val="single" w:sz="4" w:space="0" w:color="000000"/>
            </w:tcBorders>
          </w:tcPr>
          <w:p>
            <w:pPr>
              <w:pStyle w:val="Normal"/>
              <w:tabs>
                <w:tab w:val="clear" w:pos="708"/>
                <w:tab w:val="center" w:pos="142" w:leader="none"/>
              </w:tabs>
              <w:spacing w:lineRule="auto" w:line="240"/>
              <w:jc w:val="left"/>
              <w:rPr>
                <w:szCs w:val="24"/>
                <w:lang w:eastAsia="ru-RU"/>
              </w:rPr>
            </w:pPr>
            <w:r>
              <w:rPr>
                <w:szCs w:val="24"/>
                <w:lang w:eastAsia="ru-RU"/>
              </w:rPr>
            </w:r>
          </w:p>
        </w:tc>
      </w:tr>
    </w:tbl>
    <w:p>
      <w:pPr>
        <w:pStyle w:val="3"/>
        <w:spacing w:lineRule="auto" w:line="276" w:before="120" w:after="0"/>
        <w:jc w:val="left"/>
        <w:rPr>
          <w:rFonts w:ascii="Times New Roman" w:hAnsi="Times New Roman"/>
          <w:sz w:val="24"/>
          <w:szCs w:val="24"/>
        </w:rPr>
      </w:pPr>
      <w:bookmarkStart w:id="261" w:name="_Toc182210507"/>
      <w:bookmarkStart w:id="262" w:name="_Toc153727252"/>
      <w:bookmarkStart w:id="263" w:name="_Toc153712137"/>
      <w:r>
        <w:rPr>
          <w:rFonts w:ascii="Times New Roman" w:hAnsi="Times New Roman"/>
          <w:sz w:val="24"/>
          <w:szCs w:val="24"/>
        </w:rPr>
        <w:t>11.4 Охранная зона объектов электроэнергетики (объектов электросетевого хозяйства и объектов по производству электрической энергии), охранная зона трубопроводов (газопроводов, нефтепроводов и нефтепродуктопроводов, аммиакопроводов), охранная зона линий и сооружений связи, охранная зона тепловых сетей</w:t>
      </w:r>
      <w:bookmarkEnd w:id="261"/>
      <w:bookmarkEnd w:id="262"/>
      <w:bookmarkEnd w:id="263"/>
    </w:p>
    <w:p>
      <w:pPr>
        <w:pStyle w:val="Normal"/>
        <w:spacing w:lineRule="auto" w:line="276"/>
        <w:ind w:firstLine="709"/>
        <w:rPr>
          <w:rFonts w:eastAsia="Times New Roman"/>
          <w:szCs w:val="24"/>
          <w:lang w:eastAsia="ru-RU"/>
        </w:rPr>
      </w:pPr>
      <w:r>
        <w:rPr>
          <w:rFonts w:eastAsia="Times New Roman"/>
          <w:szCs w:val="24"/>
          <w:lang w:eastAsia="ru-RU"/>
        </w:rPr>
        <w:t>Ограничения использования территорий в границах охранных зон инженерных коммуникаций представлены в таблице 3.11.6.</w:t>
      </w:r>
    </w:p>
    <w:p>
      <w:pPr>
        <w:pStyle w:val="Normal"/>
        <w:spacing w:lineRule="auto" w:line="276"/>
        <w:ind w:firstLine="709"/>
        <w:jc w:val="right"/>
        <w:rPr>
          <w:rFonts w:eastAsia="Times New Roman"/>
          <w:szCs w:val="24"/>
          <w:lang w:eastAsia="ru-RU"/>
        </w:rPr>
      </w:pPr>
      <w:r>
        <w:rPr>
          <w:rFonts w:eastAsia="Times New Roman"/>
          <w:szCs w:val="24"/>
          <w:lang w:eastAsia="ru-RU"/>
        </w:rPr>
        <w:t>Таблица 3.11.6</w:t>
      </w:r>
    </w:p>
    <w:p>
      <w:pPr>
        <w:pStyle w:val="Normal"/>
        <w:spacing w:lineRule="auto" w:line="276"/>
        <w:jc w:val="center"/>
        <w:rPr>
          <w:rFonts w:eastAsia="Times New Roman"/>
          <w:szCs w:val="24"/>
          <w:lang w:eastAsia="ru-RU"/>
        </w:rPr>
      </w:pPr>
      <w:r>
        <w:rPr>
          <w:rFonts w:eastAsia="Times New Roman"/>
          <w:szCs w:val="24"/>
          <w:lang w:eastAsia="ru-RU"/>
        </w:rPr>
        <w:t>Ограничения использования территорий в границах охранных зон инженерных коммуникаций</w:t>
      </w:r>
    </w:p>
    <w:tbl>
      <w:tblPr>
        <w:tblStyle w:val="aff"/>
        <w:tblW w:w="9911" w:type="dxa"/>
        <w:jc w:val="left"/>
        <w:tblInd w:w="-108" w:type="dxa"/>
        <w:tblCellMar>
          <w:top w:w="0" w:type="dxa"/>
          <w:left w:w="108" w:type="dxa"/>
          <w:bottom w:w="0" w:type="dxa"/>
          <w:right w:w="108" w:type="dxa"/>
        </w:tblCellMar>
        <w:tblLook w:firstRow="1" w:noVBand="1" w:lastRow="0" w:firstColumn="1" w:lastColumn="0" w:noHBand="0" w:val="04a0"/>
      </w:tblPr>
      <w:tblGrid>
        <w:gridCol w:w="417"/>
        <w:gridCol w:w="2272"/>
        <w:gridCol w:w="2976"/>
        <w:gridCol w:w="4245"/>
      </w:tblGrid>
      <w:tr>
        <w:trPr/>
        <w:tc>
          <w:tcPr>
            <w:tcW w:w="417" w:type="dxa"/>
            <w:tcBorders>
              <w:bottom w:val="nil"/>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w:t>
            </w:r>
          </w:p>
        </w:tc>
        <w:tc>
          <w:tcPr>
            <w:tcW w:w="2272" w:type="dxa"/>
            <w:tcBorders>
              <w:bottom w:val="nil"/>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Объекты инженерных коммуникаций</w:t>
            </w:r>
          </w:p>
        </w:tc>
        <w:tc>
          <w:tcPr>
            <w:tcW w:w="2976" w:type="dxa"/>
            <w:tcBorders>
              <w:bottom w:val="nil"/>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Основание</w:t>
            </w:r>
          </w:p>
        </w:tc>
        <w:tc>
          <w:tcPr>
            <w:tcW w:w="4245" w:type="dxa"/>
            <w:tcBorders>
              <w:bottom w:val="nil"/>
            </w:tcBorders>
            <w:vAlign w:val="center"/>
          </w:tcPr>
          <w:p>
            <w:pPr>
              <w:pStyle w:val="Normal"/>
              <w:spacing w:lineRule="auto" w:line="240"/>
              <w:jc w:val="center"/>
              <w:rPr>
                <w:rFonts w:eastAsia="Times New Roman"/>
                <w:b/>
                <w:b/>
                <w:sz w:val="20"/>
                <w:szCs w:val="20"/>
                <w:lang w:eastAsia="ru-RU"/>
              </w:rPr>
            </w:pPr>
            <w:r>
              <w:rPr>
                <w:rFonts w:eastAsia="Times New Roman"/>
                <w:b/>
                <w:sz w:val="20"/>
                <w:szCs w:val="20"/>
                <w:lang w:eastAsia="ru-RU"/>
              </w:rPr>
              <w:t>Запрещается</w:t>
            </w:r>
          </w:p>
        </w:tc>
      </w:tr>
    </w:tbl>
    <w:p>
      <w:pPr>
        <w:pStyle w:val="Normal"/>
        <w:spacing w:lineRule="auto" w:line="12"/>
        <w:rPr>
          <w:color w:val="000000"/>
          <w:szCs w:val="24"/>
        </w:rPr>
      </w:pPr>
      <w:r>
        <w:rPr/>
      </w:r>
    </w:p>
    <w:tbl>
      <w:tblPr>
        <w:tblStyle w:val="aff"/>
        <w:tblW w:w="5000" w:type="pct"/>
        <w:jc w:val="left"/>
        <w:tblInd w:w="-108" w:type="dxa"/>
        <w:tblCellMar>
          <w:top w:w="0" w:type="dxa"/>
          <w:left w:w="108" w:type="dxa"/>
          <w:bottom w:w="0" w:type="dxa"/>
          <w:right w:w="108" w:type="dxa"/>
        </w:tblCellMar>
        <w:tblLook w:firstRow="1" w:noVBand="1" w:lastRow="0" w:firstColumn="1" w:lastColumn="0" w:noHBand="0" w:val="04a0"/>
      </w:tblPr>
      <w:tblGrid>
        <w:gridCol w:w="432"/>
        <w:gridCol w:w="2337"/>
        <w:gridCol w:w="3082"/>
        <w:gridCol w:w="4353"/>
      </w:tblGrid>
      <w:tr>
        <w:trPr>
          <w:tblHeader w:val="true"/>
          <w:trHeight w:val="20" w:hRule="atLeast"/>
        </w:trPr>
        <w:tc>
          <w:tcPr>
            <w:tcW w:w="432"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1</w:t>
            </w:r>
          </w:p>
        </w:tc>
        <w:tc>
          <w:tcPr>
            <w:tcW w:w="2337"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2</w:t>
            </w:r>
          </w:p>
        </w:tc>
        <w:tc>
          <w:tcPr>
            <w:tcW w:w="3082"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3</w:t>
            </w:r>
          </w:p>
        </w:tc>
        <w:tc>
          <w:tcPr>
            <w:tcW w:w="4353" w:type="dxa"/>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4</w:t>
            </w:r>
          </w:p>
        </w:tc>
      </w:tr>
      <w:tr>
        <w:trPr>
          <w:trHeight w:val="20" w:hRule="atLeast"/>
        </w:trPr>
        <w:tc>
          <w:tcPr>
            <w:tcW w:w="10204" w:type="dxa"/>
            <w:gridSpan w:val="4"/>
            <w:tcBorders/>
          </w:tcPr>
          <w:p>
            <w:pPr>
              <w:pStyle w:val="Normal"/>
              <w:spacing w:lineRule="auto" w:line="240"/>
              <w:jc w:val="center"/>
              <w:rPr>
                <w:rFonts w:eastAsia="Times New Roman"/>
                <w:b/>
                <w:b/>
                <w:sz w:val="20"/>
                <w:szCs w:val="20"/>
                <w:lang w:eastAsia="ru-RU"/>
              </w:rPr>
            </w:pPr>
            <w:r>
              <w:rPr>
                <w:b/>
                <w:sz w:val="20"/>
                <w:szCs w:val="20"/>
              </w:rPr>
              <w:t>Охранная зона объектов электроэнергетики (объектов электросетевого хозяйства и объектов по производству электрической энергии)</w:t>
            </w:r>
          </w:p>
        </w:tc>
      </w:tr>
      <w:tr>
        <w:trPr>
          <w:trHeight w:val="20" w:hRule="atLeast"/>
        </w:trPr>
        <w:tc>
          <w:tcPr>
            <w:tcW w:w="432" w:type="dxa"/>
            <w:tcBorders>
              <w:right w:val="nil"/>
            </w:tcBorders>
          </w:tcPr>
          <w:p>
            <w:pPr>
              <w:pStyle w:val="Normal"/>
              <w:spacing w:lineRule="auto" w:line="240"/>
              <w:jc w:val="center"/>
              <w:rPr>
                <w:rFonts w:eastAsia="Times New Roman"/>
                <w:sz w:val="20"/>
                <w:szCs w:val="20"/>
                <w:lang w:eastAsia="ru-RU"/>
              </w:rPr>
            </w:pPr>
            <w:r>
              <w:rPr>
                <w:rFonts w:eastAsia="Times New Roman"/>
                <w:sz w:val="20"/>
                <w:szCs w:val="20"/>
                <w:lang w:eastAsia="ru-RU"/>
              </w:rPr>
              <w:t>1</w:t>
            </w:r>
          </w:p>
        </w:tc>
        <w:tc>
          <w:tcPr>
            <w:tcW w:w="2337" w:type="dxa"/>
            <w:tcBorders>
              <w:left w:val="nil"/>
              <w:righ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воздушные линии электропередач</w:t>
            </w:r>
          </w:p>
        </w:tc>
        <w:tc>
          <w:tcPr>
            <w:tcW w:w="3082" w:type="dxa"/>
            <w:vMerge w:val="restart"/>
            <w:tcBorders>
              <w:left w:val="nil"/>
              <w:righ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Постановление Правительства Российской Федерации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c>
          <w:tcPr>
            <w:tcW w:w="4353" w:type="dxa"/>
            <w:vMerge w:val="restart"/>
            <w:tcBorders>
              <w:left w:val="nil"/>
            </w:tcBorders>
          </w:tcPr>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w:t>
            </w:r>
          </w:p>
        </w:tc>
      </w:tr>
      <w:tr>
        <w:trPr>
          <w:trHeight w:val="20" w:hRule="atLeast"/>
        </w:trPr>
        <w:tc>
          <w:tcPr>
            <w:tcW w:w="432" w:type="dxa"/>
            <w:tcBorders>
              <w:right w:val="nil"/>
            </w:tcBorders>
          </w:tcPr>
          <w:p>
            <w:pPr>
              <w:pStyle w:val="Normal"/>
              <w:spacing w:lineRule="auto" w:line="240"/>
              <w:jc w:val="center"/>
              <w:rPr>
                <w:rFonts w:eastAsia="Times New Roman"/>
                <w:sz w:val="20"/>
                <w:szCs w:val="20"/>
                <w:lang w:eastAsia="ru-RU"/>
              </w:rPr>
            </w:pPr>
            <w:r>
              <w:rPr>
                <w:rFonts w:eastAsia="Times New Roman"/>
                <w:sz w:val="20"/>
                <w:szCs w:val="20"/>
                <w:lang w:eastAsia="ru-RU"/>
              </w:rPr>
              <w:t>2</w:t>
            </w:r>
          </w:p>
        </w:tc>
        <w:tc>
          <w:tcPr>
            <w:tcW w:w="2337" w:type="dxa"/>
            <w:tcBorders>
              <w:left w:val="nil"/>
              <w:righ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подстанции</w:t>
            </w:r>
          </w:p>
        </w:tc>
        <w:tc>
          <w:tcPr>
            <w:tcW w:w="3082" w:type="dxa"/>
            <w:vMerge w:val="continue"/>
            <w:tcBorders>
              <w:left w:val="nil"/>
              <w:righ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r>
          </w:p>
        </w:tc>
        <w:tc>
          <w:tcPr>
            <w:tcW w:w="4353" w:type="dxa"/>
            <w:vMerge w:val="continue"/>
            <w:tcBorders>
              <w:left w:val="nil"/>
            </w:tcBorders>
          </w:tcPr>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r>
          </w:p>
        </w:tc>
      </w:tr>
      <w:tr>
        <w:trPr>
          <w:trHeight w:val="20" w:hRule="atLeast"/>
        </w:trPr>
        <w:tc>
          <w:tcPr>
            <w:tcW w:w="432" w:type="dxa"/>
            <w:tcBorders>
              <w:right w:val="nil"/>
            </w:tcBorders>
          </w:tcPr>
          <w:p>
            <w:pPr>
              <w:pStyle w:val="Normal"/>
              <w:spacing w:lineRule="auto" w:line="240"/>
              <w:jc w:val="center"/>
              <w:rPr>
                <w:rFonts w:eastAsia="Times New Roman"/>
                <w:sz w:val="20"/>
                <w:szCs w:val="20"/>
                <w:lang w:eastAsia="ru-RU"/>
              </w:rPr>
            </w:pPr>
            <w:r>
              <w:rPr>
                <w:rFonts w:eastAsia="Times New Roman"/>
                <w:sz w:val="20"/>
                <w:szCs w:val="20"/>
                <w:lang w:eastAsia="ru-RU"/>
              </w:rPr>
              <w:t>3</w:t>
            </w:r>
          </w:p>
        </w:tc>
        <w:tc>
          <w:tcPr>
            <w:tcW w:w="2337" w:type="dxa"/>
            <w:tcBorders>
              <w:left w:val="nil"/>
              <w:righ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t>подземные кабельные линии электропередач</w:t>
            </w:r>
          </w:p>
        </w:tc>
        <w:tc>
          <w:tcPr>
            <w:tcW w:w="3082" w:type="dxa"/>
            <w:vMerge w:val="continue"/>
            <w:tcBorders>
              <w:left w:val="nil"/>
              <w:right w:val="nil"/>
            </w:tcBorders>
          </w:tcPr>
          <w:p>
            <w:pPr>
              <w:pStyle w:val="Normal"/>
              <w:spacing w:lineRule="auto" w:line="240"/>
              <w:jc w:val="left"/>
              <w:rPr>
                <w:rFonts w:eastAsia="Times New Roman"/>
                <w:sz w:val="20"/>
                <w:szCs w:val="20"/>
                <w:lang w:eastAsia="ru-RU"/>
              </w:rPr>
            </w:pPr>
            <w:r>
              <w:rPr>
                <w:rFonts w:eastAsia="Times New Roman"/>
                <w:sz w:val="20"/>
                <w:szCs w:val="20"/>
                <w:lang w:eastAsia="ru-RU"/>
              </w:rPr>
            </w:r>
          </w:p>
        </w:tc>
        <w:tc>
          <w:tcPr>
            <w:tcW w:w="4353" w:type="dxa"/>
            <w:tcBorders>
              <w:left w:val="nil"/>
            </w:tcBorders>
          </w:tcPr>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Без письменного решения о согласовании сетевых организаций в охранных зонах подземных кабельных линий электропередачи юридическим и физическим лицам запрещаются земляные работы на глубине более 0,3 метра, а также планировка грунта</w:t>
            </w:r>
          </w:p>
        </w:tc>
      </w:tr>
      <w:tr>
        <w:trPr>
          <w:trHeight w:val="20" w:hRule="atLeast"/>
        </w:trPr>
        <w:tc>
          <w:tcPr>
            <w:tcW w:w="10204" w:type="dxa"/>
            <w:gridSpan w:val="4"/>
            <w:tcBorders/>
          </w:tcPr>
          <w:p>
            <w:pPr>
              <w:pStyle w:val="Normal"/>
              <w:spacing w:lineRule="auto" w:line="240"/>
              <w:jc w:val="center"/>
              <w:rPr>
                <w:rFonts w:eastAsia="Times New Roman"/>
                <w:b/>
                <w:b/>
                <w:sz w:val="20"/>
                <w:szCs w:val="20"/>
                <w:lang w:eastAsia="ru-RU"/>
              </w:rPr>
            </w:pPr>
            <w:r>
              <w:rPr>
                <w:rFonts w:eastAsia="Times New Roman"/>
                <w:b/>
                <w:sz w:val="20"/>
                <w:szCs w:val="20"/>
                <w:lang w:eastAsia="ru-RU"/>
              </w:rPr>
              <w:t xml:space="preserve">Охранная зона линий и сооружений связи </w:t>
            </w:r>
          </w:p>
        </w:tc>
      </w:tr>
      <w:tr>
        <w:trPr>
          <w:trHeight w:val="20" w:hRule="atLeast"/>
        </w:trPr>
        <w:tc>
          <w:tcPr>
            <w:tcW w:w="432" w:type="dxa"/>
            <w:tcBorders>
              <w:right w:val="nil"/>
            </w:tcBorders>
          </w:tcPr>
          <w:p>
            <w:pPr>
              <w:pStyle w:val="Normal"/>
              <w:spacing w:lineRule="auto" w:line="240"/>
              <w:jc w:val="center"/>
              <w:rPr>
                <w:rFonts w:eastAsia="Times New Roman"/>
                <w:sz w:val="20"/>
                <w:szCs w:val="20"/>
                <w:lang w:eastAsia="ru-RU"/>
              </w:rPr>
            </w:pPr>
            <w:r>
              <w:rPr>
                <w:rFonts w:eastAsia="Times New Roman"/>
                <w:sz w:val="20"/>
                <w:szCs w:val="20"/>
                <w:lang w:eastAsia="ru-RU"/>
              </w:rPr>
              <w:t>4</w:t>
            </w:r>
          </w:p>
        </w:tc>
        <w:tc>
          <w:tcPr>
            <w:tcW w:w="2337" w:type="dxa"/>
            <w:tcBorders>
              <w:left w:val="nil"/>
              <w:right w:val="nil"/>
            </w:tcBorders>
          </w:tcPr>
          <w:p>
            <w:pPr>
              <w:pStyle w:val="Normal"/>
              <w:spacing w:lineRule="auto" w:line="240"/>
              <w:jc w:val="left"/>
              <w:rPr>
                <w:rFonts w:eastAsia="Times New Roman"/>
                <w:sz w:val="20"/>
                <w:szCs w:val="20"/>
                <w:lang w:eastAsia="ru-RU"/>
              </w:rPr>
            </w:pPr>
            <w:r>
              <w:rPr>
                <w:rFonts w:eastAsia="Calibri" w:eastAsiaTheme="minorHAnsi"/>
                <w:sz w:val="20"/>
                <w:szCs w:val="20"/>
              </w:rPr>
              <w:t>подземные кабельные и воздушные линии связи и линии радиофикации, расположенные вне населенных пунктов на безлесных участках</w:t>
            </w:r>
          </w:p>
        </w:tc>
        <w:tc>
          <w:tcPr>
            <w:tcW w:w="3082" w:type="dxa"/>
            <w:tcBorders>
              <w:left w:val="nil"/>
              <w:right w:val="nil"/>
            </w:tcBorders>
          </w:tcPr>
          <w:p>
            <w:pPr>
              <w:pStyle w:val="Normal"/>
              <w:spacing w:lineRule="auto" w:line="240"/>
              <w:jc w:val="left"/>
              <w:rPr>
                <w:rFonts w:eastAsia="Times New Roman"/>
                <w:sz w:val="20"/>
                <w:szCs w:val="20"/>
                <w:lang w:eastAsia="ru-RU"/>
              </w:rPr>
            </w:pPr>
            <w:r>
              <w:rPr>
                <w:rFonts w:eastAsia="Calibri" w:eastAsiaTheme="minorHAnsi"/>
                <w:sz w:val="20"/>
                <w:szCs w:val="20"/>
              </w:rPr>
              <w:t>Постановление Правительства Российской Федерации от 09.06.1995 № 578 «Об утверждении Правил охраны линий и сооружений связи Российской Федерации»</w:t>
            </w:r>
          </w:p>
        </w:tc>
        <w:tc>
          <w:tcPr>
            <w:tcW w:w="4353" w:type="dxa"/>
            <w:tcBorders>
              <w:left w:val="nil"/>
            </w:tcBorders>
          </w:tcPr>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осуществлять всякого рода строительные, монтажные и взрывные работы, планировку грунта землеройными механизмами (за исключением зон песчаных барханов) и земляные работы (за исключением вспашки на глубину не более 0,3 метра);</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производить геолого-съемочные, поисковые, геодезические и другие изыскательские работы, которые связаны с бурением скважин, шурфованием, взятием проб грунта, осуществлением взрывных работ;</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производить посадку деревьев, располагать полевые станы, содержать скот, складировать материалы, корма и удобрения, жечь костры, устраивать стрельбища;</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устраивать проезды и стоянки автотранспорта, тракторов и механизмов, провозить негабаритные грузы под проводами воздушных линий связи и линий радиофикации, строить каналы (арыки), устраивать заграждения и другие препятствия;</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устраивать причалы для стоянки судов, барж и плавучих кранов, производить погрузочно-разгрузочные, подводно-технические, дноуглубительные и землечерпательные работы, выделять рыбопромысловые участки, производить добычу рыбы, других водных животных, а также водных растений придонными орудиями лова, устраивать водопои, производить колку и заготовку льда. Судам и другим плавучим средствам запрещается бросать якоря, проходить с отданными якорями, цепями, лотами, волокушами и тралами;</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производить строительство и реконструкцию линий электропередачи, радиостанций и других объектов, излучающих электромагнитную энергию и оказывающих опасное воздействие на линии связи и линии радиофикации;</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производить защиту подземных коммуникаций от коррозии без учета проходящих подземных кабельных линий связи</w:t>
            </w:r>
          </w:p>
        </w:tc>
      </w:tr>
      <w:tr>
        <w:trPr>
          <w:trHeight w:val="20" w:hRule="atLeast"/>
        </w:trPr>
        <w:tc>
          <w:tcPr>
            <w:tcW w:w="10204" w:type="dxa"/>
            <w:gridSpan w:val="4"/>
            <w:tcBorders/>
          </w:tcPr>
          <w:p>
            <w:pPr>
              <w:pStyle w:val="Normal"/>
              <w:spacing w:lineRule="auto" w:line="240"/>
              <w:jc w:val="center"/>
              <w:rPr>
                <w:rFonts w:eastAsia="Times New Roman"/>
                <w:sz w:val="20"/>
                <w:szCs w:val="20"/>
                <w:lang w:eastAsia="ru-RU"/>
              </w:rPr>
            </w:pPr>
            <w:r>
              <w:rPr>
                <w:rFonts w:eastAsia="Times New Roman"/>
                <w:b/>
                <w:sz w:val="20"/>
                <w:szCs w:val="20"/>
                <w:lang w:eastAsia="ru-RU"/>
              </w:rPr>
              <w:t xml:space="preserve">Охранная зона трубопроводов </w:t>
              <w:br/>
            </w:r>
            <w:r>
              <w:rPr>
                <w:rFonts w:eastAsia="Calibri" w:eastAsiaTheme="minorHAnsi"/>
                <w:sz w:val="20"/>
                <w:szCs w:val="20"/>
              </w:rPr>
              <w:t>(</w:t>
            </w:r>
            <w:r>
              <w:rPr>
                <w:rFonts w:eastAsia="Times New Roman"/>
                <w:b/>
                <w:sz w:val="20"/>
                <w:szCs w:val="20"/>
                <w:lang w:eastAsia="ru-RU"/>
              </w:rPr>
              <w:t>газопроводов, нефтепроводов и нефтепродуктопроводов, аммиакопроводов)</w:t>
            </w:r>
          </w:p>
        </w:tc>
      </w:tr>
      <w:tr>
        <w:trPr>
          <w:trHeight w:val="20" w:hRule="atLeast"/>
        </w:trPr>
        <w:tc>
          <w:tcPr>
            <w:tcW w:w="432" w:type="dxa"/>
            <w:tcBorders>
              <w:right w:val="nil"/>
            </w:tcBorders>
          </w:tcPr>
          <w:p>
            <w:pPr>
              <w:pStyle w:val="Normal"/>
              <w:spacing w:lineRule="auto" w:line="240"/>
              <w:jc w:val="center"/>
              <w:rPr>
                <w:rFonts w:eastAsia="Times New Roman"/>
                <w:sz w:val="20"/>
                <w:szCs w:val="20"/>
                <w:lang w:eastAsia="ru-RU"/>
              </w:rPr>
            </w:pPr>
            <w:r>
              <w:rPr>
                <w:rFonts w:eastAsia="Times New Roman"/>
                <w:sz w:val="20"/>
                <w:szCs w:val="20"/>
                <w:lang w:eastAsia="ru-RU"/>
              </w:rPr>
              <w:t>5</w:t>
            </w:r>
          </w:p>
        </w:tc>
        <w:tc>
          <w:tcPr>
            <w:tcW w:w="2337" w:type="dxa"/>
            <w:tcBorders>
              <w:left w:val="nil"/>
              <w:right w:val="nil"/>
            </w:tcBorders>
          </w:tcPr>
          <w:p>
            <w:pPr>
              <w:pStyle w:val="Normal"/>
              <w:spacing w:lineRule="auto" w:line="240"/>
              <w:jc w:val="left"/>
              <w:rPr>
                <w:rFonts w:eastAsia="Calibri" w:eastAsiaTheme="minorHAnsi"/>
                <w:sz w:val="20"/>
                <w:szCs w:val="20"/>
              </w:rPr>
            </w:pPr>
            <w:r>
              <w:rPr>
                <w:rFonts w:eastAsia="Calibri" w:eastAsiaTheme="minorHAnsi"/>
                <w:sz w:val="20"/>
                <w:szCs w:val="20"/>
              </w:rPr>
              <w:t>трубопровод</w:t>
            </w:r>
          </w:p>
        </w:tc>
        <w:tc>
          <w:tcPr>
            <w:tcW w:w="3082" w:type="dxa"/>
            <w:tcBorders>
              <w:left w:val="nil"/>
              <w:right w:val="nil"/>
            </w:tcBorders>
          </w:tcPr>
          <w:p>
            <w:pPr>
              <w:pStyle w:val="Normal"/>
              <w:spacing w:lineRule="auto" w:line="240"/>
              <w:jc w:val="left"/>
              <w:rPr>
                <w:rFonts w:eastAsia="Calibri" w:eastAsiaTheme="minorHAnsi"/>
                <w:sz w:val="20"/>
                <w:szCs w:val="20"/>
              </w:rPr>
            </w:pPr>
            <w:r>
              <w:rPr>
                <w:rFonts w:eastAsia="Times New Roman"/>
                <w:sz w:val="20"/>
                <w:szCs w:val="20"/>
                <w:lang w:eastAsia="ru-RU"/>
              </w:rPr>
              <w:t xml:space="preserve">«Правила охраны магистральных трубопроводов» (утв. Минтопэнерго РФ 29.04.1992, Постановлением Госгортехнадзора РФ от 22.04.1992 № 9) </w:t>
            </w:r>
          </w:p>
        </w:tc>
        <w:tc>
          <w:tcPr>
            <w:tcW w:w="4353" w:type="dxa"/>
            <w:tcBorders>
              <w:left w:val="nil"/>
            </w:tcBorders>
          </w:tcPr>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производить всякого рода действия, могущие нарушить нормальную эксплуатацию трубопроводов либо привести к их повреждению, в частности:</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перемещать, засыпать и ломать опознавательные и сигнальные знаки, контрольно-измерительные пункты;</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открывать люки, калитки и двери необслуживаемых усилительных пунктов кабельной связи, ограждений узлов линейной арматуры, станций катодной и дренажной защиты, линейных и смотровых колодцев и других линейных устройств, открывать и закрывать краны и задвижки, отключать или включать средства связи, энергоснабжения и телемеханики трубопроводов;</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устраивать всякого рода свалки, выливать растворы кислот, солей и щелочей;</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разрушать берегоукрепительные сооружения, водопропускные устройства, земляные и иные сооружения (устройства), предохраняющие трубопроводы от разрушения, а прилегающую территорию и окружающую местность – от аварийного разлива транспортируемой продукции;</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бросать якоря, проходить с отданными якорями, цепями, лотами, волокушами и тралами, производить дноуглубительные и землечерпальные работы;</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разводить огонь и размещать какие-либо открытые или закрытые источники огня.</w:t>
            </w:r>
          </w:p>
          <w:p>
            <w:pPr>
              <w:pStyle w:val="Normal"/>
              <w:spacing w:lineRule="auto" w:line="240"/>
              <w:jc w:val="left"/>
              <w:rPr>
                <w:rFonts w:eastAsia="Calibri" w:eastAsiaTheme="minorHAnsi"/>
                <w:sz w:val="20"/>
                <w:szCs w:val="20"/>
              </w:rPr>
            </w:pPr>
            <w:r>
              <w:rPr>
                <w:rFonts w:eastAsia="Calibri" w:eastAsiaTheme="minorHAnsi"/>
                <w:sz w:val="20"/>
                <w:szCs w:val="20"/>
              </w:rPr>
              <w:t>В охранных зонах трубопроводов без письменного разрешения предприятий трубопроводного транспорта запрещается:</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возводить любые постройки и сооружения;</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участки, производить добычу рыбы, а также водных животных и растений, устраивать водопои, производить колку и заготовку льда;</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производить мелиоративные земляные работы, сооружать оросительные и осушительные системы;</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производить всякого рода открытые и подземные, горные, строительные, монтажные и взрывные работы, планировку грунта;</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производить геологосъемочные, геолого-разведочные, поисковые, геодезические и другие изыскательские работы, связанные с устройством скважин, шурфов и взятием проб грунта (кроме почвенных образцов)</w:t>
            </w:r>
          </w:p>
        </w:tc>
      </w:tr>
      <w:tr>
        <w:trPr>
          <w:trHeight w:val="20" w:hRule="atLeast"/>
        </w:trPr>
        <w:tc>
          <w:tcPr>
            <w:tcW w:w="432" w:type="dxa"/>
            <w:tcBorders>
              <w:right w:val="nil"/>
            </w:tcBorders>
          </w:tcPr>
          <w:p>
            <w:pPr>
              <w:pStyle w:val="Normal"/>
              <w:spacing w:lineRule="auto" w:line="240"/>
              <w:jc w:val="center"/>
              <w:rPr>
                <w:rFonts w:eastAsia="Times New Roman"/>
                <w:sz w:val="20"/>
                <w:szCs w:val="20"/>
                <w:lang w:eastAsia="ru-RU"/>
              </w:rPr>
            </w:pPr>
            <w:r>
              <w:rPr>
                <w:rFonts w:eastAsia="Times New Roman"/>
                <w:sz w:val="20"/>
                <w:szCs w:val="20"/>
                <w:lang w:eastAsia="ru-RU"/>
              </w:rPr>
              <w:t>6</w:t>
            </w:r>
          </w:p>
        </w:tc>
        <w:tc>
          <w:tcPr>
            <w:tcW w:w="2337" w:type="dxa"/>
            <w:tcBorders>
              <w:left w:val="nil"/>
              <w:right w:val="nil"/>
            </w:tcBorders>
          </w:tcPr>
          <w:p>
            <w:pPr>
              <w:pStyle w:val="Normal"/>
              <w:spacing w:lineRule="auto" w:line="240"/>
              <w:jc w:val="left"/>
              <w:rPr>
                <w:rFonts w:eastAsia="Calibri" w:eastAsiaTheme="minorHAnsi"/>
                <w:sz w:val="20"/>
                <w:szCs w:val="20"/>
              </w:rPr>
            </w:pPr>
            <w:r>
              <w:rPr>
                <w:rFonts w:eastAsia="Calibri" w:eastAsiaTheme="minorHAnsi"/>
                <w:sz w:val="20"/>
                <w:szCs w:val="20"/>
              </w:rPr>
              <w:t>наружные газопроводы и отдельно стоящие газорегуляторные пункты</w:t>
            </w:r>
          </w:p>
        </w:tc>
        <w:tc>
          <w:tcPr>
            <w:tcW w:w="3082" w:type="dxa"/>
            <w:tcBorders>
              <w:left w:val="nil"/>
              <w:right w:val="nil"/>
            </w:tcBorders>
          </w:tcPr>
          <w:p>
            <w:pPr>
              <w:pStyle w:val="Normal"/>
              <w:spacing w:lineRule="auto" w:line="240"/>
              <w:jc w:val="left"/>
              <w:rPr>
                <w:rFonts w:eastAsia="Times New Roman"/>
                <w:sz w:val="20"/>
                <w:szCs w:val="20"/>
                <w:lang w:eastAsia="ru-RU"/>
              </w:rPr>
            </w:pPr>
            <w:r>
              <w:rPr>
                <w:rFonts w:eastAsia="Calibri" w:eastAsiaTheme="minorHAnsi"/>
                <w:sz w:val="20"/>
                <w:szCs w:val="20"/>
              </w:rPr>
              <w:t>Постановление Правительства Российской Федерации от 20.11.2000 № 878 «Об утверждении Правил охраны газораспределительных сетей»</w:t>
            </w:r>
          </w:p>
        </w:tc>
        <w:tc>
          <w:tcPr>
            <w:tcW w:w="4353" w:type="dxa"/>
            <w:tcBorders>
              <w:left w:val="nil"/>
            </w:tcBorders>
          </w:tcPr>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строить объекты жилищно-гражданского и производственного назначения;</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устраивать свалки и склады, разливать растворы кислот, солей, щелочей и других химически активных веществ;</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разводить огонь и размещать источники огня;</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 xml:space="preserve">рыть погреба, копать и обрабатывать почву сельскохозяйственными и мелиоративными орудиями и механизмами на глубину более </w:t>
              <w:br/>
              <w:t>0,3 метра;</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pPr>
              <w:pStyle w:val="ListParagraph"/>
              <w:numPr>
                <w:ilvl w:val="0"/>
                <w:numId w:val="27"/>
              </w:numPr>
              <w:tabs>
                <w:tab w:val="clear" w:pos="708"/>
                <w:tab w:val="left" w:pos="183" w:leader="none"/>
              </w:tabs>
              <w:spacing w:lineRule="auto" w:line="240" w:before="0" w:after="0"/>
              <w:ind w:left="0" w:hanging="0"/>
              <w:contextualSpacing/>
              <w:rPr>
                <w:rFonts w:ascii="Times New Roman" w:hAnsi="Times New Roman"/>
                <w:sz w:val="20"/>
                <w:szCs w:val="20"/>
              </w:rPr>
            </w:pPr>
            <w:r>
              <w:rPr>
                <w:sz w:val="20"/>
                <w:szCs w:val="20"/>
              </w:rPr>
              <w:t>самовольно подключаться к газораспределительным сетям</w:t>
            </w:r>
          </w:p>
        </w:tc>
      </w:tr>
    </w:tbl>
    <w:p>
      <w:pPr>
        <w:pStyle w:val="Normal"/>
        <w:keepNext w:val="true"/>
        <w:numPr>
          <w:ilvl w:val="0"/>
          <w:numId w:val="0"/>
        </w:numPr>
        <w:tabs>
          <w:tab w:val="clear" w:pos="708"/>
          <w:tab w:val="left" w:pos="709" w:leader="none"/>
        </w:tabs>
        <w:spacing w:lineRule="auto" w:line="276" w:before="120" w:after="200"/>
        <w:outlineLvl w:val="2"/>
        <w:rPr>
          <w:rFonts w:eastAsia="Times New Roman"/>
          <w:b/>
          <w:b/>
          <w:szCs w:val="24"/>
        </w:rPr>
      </w:pPr>
      <w:bookmarkStart w:id="264" w:name="_Toc115250839"/>
      <w:bookmarkStart w:id="265" w:name="_Toc80966058"/>
      <w:bookmarkStart w:id="266" w:name="_Toc182210508"/>
      <w:r>
        <w:rPr>
          <w:rFonts w:eastAsia="Times New Roman"/>
          <w:b/>
          <w:szCs w:val="24"/>
        </w:rPr>
        <w:t>11.5 Придорожные полосы автомобильных дорог</w:t>
      </w:r>
      <w:bookmarkEnd w:id="264"/>
      <w:bookmarkEnd w:id="265"/>
      <w:bookmarkEnd w:id="266"/>
    </w:p>
    <w:p>
      <w:pPr>
        <w:pStyle w:val="Normal"/>
        <w:spacing w:lineRule="auto" w:line="276"/>
        <w:ind w:firstLine="709"/>
        <w:rPr>
          <w:rFonts w:eastAsia="Times New Roman"/>
          <w:szCs w:val="24"/>
          <w:lang w:eastAsia="ru-RU"/>
        </w:rPr>
      </w:pPr>
      <w:bookmarkStart w:id="267" w:name="_Toc96327782"/>
      <w:r>
        <w:rPr>
          <w:rFonts w:eastAsia="Times New Roman"/>
          <w:szCs w:val="24"/>
          <w:lang w:eastAsia="ru-RU"/>
        </w:rPr>
        <w:t>В соответствии со статьей 3 Федерального закона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pPr>
        <w:pStyle w:val="Normal"/>
        <w:spacing w:lineRule="auto" w:line="276"/>
        <w:ind w:firstLine="709"/>
        <w:rPr>
          <w:rFonts w:eastAsia="Times New Roman"/>
          <w:szCs w:val="24"/>
          <w:lang w:eastAsia="ru-RU"/>
        </w:rPr>
      </w:pPr>
      <w:r>
        <w:rPr>
          <w:rFonts w:eastAsia="Times New Roman"/>
          <w:szCs w:val="24"/>
          <w:lang w:eastAsia="ru-RU"/>
        </w:rPr>
        <w:t>Придорожные полосы устанавливаются для автомобильных дорог, за исключением автомобильных дорог, расположенных в границах населенных пунктов.</w:t>
      </w:r>
    </w:p>
    <w:p>
      <w:pPr>
        <w:pStyle w:val="Normal"/>
        <w:spacing w:lineRule="auto" w:line="276"/>
        <w:ind w:firstLine="709"/>
        <w:rPr>
          <w:rFonts w:eastAsia="Arial Unicode MS"/>
          <w:szCs w:val="24"/>
          <w:lang w:eastAsia="ru-RU"/>
        </w:rPr>
      </w:pPr>
      <w:r>
        <w:rPr>
          <w:rFonts w:eastAsia="Arial Unicode MS"/>
          <w:szCs w:val="24"/>
          <w:lang w:eastAsia="ru-RU"/>
        </w:rPr>
        <w:t xml:space="preserve">Характеристика </w:t>
      </w:r>
      <w:r>
        <w:rPr>
          <w:rFonts w:eastAsia="Times New Roman"/>
          <w:szCs w:val="24"/>
          <w:lang w:eastAsia="ru-RU"/>
        </w:rPr>
        <w:t xml:space="preserve">придорожных полос автомобильных дорог </w:t>
      </w:r>
      <w:r>
        <w:rPr>
          <w:rFonts w:eastAsia="Arial Unicode MS"/>
          <w:szCs w:val="24"/>
          <w:lang w:eastAsia="ru-RU"/>
        </w:rPr>
        <w:t>приведена</w:t>
      </w:r>
      <w:r>
        <w:rPr>
          <w:rFonts w:eastAsia="Arial Unicode MS"/>
          <w:szCs w:val="24"/>
        </w:rPr>
        <w:t xml:space="preserve"> </w:t>
      </w:r>
      <w:r>
        <w:rPr>
          <w:rFonts w:eastAsia="Arial Unicode MS"/>
          <w:szCs w:val="24"/>
          <w:lang w:eastAsia="ru-RU"/>
        </w:rPr>
        <w:t xml:space="preserve">в таблице </w:t>
      </w:r>
      <w:r>
        <w:rPr>
          <w:rFonts w:eastAsia="Times New Roman"/>
          <w:szCs w:val="24"/>
          <w:lang w:eastAsia="ru-RU"/>
        </w:rPr>
        <w:t>3.11.7.</w:t>
      </w:r>
    </w:p>
    <w:p>
      <w:pPr>
        <w:pStyle w:val="Normal"/>
        <w:spacing w:lineRule="auto" w:line="276"/>
        <w:ind w:firstLine="709"/>
        <w:jc w:val="right"/>
        <w:rPr>
          <w:rFonts w:eastAsia="Times New Roman"/>
          <w:szCs w:val="24"/>
          <w:lang w:eastAsia="ru-RU"/>
        </w:rPr>
      </w:pPr>
      <w:r>
        <w:rPr>
          <w:rFonts w:eastAsia="Times New Roman"/>
          <w:szCs w:val="24"/>
          <w:lang w:eastAsia="ru-RU"/>
        </w:rPr>
        <w:t>Таблица 3.11.7</w:t>
      </w:r>
    </w:p>
    <w:p>
      <w:pPr>
        <w:pStyle w:val="Normal"/>
        <w:spacing w:lineRule="auto" w:line="276"/>
        <w:jc w:val="center"/>
        <w:rPr>
          <w:rFonts w:eastAsia="Times New Roman"/>
          <w:szCs w:val="24"/>
          <w:lang w:eastAsia="ru-RU"/>
        </w:rPr>
      </w:pPr>
      <w:r>
        <w:rPr>
          <w:rFonts w:eastAsia="Times New Roman"/>
          <w:szCs w:val="24"/>
          <w:lang w:eastAsia="ru-RU"/>
        </w:rPr>
        <w:t xml:space="preserve">Характеристика придорожных полос автомобильных дорог </w:t>
      </w:r>
    </w:p>
    <w:tbl>
      <w:tblPr>
        <w:tblW w:w="5000" w:type="pct"/>
        <w:jc w:val="left"/>
        <w:tblInd w:w="-108" w:type="dxa"/>
        <w:tblCellMar>
          <w:top w:w="0" w:type="dxa"/>
          <w:left w:w="108" w:type="dxa"/>
          <w:bottom w:w="0" w:type="dxa"/>
          <w:right w:w="108" w:type="dxa"/>
        </w:tblCellMar>
        <w:tblLook w:firstRow="0" w:noVBand="0" w:lastRow="0" w:firstColumn="0" w:lastColumn="0" w:noHBand="0" w:val="0000"/>
      </w:tblPr>
      <w:tblGrid>
        <w:gridCol w:w="429"/>
        <w:gridCol w:w="2265"/>
        <w:gridCol w:w="4161"/>
        <w:gridCol w:w="1512"/>
        <w:gridCol w:w="1838"/>
      </w:tblGrid>
      <w:tr>
        <w:trPr>
          <w:tblHeader w:val="true"/>
          <w:trHeight w:val="20" w:hRule="atLeast"/>
          <w:cantSplit w:val="true"/>
        </w:trPr>
        <w:tc>
          <w:tcPr>
            <w:tcW w:w="429"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sz w:val="20"/>
                <w:szCs w:val="20"/>
              </w:rPr>
              <w:t>№</w:t>
            </w:r>
          </w:p>
        </w:tc>
        <w:tc>
          <w:tcPr>
            <w:tcW w:w="2265" w:type="dxa"/>
            <w:tcBorders>
              <w:top w:val="single" w:sz="4" w:space="0" w:color="000000"/>
              <w:left w:val="single" w:sz="4" w:space="0" w:color="000000"/>
              <w:right w:val="single" w:sz="4" w:space="0" w:color="000000"/>
            </w:tcBorders>
            <w:shd w:color="000000" w:fill="FFFFFF" w:val="clear"/>
            <w:vAlign w:val="center"/>
          </w:tcPr>
          <w:p>
            <w:pPr>
              <w:pStyle w:val="Normal"/>
              <w:spacing w:lineRule="auto" w:line="240"/>
              <w:jc w:val="center"/>
              <w:rPr>
                <w:b/>
                <w:b/>
                <w:sz w:val="20"/>
                <w:szCs w:val="20"/>
              </w:rPr>
            </w:pPr>
            <w:r>
              <w:rPr>
                <w:b/>
                <w:sz w:val="20"/>
                <w:szCs w:val="20"/>
              </w:rPr>
              <w:t>Идентификационный номер</w:t>
            </w:r>
          </w:p>
        </w:tc>
        <w:tc>
          <w:tcPr>
            <w:tcW w:w="4161" w:type="dxa"/>
            <w:tcBorders>
              <w:top w:val="single" w:sz="4" w:space="0" w:color="000000"/>
              <w:left w:val="single" w:sz="4" w:space="0" w:color="000000"/>
              <w:right w:val="single" w:sz="4" w:space="0" w:color="000000"/>
            </w:tcBorders>
            <w:shd w:color="000000" w:fill="FFFFFF" w:val="clear"/>
            <w:vAlign w:val="center"/>
          </w:tcPr>
          <w:p>
            <w:pPr>
              <w:pStyle w:val="Normal"/>
              <w:spacing w:lineRule="auto" w:line="240"/>
              <w:jc w:val="center"/>
              <w:rPr>
                <w:b/>
                <w:b/>
                <w:sz w:val="20"/>
                <w:szCs w:val="20"/>
              </w:rPr>
            </w:pPr>
            <w:r>
              <w:rPr>
                <w:b/>
                <w:sz w:val="20"/>
                <w:szCs w:val="20"/>
              </w:rPr>
              <w:t>Наименование автомобильной дороги/придорожной полосы</w:t>
            </w:r>
          </w:p>
        </w:tc>
        <w:tc>
          <w:tcPr>
            <w:tcW w:w="1512" w:type="dxa"/>
            <w:tcBorders>
              <w:top w:val="single" w:sz="4" w:space="0" w:color="000000"/>
              <w:left w:val="single" w:sz="4" w:space="0" w:color="000000"/>
              <w:right w:val="single" w:sz="4" w:space="0" w:color="000000"/>
            </w:tcBorders>
            <w:shd w:color="auto" w:fill="FFFFFF" w:val="clear"/>
            <w:vAlign w:val="center"/>
          </w:tcPr>
          <w:p>
            <w:pPr>
              <w:pStyle w:val="Normal"/>
              <w:spacing w:lineRule="auto" w:line="240"/>
              <w:jc w:val="center"/>
              <w:rPr>
                <w:b/>
                <w:b/>
                <w:sz w:val="20"/>
                <w:szCs w:val="20"/>
              </w:rPr>
            </w:pPr>
            <w:r>
              <w:rPr>
                <w:b/>
                <w:sz w:val="20"/>
                <w:szCs w:val="20"/>
              </w:rPr>
              <w:t>Техническая категория</w:t>
            </w:r>
          </w:p>
        </w:tc>
        <w:tc>
          <w:tcPr>
            <w:tcW w:w="1838" w:type="dxa"/>
            <w:tcBorders>
              <w:top w:val="single" w:sz="4" w:space="0" w:color="000000"/>
              <w:left w:val="single" w:sz="4" w:space="0" w:color="000000"/>
              <w:right w:val="single" w:sz="4" w:space="0" w:color="000000"/>
            </w:tcBorders>
            <w:shd w:color="auto" w:fill="FFFFFF" w:val="clear"/>
            <w:vAlign w:val="center"/>
          </w:tcPr>
          <w:p>
            <w:pPr>
              <w:pStyle w:val="Normal"/>
              <w:spacing w:lineRule="auto" w:line="240"/>
              <w:jc w:val="center"/>
              <w:rPr>
                <w:b/>
                <w:b/>
                <w:sz w:val="20"/>
                <w:szCs w:val="20"/>
              </w:rPr>
            </w:pPr>
            <w:r>
              <w:rPr>
                <w:b/>
                <w:sz w:val="20"/>
                <w:szCs w:val="20"/>
              </w:rPr>
              <w:t>Размер придорожной полосы</w:t>
            </w:r>
          </w:p>
        </w:tc>
      </w:tr>
    </w:tbl>
    <w:p>
      <w:pPr>
        <w:pStyle w:val="Normal"/>
        <w:spacing w:lineRule="auto" w:line="12"/>
        <w:jc w:val="center"/>
        <w:rPr>
          <w:b/>
          <w:b/>
          <w:sz w:val="20"/>
          <w:szCs w:val="20"/>
        </w:rPr>
      </w:pPr>
      <w:r>
        <w:rPr>
          <w:b/>
          <w:sz w:val="20"/>
          <w:szCs w:val="20"/>
        </w:rPr>
      </w:r>
    </w:p>
    <w:tbl>
      <w:tblPr>
        <w:tblW w:w="5000" w:type="pct"/>
        <w:jc w:val="center"/>
        <w:tblInd w:w="0" w:type="dxa"/>
        <w:tblCellMar>
          <w:top w:w="0" w:type="dxa"/>
          <w:left w:w="108" w:type="dxa"/>
          <w:bottom w:w="0" w:type="dxa"/>
          <w:right w:w="108" w:type="dxa"/>
        </w:tblCellMar>
        <w:tblLook w:firstRow="0" w:noVBand="0" w:lastRow="0" w:firstColumn="0" w:lastColumn="0" w:noHBand="0" w:val="0000"/>
      </w:tblPr>
      <w:tblGrid>
        <w:gridCol w:w="432"/>
        <w:gridCol w:w="2190"/>
        <w:gridCol w:w="4233"/>
        <w:gridCol w:w="1459"/>
        <w:gridCol w:w="1891"/>
      </w:tblGrid>
      <w:tr>
        <w:trPr>
          <w:tblHeader w:val="true"/>
          <w:trHeight w:val="20" w:hRule="atLeast"/>
        </w:trPr>
        <w:tc>
          <w:tcPr>
            <w:tcW w:w="432"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1</w:t>
            </w:r>
          </w:p>
        </w:tc>
        <w:tc>
          <w:tcPr>
            <w:tcW w:w="219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2</w:t>
            </w:r>
          </w:p>
        </w:tc>
        <w:tc>
          <w:tcPr>
            <w:tcW w:w="423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3</w:t>
            </w:r>
          </w:p>
        </w:tc>
        <w:tc>
          <w:tcPr>
            <w:tcW w:w="145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4</w:t>
            </w:r>
          </w:p>
        </w:tc>
        <w:tc>
          <w:tcPr>
            <w:tcW w:w="189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5</w:t>
            </w:r>
          </w:p>
        </w:tc>
      </w:tr>
      <w:tr>
        <w:trPr>
          <w:tblHeader w:val="true"/>
          <w:trHeight w:val="20" w:hRule="atLeast"/>
        </w:trPr>
        <w:tc>
          <w:tcPr>
            <w:tcW w:w="10205" w:type="dxa"/>
            <w:gridSpan w:val="5"/>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color w:val="000000"/>
                <w:sz w:val="20"/>
                <w:szCs w:val="20"/>
                <w:highlight w:val="white"/>
              </w:rPr>
            </w:pPr>
            <w:r>
              <w:rPr>
                <w:color w:val="000000"/>
                <w:sz w:val="20"/>
                <w:szCs w:val="20"/>
                <w:shd w:fill="FFFFFF" w:val="clear"/>
              </w:rPr>
              <w:t>Возникающие в силу федерального закона</w:t>
            </w:r>
          </w:p>
        </w:tc>
      </w:tr>
      <w:tr>
        <w:trPr>
          <w:tblHeader w:val="true"/>
          <w:trHeight w:val="20" w:hRule="atLeast"/>
        </w:trPr>
        <w:tc>
          <w:tcPr>
            <w:tcW w:w="432" w:type="dxa"/>
            <w:tcBorders>
              <w:top w:val="single" w:sz="4" w:space="0" w:color="000000"/>
              <w:left w:val="single" w:sz="4" w:space="0" w:color="000000"/>
              <w:bottom w:val="single" w:sz="4" w:space="0" w:color="000000"/>
            </w:tcBorders>
          </w:tcPr>
          <w:p>
            <w:pPr>
              <w:pStyle w:val="ListParagraph"/>
              <w:numPr>
                <w:ilvl w:val="0"/>
                <w:numId w:val="31"/>
              </w:numPr>
              <w:spacing w:lineRule="auto" w:line="240" w:before="0" w:after="0"/>
              <w:ind w:left="0" w:hanging="0"/>
              <w:jc w:val="center"/>
              <w:rPr>
                <w:rFonts w:ascii="Times New Roman" w:hAnsi="Times New Roman"/>
                <w:sz w:val="20"/>
                <w:szCs w:val="20"/>
              </w:rPr>
            </w:pPr>
            <w:r>
              <w:rPr>
                <w:sz w:val="20"/>
                <w:szCs w:val="20"/>
              </w:rPr>
            </w:r>
          </w:p>
        </w:tc>
        <w:tc>
          <w:tcPr>
            <w:tcW w:w="2190" w:type="dxa"/>
            <w:tcBorders>
              <w:top w:val="single" w:sz="4" w:space="0" w:color="000000"/>
              <w:bottom w:val="single" w:sz="4" w:space="0" w:color="000000"/>
            </w:tcBorders>
          </w:tcPr>
          <w:p>
            <w:pPr>
              <w:pStyle w:val="Normal"/>
              <w:spacing w:lineRule="auto" w:line="240"/>
              <w:jc w:val="left"/>
              <w:rPr>
                <w:sz w:val="20"/>
                <w:szCs w:val="20"/>
              </w:rPr>
            </w:pPr>
            <w:r>
              <w:rPr>
                <w:sz w:val="20"/>
                <w:szCs w:val="20"/>
              </w:rPr>
              <w:t>74 ОП РЗ 75К-010</w:t>
            </w:r>
          </w:p>
        </w:tc>
        <w:tc>
          <w:tcPr>
            <w:tcW w:w="4233" w:type="dxa"/>
            <w:tcBorders>
              <w:top w:val="single" w:sz="4" w:space="0" w:color="000000"/>
              <w:bottom w:val="single" w:sz="4" w:space="0" w:color="000000"/>
            </w:tcBorders>
          </w:tcPr>
          <w:p>
            <w:pPr>
              <w:pStyle w:val="Normal"/>
              <w:spacing w:lineRule="auto" w:line="240"/>
              <w:jc w:val="left"/>
              <w:rPr>
                <w:sz w:val="20"/>
                <w:szCs w:val="20"/>
              </w:rPr>
            </w:pPr>
            <w:r>
              <w:rPr>
                <w:sz w:val="20"/>
                <w:szCs w:val="20"/>
              </w:rPr>
              <w:t>Черноречье Чесма – Варна – Карталы – Бреды, в том числе: обход села Варна 8,99 километра; обход села Бородиновка 4,5 километра</w:t>
            </w:r>
          </w:p>
        </w:tc>
        <w:tc>
          <w:tcPr>
            <w:tcW w:w="1459" w:type="dxa"/>
            <w:tcBorders>
              <w:top w:val="single" w:sz="4" w:space="0" w:color="000000"/>
              <w:bottom w:val="single" w:sz="4" w:space="0" w:color="000000"/>
            </w:tcBorders>
          </w:tcPr>
          <w:p>
            <w:pPr>
              <w:pStyle w:val="Normal"/>
              <w:tabs>
                <w:tab w:val="clear" w:pos="708"/>
                <w:tab w:val="left" w:pos="402" w:leader="none"/>
                <w:tab w:val="center" w:pos="530" w:leader="none"/>
              </w:tabs>
              <w:spacing w:lineRule="auto" w:line="240"/>
              <w:jc w:val="center"/>
              <w:rPr>
                <w:sz w:val="20"/>
                <w:szCs w:val="20"/>
              </w:rPr>
            </w:pPr>
            <w:r>
              <w:rPr>
                <w:sz w:val="20"/>
                <w:szCs w:val="20"/>
              </w:rPr>
              <w:t>III</w:t>
            </w:r>
          </w:p>
        </w:tc>
        <w:tc>
          <w:tcPr>
            <w:tcW w:w="1891" w:type="dxa"/>
            <w:tcBorders>
              <w:top w:val="single" w:sz="4" w:space="0" w:color="000000"/>
              <w:bottom w:val="single" w:sz="4" w:space="0" w:color="000000"/>
              <w:right w:val="single" w:sz="4" w:space="0" w:color="000000"/>
            </w:tcBorders>
          </w:tcPr>
          <w:p>
            <w:pPr>
              <w:pStyle w:val="Normal"/>
              <w:spacing w:lineRule="auto" w:line="240"/>
              <w:jc w:val="center"/>
              <w:rPr>
                <w:color w:val="000000"/>
                <w:sz w:val="20"/>
                <w:szCs w:val="20"/>
                <w:highlight w:val="white"/>
              </w:rPr>
            </w:pPr>
            <w:r>
              <w:rPr>
                <w:color w:val="000000"/>
                <w:sz w:val="20"/>
                <w:szCs w:val="20"/>
                <w:shd w:fill="FFFFFF" w:val="clear"/>
              </w:rPr>
              <w:t>50</w:t>
            </w:r>
          </w:p>
        </w:tc>
      </w:tr>
      <w:tr>
        <w:trPr>
          <w:tblHeader w:val="true"/>
          <w:trHeight w:val="20" w:hRule="atLeast"/>
        </w:trPr>
        <w:tc>
          <w:tcPr>
            <w:tcW w:w="432" w:type="dxa"/>
            <w:tcBorders>
              <w:top w:val="single" w:sz="4" w:space="0" w:color="000000"/>
              <w:left w:val="single" w:sz="4" w:space="0" w:color="000000"/>
              <w:bottom w:val="single" w:sz="4" w:space="0" w:color="000000"/>
            </w:tcBorders>
          </w:tcPr>
          <w:p>
            <w:pPr>
              <w:pStyle w:val="ListParagraph"/>
              <w:numPr>
                <w:ilvl w:val="0"/>
                <w:numId w:val="31"/>
              </w:numPr>
              <w:spacing w:lineRule="auto" w:line="240" w:before="0" w:after="0"/>
              <w:ind w:left="0" w:hanging="0"/>
              <w:jc w:val="center"/>
              <w:rPr>
                <w:rFonts w:ascii="Times New Roman" w:hAnsi="Times New Roman"/>
                <w:sz w:val="20"/>
                <w:szCs w:val="20"/>
              </w:rPr>
            </w:pPr>
            <w:r>
              <w:rPr>
                <w:sz w:val="20"/>
                <w:szCs w:val="20"/>
              </w:rPr>
            </w:r>
          </w:p>
        </w:tc>
        <w:tc>
          <w:tcPr>
            <w:tcW w:w="2190" w:type="dxa"/>
            <w:tcBorders>
              <w:top w:val="single" w:sz="4" w:space="0" w:color="000000"/>
              <w:bottom w:val="single" w:sz="4" w:space="0" w:color="000000"/>
            </w:tcBorders>
          </w:tcPr>
          <w:p>
            <w:pPr>
              <w:pStyle w:val="Normal"/>
              <w:spacing w:lineRule="auto" w:line="240"/>
              <w:jc w:val="left"/>
              <w:rPr>
                <w:sz w:val="20"/>
                <w:szCs w:val="20"/>
                <w:lang w:eastAsia="ru-RU"/>
              </w:rPr>
            </w:pPr>
            <w:r>
              <w:rPr>
                <w:sz w:val="20"/>
                <w:szCs w:val="20"/>
                <w:lang w:eastAsia="ru-RU"/>
              </w:rPr>
              <w:t>74 ОП РЗ 75К-062</w:t>
            </w:r>
          </w:p>
        </w:tc>
        <w:tc>
          <w:tcPr>
            <w:tcW w:w="4233" w:type="dxa"/>
            <w:tcBorders>
              <w:top w:val="single" w:sz="4" w:space="0" w:color="000000"/>
              <w:bottom w:val="single" w:sz="4" w:space="0" w:color="000000"/>
            </w:tcBorders>
          </w:tcPr>
          <w:p>
            <w:pPr>
              <w:pStyle w:val="Normal"/>
              <w:spacing w:lineRule="auto" w:line="240"/>
              <w:jc w:val="left"/>
              <w:rPr>
                <w:sz w:val="20"/>
                <w:szCs w:val="20"/>
              </w:rPr>
            </w:pPr>
            <w:r>
              <w:rPr>
                <w:sz w:val="20"/>
                <w:szCs w:val="20"/>
              </w:rPr>
              <w:t>Варна – Александровка Варненского муниципального района – граница Казахстана</w:t>
            </w:r>
          </w:p>
        </w:tc>
        <w:tc>
          <w:tcPr>
            <w:tcW w:w="1459" w:type="dxa"/>
            <w:tcBorders>
              <w:top w:val="single" w:sz="4" w:space="0" w:color="000000"/>
              <w:bottom w:val="single" w:sz="4" w:space="0" w:color="000000"/>
            </w:tcBorders>
          </w:tcPr>
          <w:p>
            <w:pPr>
              <w:pStyle w:val="Normal"/>
              <w:tabs>
                <w:tab w:val="clear" w:pos="708"/>
                <w:tab w:val="left" w:pos="402" w:leader="none"/>
                <w:tab w:val="center" w:pos="530" w:leader="none"/>
              </w:tabs>
              <w:spacing w:lineRule="auto" w:line="240"/>
              <w:jc w:val="center"/>
              <w:rPr>
                <w:sz w:val="20"/>
                <w:szCs w:val="20"/>
              </w:rPr>
            </w:pPr>
            <w:r>
              <w:rPr>
                <w:sz w:val="20"/>
                <w:szCs w:val="20"/>
              </w:rPr>
              <w:t>III</w:t>
            </w:r>
          </w:p>
        </w:tc>
        <w:tc>
          <w:tcPr>
            <w:tcW w:w="1891" w:type="dxa"/>
            <w:tcBorders>
              <w:top w:val="single" w:sz="4" w:space="0" w:color="000000"/>
              <w:bottom w:val="single" w:sz="4" w:space="0" w:color="000000"/>
              <w:right w:val="single" w:sz="4" w:space="0" w:color="000000"/>
            </w:tcBorders>
          </w:tcPr>
          <w:p>
            <w:pPr>
              <w:pStyle w:val="Normal"/>
              <w:spacing w:lineRule="auto" w:line="240"/>
              <w:jc w:val="center"/>
              <w:rPr>
                <w:color w:val="000000"/>
                <w:sz w:val="20"/>
                <w:szCs w:val="20"/>
                <w:highlight w:val="white"/>
              </w:rPr>
            </w:pPr>
            <w:r>
              <w:rPr>
                <w:color w:val="000000"/>
                <w:sz w:val="20"/>
                <w:szCs w:val="20"/>
                <w:shd w:fill="FFFFFF" w:val="clear"/>
              </w:rPr>
              <w:t>50</w:t>
            </w:r>
          </w:p>
        </w:tc>
      </w:tr>
      <w:tr>
        <w:trPr>
          <w:tblHeader w:val="true"/>
          <w:trHeight w:val="20" w:hRule="atLeast"/>
        </w:trPr>
        <w:tc>
          <w:tcPr>
            <w:tcW w:w="432" w:type="dxa"/>
            <w:tcBorders>
              <w:top w:val="single" w:sz="4" w:space="0" w:color="000000"/>
              <w:left w:val="single" w:sz="4" w:space="0" w:color="000000"/>
              <w:bottom w:val="single" w:sz="4" w:space="0" w:color="000000"/>
            </w:tcBorders>
          </w:tcPr>
          <w:p>
            <w:pPr>
              <w:pStyle w:val="ListParagraph"/>
              <w:numPr>
                <w:ilvl w:val="0"/>
                <w:numId w:val="31"/>
              </w:numPr>
              <w:spacing w:lineRule="auto" w:line="240" w:before="0" w:after="0"/>
              <w:ind w:left="0" w:hanging="0"/>
              <w:jc w:val="center"/>
              <w:rPr>
                <w:rFonts w:ascii="Times New Roman" w:hAnsi="Times New Roman"/>
                <w:sz w:val="20"/>
                <w:szCs w:val="20"/>
              </w:rPr>
            </w:pPr>
            <w:r>
              <w:rPr>
                <w:sz w:val="20"/>
                <w:szCs w:val="20"/>
              </w:rPr>
            </w:r>
          </w:p>
        </w:tc>
        <w:tc>
          <w:tcPr>
            <w:tcW w:w="2190" w:type="dxa"/>
            <w:tcBorders>
              <w:top w:val="single" w:sz="4" w:space="0" w:color="000000"/>
              <w:bottom w:val="single" w:sz="4" w:space="0" w:color="000000"/>
            </w:tcBorders>
          </w:tcPr>
          <w:p>
            <w:pPr>
              <w:pStyle w:val="Normal"/>
              <w:spacing w:lineRule="auto" w:line="240"/>
              <w:jc w:val="left"/>
              <w:rPr>
                <w:sz w:val="20"/>
                <w:szCs w:val="20"/>
                <w:lang w:eastAsia="ru-RU"/>
              </w:rPr>
            </w:pPr>
            <w:r>
              <w:rPr>
                <w:sz w:val="20"/>
                <w:szCs w:val="20"/>
                <w:lang w:eastAsia="ru-RU"/>
              </w:rPr>
              <w:t>74 ОП РЗ 75К-066</w:t>
            </w:r>
          </w:p>
        </w:tc>
        <w:tc>
          <w:tcPr>
            <w:tcW w:w="4233" w:type="dxa"/>
            <w:tcBorders>
              <w:top w:val="single" w:sz="4" w:space="0" w:color="000000"/>
              <w:bottom w:val="single" w:sz="4" w:space="0" w:color="000000"/>
            </w:tcBorders>
          </w:tcPr>
          <w:p>
            <w:pPr>
              <w:pStyle w:val="Normal"/>
              <w:spacing w:lineRule="auto" w:line="240"/>
              <w:jc w:val="left"/>
              <w:rPr>
                <w:sz w:val="20"/>
                <w:szCs w:val="20"/>
              </w:rPr>
            </w:pPr>
            <w:r>
              <w:rPr>
                <w:sz w:val="20"/>
                <w:szCs w:val="20"/>
              </w:rPr>
              <w:t>Катенино – Красный Октябрь  – автодорога Черноречье – Чесма-Варна – Карталы – Бреды</w:t>
            </w:r>
          </w:p>
        </w:tc>
        <w:tc>
          <w:tcPr>
            <w:tcW w:w="1459" w:type="dxa"/>
            <w:tcBorders>
              <w:top w:val="single" w:sz="4" w:space="0" w:color="000000"/>
              <w:bottom w:val="single" w:sz="4" w:space="0" w:color="000000"/>
            </w:tcBorders>
          </w:tcPr>
          <w:p>
            <w:pPr>
              <w:pStyle w:val="Normal"/>
              <w:tabs>
                <w:tab w:val="clear" w:pos="708"/>
                <w:tab w:val="left" w:pos="402" w:leader="none"/>
                <w:tab w:val="center" w:pos="530" w:leader="none"/>
              </w:tabs>
              <w:spacing w:lineRule="auto" w:line="240"/>
              <w:jc w:val="center"/>
              <w:rPr>
                <w:sz w:val="20"/>
                <w:szCs w:val="20"/>
              </w:rPr>
            </w:pPr>
            <w:r>
              <w:rPr>
                <w:sz w:val="20"/>
                <w:szCs w:val="20"/>
              </w:rPr>
              <w:t>IV</w:t>
            </w:r>
          </w:p>
        </w:tc>
        <w:tc>
          <w:tcPr>
            <w:tcW w:w="1891" w:type="dxa"/>
            <w:tcBorders>
              <w:top w:val="single" w:sz="4" w:space="0" w:color="000000"/>
              <w:bottom w:val="single" w:sz="4" w:space="0" w:color="000000"/>
              <w:right w:val="single" w:sz="4" w:space="0" w:color="000000"/>
            </w:tcBorders>
          </w:tcPr>
          <w:p>
            <w:pPr>
              <w:pStyle w:val="Normal"/>
              <w:spacing w:lineRule="auto" w:line="240"/>
              <w:jc w:val="center"/>
              <w:rPr>
                <w:color w:val="000000"/>
                <w:sz w:val="20"/>
                <w:szCs w:val="20"/>
                <w:highlight w:val="white"/>
              </w:rPr>
            </w:pPr>
            <w:r>
              <w:rPr>
                <w:color w:val="000000"/>
                <w:sz w:val="20"/>
                <w:szCs w:val="20"/>
                <w:shd w:fill="FFFFFF" w:val="clear"/>
              </w:rPr>
              <w:t>50</w:t>
            </w:r>
          </w:p>
        </w:tc>
      </w:tr>
      <w:tr>
        <w:trPr>
          <w:tblHeader w:val="true"/>
          <w:trHeight w:val="20" w:hRule="atLeast"/>
        </w:trPr>
        <w:tc>
          <w:tcPr>
            <w:tcW w:w="432" w:type="dxa"/>
            <w:tcBorders>
              <w:top w:val="single" w:sz="4" w:space="0" w:color="000000"/>
              <w:left w:val="single" w:sz="4" w:space="0" w:color="000000"/>
              <w:bottom w:val="single" w:sz="4" w:space="0" w:color="000000"/>
            </w:tcBorders>
          </w:tcPr>
          <w:p>
            <w:pPr>
              <w:pStyle w:val="ListParagraph"/>
              <w:numPr>
                <w:ilvl w:val="0"/>
                <w:numId w:val="31"/>
              </w:numPr>
              <w:spacing w:lineRule="auto" w:line="240" w:before="0" w:after="0"/>
              <w:ind w:left="0" w:hanging="0"/>
              <w:jc w:val="center"/>
              <w:rPr>
                <w:rFonts w:ascii="Times New Roman" w:hAnsi="Times New Roman"/>
                <w:sz w:val="20"/>
                <w:szCs w:val="20"/>
              </w:rPr>
            </w:pPr>
            <w:r>
              <w:rPr>
                <w:sz w:val="20"/>
                <w:szCs w:val="20"/>
              </w:rPr>
            </w:r>
          </w:p>
        </w:tc>
        <w:tc>
          <w:tcPr>
            <w:tcW w:w="2190" w:type="dxa"/>
            <w:tcBorders>
              <w:top w:val="single" w:sz="4" w:space="0" w:color="000000"/>
              <w:bottom w:val="single" w:sz="4" w:space="0" w:color="000000"/>
            </w:tcBorders>
          </w:tcPr>
          <w:p>
            <w:pPr>
              <w:pStyle w:val="Normal"/>
              <w:spacing w:lineRule="auto" w:line="240"/>
              <w:jc w:val="left"/>
              <w:rPr>
                <w:sz w:val="20"/>
                <w:szCs w:val="20"/>
                <w:lang w:eastAsia="ru-RU"/>
              </w:rPr>
            </w:pPr>
            <w:r>
              <w:rPr>
                <w:sz w:val="20"/>
                <w:szCs w:val="20"/>
                <w:lang w:eastAsia="ru-RU"/>
              </w:rPr>
              <w:t>74 ОП РЗ 75К-295</w:t>
            </w:r>
          </w:p>
        </w:tc>
        <w:tc>
          <w:tcPr>
            <w:tcW w:w="4233" w:type="dxa"/>
            <w:tcBorders>
              <w:top w:val="single" w:sz="4" w:space="0" w:color="000000"/>
              <w:bottom w:val="single" w:sz="4" w:space="0" w:color="000000"/>
            </w:tcBorders>
          </w:tcPr>
          <w:p>
            <w:pPr>
              <w:pStyle w:val="Normal"/>
              <w:spacing w:lineRule="auto" w:line="240"/>
              <w:jc w:val="left"/>
              <w:rPr>
                <w:sz w:val="20"/>
                <w:szCs w:val="20"/>
              </w:rPr>
            </w:pPr>
            <w:r>
              <w:rPr>
                <w:sz w:val="20"/>
                <w:szCs w:val="20"/>
              </w:rPr>
              <w:t>Катенино – Караоба</w:t>
            </w:r>
          </w:p>
        </w:tc>
        <w:tc>
          <w:tcPr>
            <w:tcW w:w="1459" w:type="dxa"/>
            <w:tcBorders>
              <w:top w:val="single" w:sz="4" w:space="0" w:color="000000"/>
              <w:bottom w:val="single" w:sz="4" w:space="0" w:color="000000"/>
            </w:tcBorders>
          </w:tcPr>
          <w:p>
            <w:pPr>
              <w:pStyle w:val="Normal"/>
              <w:tabs>
                <w:tab w:val="clear" w:pos="708"/>
                <w:tab w:val="left" w:pos="402" w:leader="none"/>
                <w:tab w:val="center" w:pos="530" w:leader="none"/>
              </w:tabs>
              <w:spacing w:lineRule="auto" w:line="240"/>
              <w:jc w:val="center"/>
              <w:rPr>
                <w:sz w:val="20"/>
                <w:szCs w:val="20"/>
              </w:rPr>
            </w:pPr>
            <w:r>
              <w:rPr>
                <w:sz w:val="20"/>
                <w:szCs w:val="20"/>
              </w:rPr>
              <w:t>IV</w:t>
            </w:r>
          </w:p>
        </w:tc>
        <w:tc>
          <w:tcPr>
            <w:tcW w:w="1891" w:type="dxa"/>
            <w:tcBorders>
              <w:top w:val="single" w:sz="4" w:space="0" w:color="000000"/>
              <w:bottom w:val="single" w:sz="4" w:space="0" w:color="000000"/>
              <w:right w:val="single" w:sz="4" w:space="0" w:color="000000"/>
            </w:tcBorders>
          </w:tcPr>
          <w:p>
            <w:pPr>
              <w:pStyle w:val="Normal"/>
              <w:spacing w:lineRule="auto" w:line="240"/>
              <w:jc w:val="center"/>
              <w:rPr>
                <w:color w:val="000000"/>
                <w:sz w:val="20"/>
                <w:szCs w:val="20"/>
                <w:highlight w:val="white"/>
              </w:rPr>
            </w:pPr>
            <w:r>
              <w:rPr>
                <w:color w:val="000000"/>
                <w:sz w:val="20"/>
                <w:szCs w:val="20"/>
                <w:shd w:fill="FFFFFF" w:val="clear"/>
              </w:rPr>
              <w:t>50</w:t>
            </w:r>
          </w:p>
        </w:tc>
      </w:tr>
      <w:tr>
        <w:trPr>
          <w:tblHeader w:val="true"/>
          <w:trHeight w:val="20" w:hRule="atLeast"/>
        </w:trPr>
        <w:tc>
          <w:tcPr>
            <w:tcW w:w="432" w:type="dxa"/>
            <w:tcBorders>
              <w:top w:val="single" w:sz="4" w:space="0" w:color="000000"/>
              <w:left w:val="single" w:sz="4" w:space="0" w:color="000000"/>
              <w:bottom w:val="single" w:sz="4" w:space="0" w:color="000000"/>
            </w:tcBorders>
          </w:tcPr>
          <w:p>
            <w:pPr>
              <w:pStyle w:val="ListParagraph"/>
              <w:numPr>
                <w:ilvl w:val="0"/>
                <w:numId w:val="31"/>
              </w:numPr>
              <w:spacing w:lineRule="auto" w:line="240" w:before="0" w:after="0"/>
              <w:ind w:left="0" w:hanging="0"/>
              <w:jc w:val="center"/>
              <w:rPr>
                <w:rFonts w:ascii="Times New Roman" w:hAnsi="Times New Roman"/>
                <w:sz w:val="20"/>
                <w:szCs w:val="20"/>
              </w:rPr>
            </w:pPr>
            <w:r>
              <w:rPr>
                <w:sz w:val="20"/>
                <w:szCs w:val="20"/>
              </w:rPr>
            </w:r>
          </w:p>
        </w:tc>
        <w:tc>
          <w:tcPr>
            <w:tcW w:w="2190" w:type="dxa"/>
            <w:tcBorders>
              <w:top w:val="single" w:sz="4" w:space="0" w:color="000000"/>
              <w:bottom w:val="single" w:sz="4" w:space="0" w:color="000000"/>
            </w:tcBorders>
          </w:tcPr>
          <w:p>
            <w:pPr>
              <w:pStyle w:val="Normal"/>
              <w:spacing w:lineRule="auto" w:line="240"/>
              <w:jc w:val="left"/>
              <w:rPr>
                <w:sz w:val="20"/>
                <w:szCs w:val="20"/>
                <w:lang w:eastAsia="ru-RU"/>
              </w:rPr>
            </w:pPr>
            <w:r>
              <w:rPr>
                <w:sz w:val="20"/>
                <w:szCs w:val="20"/>
                <w:lang w:eastAsia="ru-RU"/>
              </w:rPr>
              <w:t>74 ОП РЗ 75К-300</w:t>
            </w:r>
          </w:p>
        </w:tc>
        <w:tc>
          <w:tcPr>
            <w:tcW w:w="4233" w:type="dxa"/>
            <w:tcBorders>
              <w:top w:val="single" w:sz="4" w:space="0" w:color="000000"/>
              <w:bottom w:val="single" w:sz="4" w:space="0" w:color="000000"/>
            </w:tcBorders>
          </w:tcPr>
          <w:p>
            <w:pPr>
              <w:pStyle w:val="Normal"/>
              <w:spacing w:lineRule="auto" w:line="240"/>
              <w:jc w:val="left"/>
              <w:rPr>
                <w:sz w:val="20"/>
                <w:szCs w:val="20"/>
              </w:rPr>
            </w:pPr>
            <w:r>
              <w:rPr>
                <w:sz w:val="20"/>
                <w:szCs w:val="20"/>
              </w:rPr>
              <w:t>Новокулевчи–Караоба</w:t>
            </w:r>
          </w:p>
        </w:tc>
        <w:tc>
          <w:tcPr>
            <w:tcW w:w="1459" w:type="dxa"/>
            <w:tcBorders>
              <w:top w:val="single" w:sz="4" w:space="0" w:color="000000"/>
              <w:bottom w:val="single" w:sz="4" w:space="0" w:color="000000"/>
            </w:tcBorders>
          </w:tcPr>
          <w:p>
            <w:pPr>
              <w:pStyle w:val="Normal"/>
              <w:tabs>
                <w:tab w:val="clear" w:pos="708"/>
                <w:tab w:val="left" w:pos="402" w:leader="none"/>
                <w:tab w:val="center" w:pos="530" w:leader="none"/>
              </w:tabs>
              <w:spacing w:lineRule="auto" w:line="240"/>
              <w:jc w:val="center"/>
              <w:rPr>
                <w:sz w:val="20"/>
                <w:szCs w:val="20"/>
              </w:rPr>
            </w:pPr>
            <w:r>
              <w:rPr>
                <w:sz w:val="20"/>
                <w:szCs w:val="20"/>
              </w:rPr>
              <w:t>IV</w:t>
            </w:r>
          </w:p>
        </w:tc>
        <w:tc>
          <w:tcPr>
            <w:tcW w:w="1891" w:type="dxa"/>
            <w:tcBorders>
              <w:top w:val="single" w:sz="4" w:space="0" w:color="000000"/>
              <w:bottom w:val="single" w:sz="4" w:space="0" w:color="000000"/>
              <w:right w:val="single" w:sz="4" w:space="0" w:color="000000"/>
            </w:tcBorders>
          </w:tcPr>
          <w:p>
            <w:pPr>
              <w:pStyle w:val="Normal"/>
              <w:spacing w:lineRule="auto" w:line="240"/>
              <w:jc w:val="center"/>
              <w:rPr>
                <w:color w:val="000000"/>
                <w:sz w:val="20"/>
                <w:szCs w:val="20"/>
                <w:highlight w:val="white"/>
              </w:rPr>
            </w:pPr>
            <w:r>
              <w:rPr>
                <w:color w:val="000000"/>
                <w:sz w:val="20"/>
                <w:szCs w:val="20"/>
                <w:shd w:fill="FFFFFF" w:val="clear"/>
              </w:rPr>
              <w:t>50</w:t>
            </w:r>
          </w:p>
        </w:tc>
      </w:tr>
    </w:tbl>
    <w:p>
      <w:pPr>
        <w:pStyle w:val="Normal"/>
        <w:spacing w:lineRule="auto" w:line="276" w:before="120" w:after="200"/>
        <w:ind w:firstLine="709"/>
        <w:rPr>
          <w:rFonts w:eastAsia="Times New Roman"/>
          <w:szCs w:val="24"/>
          <w:lang w:eastAsia="ru-RU"/>
        </w:rPr>
      </w:pPr>
      <w:r>
        <w:rPr>
          <w:rFonts w:eastAsia="Times New Roman"/>
          <w:szCs w:val="24"/>
          <w:lang w:eastAsia="ru-RU"/>
        </w:rPr>
        <w:t>В соответствии со статьей 26 Федерального закона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w:t>
      </w:r>
    </w:p>
    <w:p>
      <w:pPr>
        <w:pStyle w:val="Normal"/>
        <w:keepNext w:val="true"/>
        <w:numPr>
          <w:ilvl w:val="0"/>
          <w:numId w:val="0"/>
        </w:numPr>
        <w:tabs>
          <w:tab w:val="clear" w:pos="708"/>
          <w:tab w:val="left" w:pos="709" w:leader="none"/>
        </w:tabs>
        <w:spacing w:lineRule="auto" w:line="276" w:before="120" w:after="200"/>
        <w:jc w:val="left"/>
        <w:outlineLvl w:val="2"/>
        <w:rPr>
          <w:rFonts w:eastAsia="Times New Roman"/>
          <w:b/>
          <w:b/>
        </w:rPr>
      </w:pPr>
      <w:bookmarkStart w:id="268" w:name="_Toc129245579"/>
      <w:bookmarkStart w:id="269" w:name="_Toc182210509"/>
      <w:bookmarkStart w:id="270" w:name="_Toc153727254"/>
      <w:bookmarkStart w:id="271" w:name="_Toc153712139"/>
      <w:bookmarkEnd w:id="268"/>
      <w:r>
        <w:rPr>
          <w:rFonts w:eastAsia="Times New Roman"/>
          <w:b/>
        </w:rPr>
        <w:t xml:space="preserve">11.6 </w:t>
      </w:r>
      <w:bookmarkEnd w:id="270"/>
      <w:bookmarkEnd w:id="271"/>
      <w:r>
        <w:rPr>
          <w:rFonts w:eastAsia="Times New Roman"/>
          <w:b/>
          <w:bCs/>
          <w:szCs w:val="24"/>
        </w:rPr>
        <w:t>Охранная зона геодезических пунктов государственной геодезической сети, нивелирных пунктов государственной нивелирной сети и гравиметрических пунктов государственной гравиметрической сети</w:t>
      </w:r>
      <w:bookmarkEnd w:id="269"/>
    </w:p>
    <w:p>
      <w:pPr>
        <w:pStyle w:val="Normal"/>
        <w:tabs>
          <w:tab w:val="clear" w:pos="708"/>
          <w:tab w:val="center" w:pos="142" w:leader="none"/>
        </w:tabs>
        <w:spacing w:lineRule="auto" w:line="276"/>
        <w:ind w:firstLine="709"/>
        <w:rPr>
          <w:rFonts w:eastAsia="Times New Roman"/>
          <w:szCs w:val="24"/>
          <w:lang w:eastAsia="ru-RU"/>
        </w:rPr>
      </w:pPr>
      <w:r>
        <w:rPr>
          <w:rFonts w:eastAsia="Times New Roman"/>
          <w:szCs w:val="24"/>
          <w:lang w:eastAsia="ru-RU"/>
        </w:rPr>
        <w:t xml:space="preserve">В соответствии с постановлением Правительства Российской Федерации от 21.08.2019 </w:t>
        <w:br/>
        <w:t>№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 охранные зоны пунктов устанавливаются для всех пунктов.</w:t>
      </w:r>
    </w:p>
    <w:p>
      <w:pPr>
        <w:pStyle w:val="Normal"/>
        <w:tabs>
          <w:tab w:val="clear" w:pos="708"/>
          <w:tab w:val="center" w:pos="142" w:leader="none"/>
        </w:tabs>
        <w:spacing w:lineRule="auto" w:line="276"/>
        <w:ind w:firstLine="709"/>
        <w:rPr>
          <w:rFonts w:eastAsia="Times New Roman"/>
          <w:szCs w:val="24"/>
          <w:lang w:eastAsia="ru-RU"/>
        </w:rPr>
      </w:pPr>
      <w:r>
        <w:rPr>
          <w:rFonts w:eastAsia="Times New Roman"/>
          <w:szCs w:val="24"/>
          <w:lang w:eastAsia="ru-RU"/>
        </w:rPr>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pPr>
        <w:pStyle w:val="Normal"/>
        <w:tabs>
          <w:tab w:val="clear" w:pos="708"/>
          <w:tab w:val="center" w:pos="142" w:leader="none"/>
        </w:tabs>
        <w:spacing w:lineRule="auto" w:line="276"/>
        <w:ind w:firstLine="709"/>
        <w:rPr>
          <w:rFonts w:eastAsia="Times New Roman"/>
          <w:szCs w:val="24"/>
          <w:lang w:eastAsia="ru-RU"/>
        </w:rPr>
      </w:pPr>
      <w:r>
        <w:rPr>
          <w:rFonts w:eastAsia="Times New Roman"/>
          <w:szCs w:val="24"/>
          <w:lang w:eastAsia="ru-RU"/>
        </w:rPr>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pPr>
        <w:pStyle w:val="Normal"/>
        <w:tabs>
          <w:tab w:val="clear" w:pos="708"/>
          <w:tab w:val="center" w:pos="142" w:leader="none"/>
        </w:tabs>
        <w:spacing w:lineRule="auto" w:line="276"/>
        <w:ind w:firstLine="709"/>
        <w:rPr>
          <w:rFonts w:eastAsia="Times New Roman"/>
          <w:szCs w:val="24"/>
          <w:lang w:eastAsia="ru-RU"/>
        </w:rPr>
      </w:pPr>
      <w:r>
        <w:rPr>
          <w:rFonts w:eastAsia="Times New Roman"/>
          <w:szCs w:val="24"/>
          <w:lang w:eastAsia="ru-RU"/>
        </w:rPr>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pPr>
        <w:pStyle w:val="Normal"/>
        <w:keepNext w:val="true"/>
        <w:tabs>
          <w:tab w:val="clear" w:pos="708"/>
          <w:tab w:val="left" w:pos="709" w:leader="none"/>
        </w:tabs>
        <w:spacing w:lineRule="auto" w:line="276"/>
        <w:rPr>
          <w:rFonts w:eastAsia="Times New Roman"/>
          <w:b/>
          <w:b/>
          <w:iCs/>
          <w:szCs w:val="24"/>
        </w:rPr>
      </w:pPr>
      <w:r>
        <w:rPr>
          <w:rFonts w:eastAsia="Times New Roman"/>
          <w:szCs w:val="24"/>
          <w:lang w:eastAsia="ru-RU"/>
        </w:rPr>
        <w:tab/>
        <w:t>Отдельные ограничения использования земельных участков при установлении охранных зон пунктов, в зависимости от характеристик пунктов или их территориального расположения, не устанавливаются</w:t>
      </w:r>
      <w:r>
        <w:rPr>
          <w:rFonts w:eastAsia="Times New Roman"/>
          <w:b/>
          <w:iCs/>
          <w:szCs w:val="24"/>
        </w:rPr>
        <w:t xml:space="preserve"> </w:t>
      </w:r>
    </w:p>
    <w:p>
      <w:pPr>
        <w:pStyle w:val="Normal"/>
        <w:keepNext w:val="true"/>
        <w:numPr>
          <w:ilvl w:val="0"/>
          <w:numId w:val="0"/>
        </w:numPr>
        <w:tabs>
          <w:tab w:val="clear" w:pos="708"/>
          <w:tab w:val="left" w:pos="709" w:leader="none"/>
        </w:tabs>
        <w:spacing w:lineRule="auto" w:line="276" w:before="120" w:after="200"/>
        <w:jc w:val="left"/>
        <w:outlineLvl w:val="2"/>
        <w:rPr>
          <w:rFonts w:eastAsia="Tahoma"/>
          <w:b/>
          <w:b/>
          <w:szCs w:val="24"/>
        </w:rPr>
      </w:pPr>
      <w:bookmarkStart w:id="272" w:name="_Toc129245579"/>
      <w:bookmarkStart w:id="273" w:name="_Toc182210510"/>
      <w:bookmarkEnd w:id="272"/>
      <w:r>
        <w:rPr>
          <w:rFonts w:eastAsia="Tahoma"/>
          <w:b/>
          <w:szCs w:val="24"/>
        </w:rPr>
        <w:t xml:space="preserve">11.6 </w:t>
      </w:r>
      <w:r>
        <w:rPr>
          <w:rFonts w:eastAsia="Times New Roman"/>
          <w:b/>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bookmarkEnd w:id="267"/>
      <w:bookmarkEnd w:id="273"/>
    </w:p>
    <w:p>
      <w:pPr>
        <w:pStyle w:val="Normal"/>
        <w:spacing w:lineRule="auto" w:line="276"/>
        <w:ind w:firstLine="709"/>
        <w:rPr>
          <w:color w:val="000000"/>
          <w:szCs w:val="24"/>
        </w:rPr>
      </w:pPr>
      <w:r>
        <w:rPr>
          <w:color w:val="000000"/>
          <w:szCs w:val="24"/>
        </w:rPr>
        <w:t xml:space="preserve">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принимаются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w:t>
      </w:r>
      <w:hyperlink r:id="rId137">
        <w:r>
          <w:rPr>
            <w:color w:val="000000"/>
            <w:szCs w:val="24"/>
          </w:rPr>
          <w:t>таблице 4</w:t>
        </w:r>
      </w:hyperlink>
      <w:r>
        <w:rPr>
          <w:color w:val="000000"/>
          <w:szCs w:val="24"/>
        </w:rPr>
        <w:t xml:space="preserve"> СП 36.13330.2012 «Свод правил. Магистральные трубопроводы. Актуализированная редакция СНиП 2.05.06-85». </w:t>
      </w:r>
    </w:p>
    <w:p>
      <w:pPr>
        <w:pStyle w:val="Normal"/>
        <w:spacing w:lineRule="auto" w:line="276"/>
        <w:ind w:firstLine="709"/>
        <w:rPr>
          <w:color w:val="000000"/>
          <w:szCs w:val="24"/>
        </w:rPr>
      </w:pPr>
      <w:r>
        <w:rPr>
          <w:color w:val="000000"/>
          <w:szCs w:val="24"/>
        </w:rPr>
        <w:t>В таблице 3.11.8 представлен перечень зон минимальных расстояний, сведения о которых внесены в ЕГРН.</w:t>
      </w:r>
    </w:p>
    <w:p>
      <w:pPr>
        <w:pStyle w:val="Normal"/>
        <w:spacing w:lineRule="auto" w:line="276"/>
        <w:ind w:firstLine="709"/>
        <w:jc w:val="right"/>
        <w:rPr>
          <w:szCs w:val="24"/>
        </w:rPr>
      </w:pPr>
      <w:r>
        <w:rPr>
          <w:szCs w:val="24"/>
        </w:rPr>
        <w:t>Таблица 3.11.8</w:t>
      </w:r>
    </w:p>
    <w:p>
      <w:pPr>
        <w:pStyle w:val="Normal"/>
        <w:spacing w:lineRule="auto" w:line="276"/>
        <w:jc w:val="center"/>
        <w:rPr>
          <w:szCs w:val="24"/>
        </w:rPr>
      </w:pPr>
      <w:r>
        <w:rPr>
          <w:szCs w:val="24"/>
        </w:rPr>
        <w:t>Зона минимальных расстояний</w:t>
      </w:r>
    </w:p>
    <w:tbl>
      <w:tblPr>
        <w:tblW w:w="5000" w:type="pct"/>
        <w:jc w:val="center"/>
        <w:tblInd w:w="0" w:type="dxa"/>
        <w:tblCellMar>
          <w:top w:w="0" w:type="dxa"/>
          <w:left w:w="108" w:type="dxa"/>
          <w:bottom w:w="0" w:type="dxa"/>
          <w:right w:w="108" w:type="dxa"/>
        </w:tblCellMar>
        <w:tblLook w:firstRow="1" w:noVBand="1" w:lastRow="0" w:firstColumn="1" w:lastColumn="0" w:noHBand="0" w:val="04a0"/>
      </w:tblPr>
      <w:tblGrid>
        <w:gridCol w:w="477"/>
        <w:gridCol w:w="45"/>
        <w:gridCol w:w="6399"/>
        <w:gridCol w:w="79"/>
        <w:gridCol w:w="3205"/>
      </w:tblGrid>
      <w:tr>
        <w:trPr>
          <w:tblHeader w:val="true"/>
          <w:trHeight w:val="141" w:hRule="atLeast"/>
        </w:trPr>
        <w:tc>
          <w:tcPr>
            <w:tcW w:w="477"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w:t>
            </w:r>
          </w:p>
        </w:tc>
        <w:tc>
          <w:tcPr>
            <w:tcW w:w="6523" w:type="dxa"/>
            <w:gridSpan w:val="3"/>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Наименование магистрального трубопровода, КС, ГРС, НПС</w:t>
            </w:r>
          </w:p>
        </w:tc>
        <w:tc>
          <w:tcPr>
            <w:tcW w:w="32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Зона минимальных расстояний</w:t>
            </w:r>
          </w:p>
        </w:tc>
      </w:tr>
      <w:tr>
        <w:trPr>
          <w:tblHeader w:val="true"/>
        </w:trPr>
        <w:tc>
          <w:tcPr>
            <w:tcW w:w="522"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1</w:t>
            </w:r>
          </w:p>
        </w:tc>
        <w:tc>
          <w:tcPr>
            <w:tcW w:w="639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2</w:t>
            </w:r>
          </w:p>
        </w:tc>
        <w:tc>
          <w:tcPr>
            <w:tcW w:w="3284"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3</w:t>
            </w:r>
          </w:p>
        </w:tc>
      </w:tr>
      <w:tr>
        <w:trPr>
          <w:trHeight w:val="70" w:hRule="atLeast"/>
        </w:trPr>
        <w:tc>
          <w:tcPr>
            <w:tcW w:w="522"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1</w:t>
            </w:r>
          </w:p>
        </w:tc>
        <w:tc>
          <w:tcPr>
            <w:tcW w:w="639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rFonts w:eastAsia="Times New Roman"/>
                <w:sz w:val="20"/>
                <w:szCs w:val="20"/>
                <w:lang w:eastAsia="ru-RU"/>
              </w:rPr>
              <w:t>Зона минимальных расстояний газопровода-отвода к ГРС с. Варна и ГРС с. Варна</w:t>
            </w:r>
          </w:p>
        </w:tc>
        <w:tc>
          <w:tcPr>
            <w:tcW w:w="3284"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rFonts w:eastAsia="Times New Roman"/>
                <w:sz w:val="20"/>
                <w:szCs w:val="20"/>
                <w:lang w:eastAsia="ru-RU"/>
              </w:rPr>
              <w:t xml:space="preserve">В соответствии с ЕГРН ЗОУИТ </w:t>
            </w:r>
          </w:p>
          <w:p>
            <w:pPr>
              <w:pStyle w:val="Normal"/>
              <w:spacing w:lineRule="auto" w:line="240"/>
              <w:jc w:val="left"/>
              <w:rPr>
                <w:rFonts w:eastAsia="Times New Roman"/>
                <w:sz w:val="20"/>
                <w:szCs w:val="20"/>
                <w:lang w:eastAsia="ru-RU"/>
              </w:rPr>
            </w:pPr>
            <w:r>
              <w:rPr>
                <w:rFonts w:eastAsia="Times New Roman"/>
                <w:sz w:val="20"/>
                <w:szCs w:val="20"/>
                <w:lang w:eastAsia="ru-RU"/>
              </w:rPr>
              <w:t>74:05-6.34</w:t>
            </w:r>
          </w:p>
        </w:tc>
      </w:tr>
      <w:tr>
        <w:trPr>
          <w:trHeight w:val="70" w:hRule="atLeast"/>
        </w:trPr>
        <w:tc>
          <w:tcPr>
            <w:tcW w:w="522" w:type="dxa"/>
            <w:gridSpan w:val="2"/>
            <w:tcBorders>
              <w:top w:val="single" w:sz="4" w:space="0" w:color="000000"/>
              <w:left w:val="single" w:sz="4" w:space="0" w:color="000000"/>
              <w:right w:val="single" w:sz="4" w:space="0" w:color="000000"/>
            </w:tcBorders>
            <w:shd w:color="auto" w:fill="auto" w:val="clear"/>
          </w:tcPr>
          <w:p>
            <w:pPr>
              <w:pStyle w:val="Normal"/>
              <w:spacing w:lineRule="auto" w:line="240"/>
              <w:jc w:val="center"/>
              <w:rPr>
                <w:b/>
                <w:b/>
                <w:sz w:val="20"/>
                <w:szCs w:val="20"/>
              </w:rPr>
            </w:pPr>
            <w:r>
              <w:rPr>
                <w:b/>
                <w:sz w:val="20"/>
                <w:szCs w:val="20"/>
              </w:rPr>
              <w:t>2</w:t>
            </w:r>
          </w:p>
        </w:tc>
        <w:tc>
          <w:tcPr>
            <w:tcW w:w="6399" w:type="dxa"/>
            <w:tcBorders>
              <w:top w:val="single" w:sz="4" w:space="0" w:color="000000"/>
              <w:left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rFonts w:eastAsia="Times New Roman"/>
                <w:sz w:val="20"/>
                <w:szCs w:val="20"/>
                <w:lang w:eastAsia="ru-RU"/>
              </w:rPr>
              <w:t>Зона минимальных расстояний магистральных газопроводов Бухара-Урал 1 нитка, Бухара-Урал 2 нитка, Бухара-Урал 3 нитка</w:t>
            </w:r>
          </w:p>
        </w:tc>
        <w:tc>
          <w:tcPr>
            <w:tcW w:w="3284" w:type="dxa"/>
            <w:gridSpan w:val="2"/>
            <w:tcBorders>
              <w:top w:val="single" w:sz="4" w:space="0" w:color="000000"/>
              <w:left w:val="single" w:sz="4" w:space="0" w:color="000000"/>
              <w:right w:val="single" w:sz="4" w:space="0" w:color="000000"/>
            </w:tcBorders>
            <w:shd w:color="auto" w:fill="auto" w:val="clear"/>
          </w:tcPr>
          <w:p>
            <w:pPr>
              <w:pStyle w:val="Normal"/>
              <w:spacing w:lineRule="auto" w:line="240"/>
              <w:jc w:val="left"/>
              <w:rPr>
                <w:rFonts w:eastAsia="Times New Roman"/>
                <w:sz w:val="20"/>
                <w:szCs w:val="20"/>
                <w:lang w:eastAsia="ru-RU"/>
              </w:rPr>
            </w:pPr>
            <w:r>
              <w:rPr>
                <w:rFonts w:eastAsia="Times New Roman"/>
                <w:sz w:val="20"/>
                <w:szCs w:val="20"/>
                <w:lang w:eastAsia="ru-RU"/>
              </w:rPr>
              <w:t>В соответствии с ЕГРН ЗОУИТ 74:00-6.198</w:t>
            </w:r>
          </w:p>
        </w:tc>
      </w:tr>
    </w:tbl>
    <w:p>
      <w:pPr>
        <w:pStyle w:val="Normal"/>
        <w:spacing w:lineRule="auto" w:line="276" w:before="120" w:after="120"/>
        <w:ind w:firstLine="709"/>
        <w:rPr>
          <w:rFonts w:eastAsia="Times New Roman"/>
          <w:szCs w:val="24"/>
          <w:lang w:eastAsia="ru-RU"/>
        </w:rPr>
      </w:pPr>
      <w:r>
        <w:rPr>
          <w:szCs w:val="24"/>
        </w:rPr>
        <w:t xml:space="preserve">Режим использования территорий в границах </w:t>
      </w:r>
      <w:r>
        <w:rPr>
          <w:rFonts w:eastAsia="Times New Roman"/>
          <w:szCs w:val="24"/>
          <w:lang w:eastAsia="ru-RU"/>
        </w:rPr>
        <w:t xml:space="preserve">минимального расстояния от оси магистральных трубопроводов </w:t>
      </w:r>
      <w:r>
        <w:rPr>
          <w:szCs w:val="24"/>
        </w:rPr>
        <w:t>представлен в таблице 3.11.9.</w:t>
      </w:r>
    </w:p>
    <w:p>
      <w:pPr>
        <w:pStyle w:val="Normal"/>
        <w:spacing w:lineRule="auto" w:line="276"/>
        <w:ind w:firstLine="709"/>
        <w:jc w:val="right"/>
        <w:rPr>
          <w:szCs w:val="24"/>
        </w:rPr>
      </w:pPr>
      <w:r>
        <w:rPr>
          <w:szCs w:val="24"/>
        </w:rPr>
        <w:t>Таблица 3.11.9</w:t>
      </w:r>
    </w:p>
    <w:p>
      <w:pPr>
        <w:pStyle w:val="Normal"/>
        <w:spacing w:lineRule="auto" w:line="276"/>
        <w:jc w:val="center"/>
        <w:rPr>
          <w:szCs w:val="24"/>
        </w:rPr>
      </w:pPr>
      <w:r>
        <w:rPr>
          <w:szCs w:val="24"/>
        </w:rPr>
        <w:t>Режим использования территорий в границах минимального расстояния от оси магистральных трубопроводов</w:t>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2310"/>
        <w:gridCol w:w="6029"/>
        <w:gridCol w:w="1866"/>
      </w:tblGrid>
      <w:tr>
        <w:trPr>
          <w:tblHeader w:val="true"/>
          <w:trHeight w:val="120" w:hRule="atLeast"/>
        </w:trPr>
        <w:tc>
          <w:tcPr>
            <w:tcW w:w="2310"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Название зоны</w:t>
            </w:r>
          </w:p>
        </w:tc>
        <w:tc>
          <w:tcPr>
            <w:tcW w:w="6029"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Режим использования</w:t>
            </w:r>
          </w:p>
        </w:tc>
        <w:tc>
          <w:tcPr>
            <w:tcW w:w="1866"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Нормативные документы</w:t>
            </w:r>
          </w:p>
        </w:tc>
      </w:tr>
      <w:tr>
        <w:trPr>
          <w:tblHeader w:val="true"/>
        </w:trPr>
        <w:tc>
          <w:tcPr>
            <w:tcW w:w="231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1</w:t>
            </w:r>
          </w:p>
        </w:tc>
        <w:tc>
          <w:tcPr>
            <w:tcW w:w="602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2</w:t>
            </w:r>
          </w:p>
        </w:tc>
        <w:tc>
          <w:tcPr>
            <w:tcW w:w="186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3</w:t>
            </w:r>
          </w:p>
        </w:tc>
      </w:tr>
      <w:tr>
        <w:trPr/>
        <w:tc>
          <w:tcPr>
            <w:tcW w:w="2310" w:type="dxa"/>
            <w:tcBorders>
              <w:top w:val="single" w:sz="4" w:space="0" w:color="000000"/>
              <w:left w:val="single" w:sz="4" w:space="0" w:color="000000"/>
              <w:right w:val="single" w:sz="4" w:space="0" w:color="000000"/>
            </w:tcBorders>
          </w:tcPr>
          <w:p>
            <w:pPr>
              <w:pStyle w:val="Normal"/>
              <w:spacing w:lineRule="auto" w:line="240"/>
              <w:jc w:val="left"/>
              <w:rPr>
                <w:sz w:val="20"/>
                <w:szCs w:val="20"/>
              </w:rPr>
            </w:pPr>
            <w:r>
              <w:rPr>
                <w:sz w:val="20"/>
                <w:szCs w:val="20"/>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p>
        </w:tc>
        <w:tc>
          <w:tcPr>
            <w:tcW w:w="6029" w:type="dxa"/>
            <w:tcBorders>
              <w:top w:val="single" w:sz="4" w:space="0" w:color="000000"/>
              <w:left w:val="single" w:sz="4" w:space="0" w:color="000000"/>
              <w:right w:val="single" w:sz="4" w:space="0" w:color="000000"/>
            </w:tcBorders>
          </w:tcPr>
          <w:p>
            <w:pPr>
              <w:pStyle w:val="Normal"/>
              <w:spacing w:lineRule="auto" w:line="240"/>
              <w:rPr>
                <w:sz w:val="20"/>
                <w:szCs w:val="20"/>
              </w:rPr>
            </w:pPr>
            <w:r>
              <w:rPr>
                <w:sz w:val="20"/>
                <w:szCs w:val="20"/>
              </w:rPr>
              <w:t>Не допускается размещение:</w:t>
            </w:r>
          </w:p>
          <w:p>
            <w:pPr>
              <w:pStyle w:val="Normal"/>
              <w:numPr>
                <w:ilvl w:val="0"/>
                <w:numId w:val="27"/>
              </w:numPr>
              <w:tabs>
                <w:tab w:val="clear" w:pos="708"/>
                <w:tab w:val="left" w:pos="197" w:leader="none"/>
              </w:tabs>
              <w:spacing w:lineRule="auto" w:line="240"/>
              <w:ind w:left="136" w:hanging="136"/>
              <w:jc w:val="left"/>
              <w:rPr>
                <w:sz w:val="20"/>
                <w:szCs w:val="20"/>
              </w:rPr>
            </w:pPr>
            <w:r>
              <w:rPr>
                <w:sz w:val="20"/>
                <w:szCs w:val="20"/>
              </w:rPr>
              <w:t>городов и других населенных пунктов;</w:t>
            </w:r>
          </w:p>
          <w:p>
            <w:pPr>
              <w:pStyle w:val="Normal"/>
              <w:numPr>
                <w:ilvl w:val="0"/>
                <w:numId w:val="27"/>
              </w:numPr>
              <w:tabs>
                <w:tab w:val="clear" w:pos="708"/>
                <w:tab w:val="left" w:pos="197" w:leader="none"/>
              </w:tabs>
              <w:spacing w:lineRule="auto" w:line="240"/>
              <w:ind w:left="136" w:hanging="136"/>
              <w:jc w:val="left"/>
              <w:rPr>
                <w:sz w:val="20"/>
                <w:szCs w:val="20"/>
              </w:rPr>
            </w:pPr>
            <w:r>
              <w:rPr>
                <w:sz w:val="20"/>
                <w:szCs w:val="20"/>
              </w:rPr>
              <w:t>коллективных садов с садовыми домиками, дачных поселков;</w:t>
            </w:r>
          </w:p>
          <w:p>
            <w:pPr>
              <w:pStyle w:val="Normal"/>
              <w:numPr>
                <w:ilvl w:val="0"/>
                <w:numId w:val="27"/>
              </w:numPr>
              <w:tabs>
                <w:tab w:val="clear" w:pos="708"/>
                <w:tab w:val="left" w:pos="197" w:leader="none"/>
              </w:tabs>
              <w:spacing w:lineRule="auto" w:line="240"/>
              <w:ind w:left="136" w:hanging="136"/>
              <w:jc w:val="left"/>
              <w:rPr>
                <w:sz w:val="20"/>
                <w:szCs w:val="20"/>
              </w:rPr>
            </w:pPr>
            <w:r>
              <w:rPr>
                <w:sz w:val="20"/>
                <w:szCs w:val="20"/>
              </w:rPr>
              <w:t xml:space="preserve">отдельных промышленных и сельскохозяйственных предприятий; </w:t>
            </w:r>
          </w:p>
          <w:p>
            <w:pPr>
              <w:pStyle w:val="Normal"/>
              <w:numPr>
                <w:ilvl w:val="0"/>
                <w:numId w:val="27"/>
              </w:numPr>
              <w:tabs>
                <w:tab w:val="clear" w:pos="708"/>
                <w:tab w:val="left" w:pos="197" w:leader="none"/>
              </w:tabs>
              <w:spacing w:lineRule="auto" w:line="240"/>
              <w:ind w:left="136" w:hanging="136"/>
              <w:jc w:val="left"/>
              <w:rPr>
                <w:sz w:val="20"/>
                <w:szCs w:val="20"/>
              </w:rPr>
            </w:pPr>
            <w:r>
              <w:rPr>
                <w:sz w:val="20"/>
                <w:szCs w:val="20"/>
              </w:rPr>
              <w:t xml:space="preserve">тепличных комбинатов и хозяйств; </w:t>
            </w:r>
          </w:p>
          <w:p>
            <w:pPr>
              <w:pStyle w:val="Normal"/>
              <w:numPr>
                <w:ilvl w:val="0"/>
                <w:numId w:val="27"/>
              </w:numPr>
              <w:tabs>
                <w:tab w:val="clear" w:pos="708"/>
                <w:tab w:val="left" w:pos="197" w:leader="none"/>
              </w:tabs>
              <w:spacing w:lineRule="auto" w:line="240"/>
              <w:ind w:left="136" w:hanging="136"/>
              <w:jc w:val="left"/>
              <w:rPr>
                <w:sz w:val="20"/>
                <w:szCs w:val="20"/>
              </w:rPr>
            </w:pPr>
            <w:r>
              <w:rPr>
                <w:sz w:val="20"/>
                <w:szCs w:val="20"/>
              </w:rPr>
              <w:t xml:space="preserve">птицефабрик; </w:t>
            </w:r>
          </w:p>
          <w:p>
            <w:pPr>
              <w:pStyle w:val="Normal"/>
              <w:numPr>
                <w:ilvl w:val="0"/>
                <w:numId w:val="27"/>
              </w:numPr>
              <w:tabs>
                <w:tab w:val="clear" w:pos="708"/>
                <w:tab w:val="left" w:pos="197" w:leader="none"/>
              </w:tabs>
              <w:spacing w:lineRule="auto" w:line="240"/>
              <w:ind w:left="136" w:hanging="136"/>
              <w:jc w:val="left"/>
              <w:rPr>
                <w:sz w:val="20"/>
                <w:szCs w:val="20"/>
              </w:rPr>
            </w:pPr>
            <w:r>
              <w:rPr>
                <w:sz w:val="20"/>
                <w:szCs w:val="20"/>
              </w:rPr>
              <w:t xml:space="preserve">молокозаводов; </w:t>
            </w:r>
          </w:p>
          <w:p>
            <w:pPr>
              <w:pStyle w:val="Normal"/>
              <w:numPr>
                <w:ilvl w:val="0"/>
                <w:numId w:val="27"/>
              </w:numPr>
              <w:tabs>
                <w:tab w:val="clear" w:pos="708"/>
                <w:tab w:val="left" w:pos="197" w:leader="none"/>
              </w:tabs>
              <w:spacing w:lineRule="auto" w:line="240"/>
              <w:ind w:left="136" w:hanging="136"/>
              <w:jc w:val="left"/>
              <w:rPr>
                <w:sz w:val="20"/>
                <w:szCs w:val="20"/>
              </w:rPr>
            </w:pPr>
            <w:r>
              <w:rPr>
                <w:sz w:val="20"/>
                <w:szCs w:val="20"/>
              </w:rPr>
              <w:t xml:space="preserve">карьеров разработки полезных ископаемых; </w:t>
            </w:r>
          </w:p>
          <w:p>
            <w:pPr>
              <w:pStyle w:val="Normal"/>
              <w:numPr>
                <w:ilvl w:val="0"/>
                <w:numId w:val="27"/>
              </w:numPr>
              <w:tabs>
                <w:tab w:val="clear" w:pos="708"/>
                <w:tab w:val="left" w:pos="197" w:leader="none"/>
              </w:tabs>
              <w:spacing w:lineRule="auto" w:line="240"/>
              <w:ind w:left="136" w:hanging="136"/>
              <w:jc w:val="left"/>
              <w:rPr>
                <w:sz w:val="20"/>
                <w:szCs w:val="20"/>
              </w:rPr>
            </w:pPr>
            <w:r>
              <w:rPr>
                <w:sz w:val="20"/>
                <w:szCs w:val="20"/>
              </w:rPr>
              <w:t xml:space="preserve">гаражей и открытых стоянок для автомобилей индивидуальных владельцев на количество автомобилей более 20; </w:t>
            </w:r>
          </w:p>
          <w:p>
            <w:pPr>
              <w:pStyle w:val="Normal"/>
              <w:numPr>
                <w:ilvl w:val="0"/>
                <w:numId w:val="27"/>
              </w:numPr>
              <w:tabs>
                <w:tab w:val="clear" w:pos="708"/>
                <w:tab w:val="left" w:pos="197" w:leader="none"/>
              </w:tabs>
              <w:spacing w:lineRule="auto" w:line="240"/>
              <w:ind w:left="136" w:hanging="136"/>
              <w:jc w:val="left"/>
              <w:rPr>
                <w:sz w:val="20"/>
                <w:szCs w:val="20"/>
              </w:rPr>
            </w:pPr>
            <w:r>
              <w:rPr>
                <w:sz w:val="20"/>
                <w:szCs w:val="20"/>
              </w:rPr>
              <w:t xml:space="preserve">отдельно стоящих зданий с массовым скоплением людей (школы, больницы, клубы, детские сады и ясли, вокзалы и так далее); </w:t>
            </w:r>
          </w:p>
          <w:p>
            <w:pPr>
              <w:pStyle w:val="Normal"/>
              <w:numPr>
                <w:ilvl w:val="0"/>
                <w:numId w:val="27"/>
              </w:numPr>
              <w:tabs>
                <w:tab w:val="clear" w:pos="708"/>
                <w:tab w:val="left" w:pos="197" w:leader="none"/>
              </w:tabs>
              <w:spacing w:lineRule="auto" w:line="240"/>
              <w:ind w:left="136" w:hanging="136"/>
              <w:jc w:val="left"/>
              <w:rPr>
                <w:sz w:val="20"/>
                <w:szCs w:val="20"/>
              </w:rPr>
            </w:pPr>
            <w:r>
              <w:rPr>
                <w:sz w:val="20"/>
                <w:szCs w:val="20"/>
              </w:rPr>
              <w:t xml:space="preserve">жилых зданий 3-этажных и выше; </w:t>
            </w:r>
          </w:p>
          <w:p>
            <w:pPr>
              <w:pStyle w:val="Normal"/>
              <w:numPr>
                <w:ilvl w:val="0"/>
                <w:numId w:val="27"/>
              </w:numPr>
              <w:tabs>
                <w:tab w:val="clear" w:pos="708"/>
                <w:tab w:val="left" w:pos="197" w:leader="none"/>
              </w:tabs>
              <w:spacing w:lineRule="auto" w:line="240"/>
              <w:ind w:left="136" w:hanging="136"/>
              <w:jc w:val="left"/>
              <w:rPr>
                <w:sz w:val="20"/>
                <w:szCs w:val="20"/>
              </w:rPr>
            </w:pPr>
            <w:r>
              <w:rPr>
                <w:sz w:val="20"/>
                <w:szCs w:val="20"/>
              </w:rPr>
              <w:t xml:space="preserve">железнодорожных станций; </w:t>
            </w:r>
          </w:p>
          <w:p>
            <w:pPr>
              <w:pStyle w:val="Normal"/>
              <w:numPr>
                <w:ilvl w:val="0"/>
                <w:numId w:val="27"/>
              </w:numPr>
              <w:tabs>
                <w:tab w:val="clear" w:pos="708"/>
                <w:tab w:val="left" w:pos="197" w:leader="none"/>
              </w:tabs>
              <w:spacing w:lineRule="auto" w:line="240"/>
              <w:ind w:left="136" w:hanging="136"/>
              <w:jc w:val="left"/>
              <w:rPr>
                <w:sz w:val="20"/>
                <w:szCs w:val="20"/>
              </w:rPr>
            </w:pPr>
            <w:r>
              <w:rPr>
                <w:sz w:val="20"/>
                <w:szCs w:val="20"/>
              </w:rPr>
              <w:t xml:space="preserve">аэропортов; </w:t>
            </w:r>
          </w:p>
          <w:p>
            <w:pPr>
              <w:pStyle w:val="Normal"/>
              <w:numPr>
                <w:ilvl w:val="0"/>
                <w:numId w:val="27"/>
              </w:numPr>
              <w:tabs>
                <w:tab w:val="clear" w:pos="708"/>
                <w:tab w:val="left" w:pos="197" w:leader="none"/>
              </w:tabs>
              <w:spacing w:lineRule="auto" w:line="240"/>
              <w:ind w:left="136" w:hanging="136"/>
              <w:jc w:val="left"/>
              <w:rPr>
                <w:sz w:val="20"/>
                <w:szCs w:val="20"/>
              </w:rPr>
            </w:pPr>
            <w:r>
              <w:rPr>
                <w:sz w:val="20"/>
                <w:szCs w:val="20"/>
              </w:rPr>
              <w:t xml:space="preserve">морских и речных портов и пристаней; </w:t>
            </w:r>
          </w:p>
          <w:p>
            <w:pPr>
              <w:pStyle w:val="Normal"/>
              <w:numPr>
                <w:ilvl w:val="0"/>
                <w:numId w:val="27"/>
              </w:numPr>
              <w:tabs>
                <w:tab w:val="clear" w:pos="708"/>
                <w:tab w:val="left" w:pos="197" w:leader="none"/>
              </w:tabs>
              <w:spacing w:lineRule="auto" w:line="240"/>
              <w:ind w:left="136" w:hanging="136"/>
              <w:jc w:val="left"/>
              <w:rPr>
                <w:sz w:val="20"/>
                <w:szCs w:val="20"/>
              </w:rPr>
            </w:pPr>
            <w:r>
              <w:rPr>
                <w:sz w:val="20"/>
                <w:szCs w:val="20"/>
              </w:rPr>
              <w:t xml:space="preserve">гидроэлектростанций; </w:t>
            </w:r>
          </w:p>
          <w:p>
            <w:pPr>
              <w:pStyle w:val="Normal"/>
              <w:numPr>
                <w:ilvl w:val="0"/>
                <w:numId w:val="27"/>
              </w:numPr>
              <w:tabs>
                <w:tab w:val="clear" w:pos="708"/>
                <w:tab w:val="left" w:pos="197" w:leader="none"/>
              </w:tabs>
              <w:spacing w:lineRule="auto" w:line="240"/>
              <w:ind w:left="136" w:hanging="136"/>
              <w:jc w:val="left"/>
              <w:rPr>
                <w:sz w:val="20"/>
                <w:szCs w:val="20"/>
              </w:rPr>
            </w:pPr>
            <w:r>
              <w:rPr>
                <w:sz w:val="20"/>
                <w:szCs w:val="20"/>
              </w:rPr>
              <w:t>гидротехнических сооружений морского и речного транспорта;</w:t>
            </w:r>
          </w:p>
          <w:p>
            <w:pPr>
              <w:pStyle w:val="Normal"/>
              <w:numPr>
                <w:ilvl w:val="0"/>
                <w:numId w:val="27"/>
              </w:numPr>
              <w:tabs>
                <w:tab w:val="clear" w:pos="708"/>
                <w:tab w:val="left" w:pos="197" w:leader="none"/>
              </w:tabs>
              <w:spacing w:lineRule="auto" w:line="240"/>
              <w:ind w:left="136" w:hanging="136"/>
              <w:jc w:val="left"/>
              <w:rPr>
                <w:sz w:val="20"/>
                <w:szCs w:val="20"/>
              </w:rPr>
            </w:pPr>
            <w:r>
              <w:rPr>
                <w:sz w:val="20"/>
                <w:szCs w:val="20"/>
              </w:rPr>
              <w:t>очистных сооружений и насосных станций водопроводных, не относящихся к магистральному трубопроводу;</w:t>
            </w:r>
          </w:p>
          <w:p>
            <w:pPr>
              <w:pStyle w:val="Normal"/>
              <w:numPr>
                <w:ilvl w:val="0"/>
                <w:numId w:val="27"/>
              </w:numPr>
              <w:tabs>
                <w:tab w:val="clear" w:pos="708"/>
                <w:tab w:val="left" w:pos="197" w:leader="none"/>
              </w:tabs>
              <w:spacing w:lineRule="auto" w:line="240"/>
              <w:ind w:left="136" w:hanging="136"/>
              <w:jc w:val="left"/>
              <w:rPr>
                <w:sz w:val="20"/>
                <w:szCs w:val="20"/>
              </w:rPr>
            </w:pPr>
            <w:r>
              <w:rPr>
                <w:sz w:val="20"/>
                <w:szCs w:val="20"/>
              </w:rPr>
              <w:t>мостов железных дорог общей сети и автомобильных дорог категорий I и II с пролетом свыше 20 м (при прокладке нефтепроводов и нефтепродуктопроводов ниже мостов по течению);</w:t>
            </w:r>
          </w:p>
          <w:p>
            <w:pPr>
              <w:pStyle w:val="Normal"/>
              <w:numPr>
                <w:ilvl w:val="0"/>
                <w:numId w:val="27"/>
              </w:numPr>
              <w:tabs>
                <w:tab w:val="clear" w:pos="708"/>
                <w:tab w:val="left" w:pos="197" w:leader="none"/>
              </w:tabs>
              <w:spacing w:lineRule="auto" w:line="240"/>
              <w:ind w:left="136" w:hanging="136"/>
              <w:jc w:val="left"/>
              <w:rPr>
                <w:sz w:val="20"/>
                <w:szCs w:val="20"/>
              </w:rPr>
            </w:pPr>
            <w:r>
              <w:rPr>
                <w:sz w:val="20"/>
                <w:szCs w:val="20"/>
              </w:rPr>
              <w:t>складов легковоспламеняющихся и горючих жидкостей и газов с объемом хранения свыше 1000 м</w:t>
            </w:r>
            <w:r>
              <w:rPr>
                <w:sz w:val="20"/>
                <w:szCs w:val="20"/>
                <w:vertAlign w:val="superscript"/>
              </w:rPr>
              <w:t>3</w:t>
            </w:r>
            <w:r>
              <w:rPr>
                <w:sz w:val="20"/>
                <w:szCs w:val="20"/>
              </w:rPr>
              <w:t xml:space="preserve">; </w:t>
            </w:r>
          </w:p>
          <w:p>
            <w:pPr>
              <w:pStyle w:val="Normal"/>
              <w:numPr>
                <w:ilvl w:val="0"/>
                <w:numId w:val="27"/>
              </w:numPr>
              <w:tabs>
                <w:tab w:val="clear" w:pos="708"/>
                <w:tab w:val="left" w:pos="197" w:leader="none"/>
              </w:tabs>
              <w:spacing w:lineRule="auto" w:line="240"/>
              <w:ind w:left="136" w:hanging="136"/>
              <w:jc w:val="left"/>
              <w:rPr>
                <w:sz w:val="20"/>
                <w:szCs w:val="20"/>
              </w:rPr>
            </w:pPr>
            <w:r>
              <w:rPr>
                <w:sz w:val="20"/>
                <w:szCs w:val="20"/>
              </w:rPr>
              <w:t xml:space="preserve">автозаправочных станций; </w:t>
            </w:r>
          </w:p>
          <w:p>
            <w:pPr>
              <w:pStyle w:val="Normal"/>
              <w:numPr>
                <w:ilvl w:val="0"/>
                <w:numId w:val="27"/>
              </w:numPr>
              <w:tabs>
                <w:tab w:val="clear" w:pos="708"/>
                <w:tab w:val="left" w:pos="197" w:leader="none"/>
              </w:tabs>
              <w:spacing w:lineRule="auto" w:line="240"/>
              <w:ind w:left="80" w:hanging="80"/>
              <w:jc w:val="left"/>
              <w:rPr>
                <w:sz w:val="20"/>
                <w:szCs w:val="20"/>
              </w:rPr>
            </w:pPr>
            <w:r>
              <w:rPr>
                <w:sz w:val="20"/>
                <w:szCs w:val="20"/>
              </w:rPr>
              <w:t>мачт (башен), телевизионных башен и сооружений линий связи операторов связи – владельцев коммуникаций</w:t>
            </w:r>
          </w:p>
        </w:tc>
        <w:tc>
          <w:tcPr>
            <w:tcW w:w="1866" w:type="dxa"/>
            <w:tcBorders>
              <w:top w:val="single" w:sz="4" w:space="0" w:color="000000"/>
              <w:left w:val="single" w:sz="4" w:space="0" w:color="000000"/>
              <w:right w:val="single" w:sz="4" w:space="0" w:color="000000"/>
            </w:tcBorders>
          </w:tcPr>
          <w:p>
            <w:pPr>
              <w:pStyle w:val="Normal"/>
              <w:spacing w:lineRule="auto" w:line="240"/>
              <w:jc w:val="left"/>
              <w:rPr>
                <w:sz w:val="20"/>
                <w:szCs w:val="20"/>
              </w:rPr>
            </w:pPr>
            <w:r>
              <w:rPr>
                <w:sz w:val="20"/>
                <w:szCs w:val="20"/>
              </w:rPr>
              <w:t>СП 36.13330.2012 «Свод правил. Магистральные трубопроводы. Актуализированная редакция СНиП 2.05.06-85*»</w:t>
            </w:r>
          </w:p>
        </w:tc>
      </w:tr>
    </w:tbl>
    <w:p>
      <w:pPr>
        <w:sectPr>
          <w:headerReference w:type="default" r:id="rId138"/>
          <w:footerReference w:type="default" r:id="rId139"/>
          <w:type w:val="nextPage"/>
          <w:pgSz w:w="11906" w:h="16838"/>
          <w:pgMar w:left="1134" w:right="567" w:header="567" w:top="1134" w:footer="567" w:bottom="1134" w:gutter="0"/>
          <w:pgNumType w:fmt="decimal"/>
          <w:formProt w:val="false"/>
          <w:textDirection w:val="lrTb"/>
          <w:docGrid w:type="default" w:linePitch="360" w:charSpace="0"/>
        </w:sectPr>
      </w:pPr>
    </w:p>
    <w:p>
      <w:pPr>
        <w:pStyle w:val="0212164"/>
        <w:rPr>
          <w:szCs w:val="24"/>
          <w:lang w:eastAsia="ru-RU"/>
        </w:rPr>
      </w:pPr>
      <w:bookmarkStart w:id="274" w:name="_Toc69297573"/>
      <w:bookmarkStart w:id="275" w:name="_Toc182210511"/>
      <w:r>
        <w:rPr>
          <w:caps w:val="false"/>
          <w:smallCaps w:val="false"/>
        </w:rPr>
        <w:t xml:space="preserve">ГЛАВА 12. </w:t>
      </w:r>
      <w:bookmarkEnd w:id="274"/>
      <w:r>
        <w:rPr>
          <w:caps w:val="false"/>
          <w:smallCaps w:val="false"/>
        </w:rPr>
        <w:t>ОСОБО ОХРАНЯЕМЫЕ ПРИРОДНЫЕ ТЕРРИТОРИИ И ОБЪЕКТЫ КУЛЬТУРНОГО НАСЛЕДИЯ. ЗОНЫ С ОСОБЫМИ УСЛОВИЯМИ ИСПОЛЬЗОВАНИЯ ТЕРРИТОРИЙ, УСТАНАВЛИВАЕМЫЕ В СООТВЕТСТВИИ С ЗАКОНОДАТЕЛЬСТВОМ РОССИЙСКОЙ ФЕДЕРАЦИИ ПО УСЛОВИЯМ ОХРАНЫ ОБЪЕКТОВ КУЛЬТУРНОГО НАСЛЕДИЯ</w:t>
      </w:r>
      <w:bookmarkEnd w:id="241"/>
      <w:bookmarkEnd w:id="242"/>
      <w:bookmarkEnd w:id="275"/>
    </w:p>
    <w:p>
      <w:pPr>
        <w:pStyle w:val="Normal"/>
        <w:keepNext w:val="true"/>
        <w:numPr>
          <w:ilvl w:val="0"/>
          <w:numId w:val="0"/>
        </w:numPr>
        <w:tabs>
          <w:tab w:val="clear" w:pos="708"/>
          <w:tab w:val="left" w:pos="709" w:leader="none"/>
        </w:tabs>
        <w:spacing w:lineRule="auto" w:line="276" w:before="120" w:after="200"/>
        <w:outlineLvl w:val="2"/>
        <w:rPr>
          <w:rFonts w:eastAsia="Times New Roman"/>
          <w:b/>
          <w:b/>
          <w:szCs w:val="24"/>
        </w:rPr>
      </w:pPr>
      <w:bookmarkStart w:id="276" w:name="_Toc182210512"/>
      <w:bookmarkStart w:id="277" w:name="_Toc115250841"/>
      <w:bookmarkStart w:id="278" w:name="_Toc80966068"/>
      <w:bookmarkStart w:id="279" w:name="_Toc69297574"/>
      <w:bookmarkStart w:id="280" w:name="_Toc17703779"/>
      <w:r>
        <w:rPr>
          <w:rFonts w:eastAsia="Times New Roman"/>
          <w:b/>
          <w:szCs w:val="24"/>
        </w:rPr>
        <w:t>12.1 Особо охраняемые природные территории</w:t>
      </w:r>
      <w:bookmarkEnd w:id="276"/>
      <w:bookmarkEnd w:id="277"/>
      <w:bookmarkEnd w:id="278"/>
      <w:bookmarkEnd w:id="279"/>
      <w:bookmarkEnd w:id="280"/>
    </w:p>
    <w:p>
      <w:pPr>
        <w:pStyle w:val="Normal"/>
        <w:spacing w:lineRule="auto" w:line="276"/>
        <w:ind w:firstLine="425"/>
        <w:rPr>
          <w:szCs w:val="24"/>
        </w:rPr>
      </w:pPr>
      <w:bookmarkStart w:id="281" w:name="_Toc80966071"/>
      <w:r>
        <w:rPr>
          <w:szCs w:val="24"/>
        </w:rPr>
        <w:t xml:space="preserve">В границах Катенинского сельского поселения существующие и планируемые особо охраняемые природные территории федерального, регионального и местного значения отсутствуют. </w:t>
      </w:r>
    </w:p>
    <w:p>
      <w:pPr>
        <w:pStyle w:val="Normal"/>
        <w:keepNext w:val="true"/>
        <w:numPr>
          <w:ilvl w:val="0"/>
          <w:numId w:val="0"/>
        </w:numPr>
        <w:tabs>
          <w:tab w:val="clear" w:pos="708"/>
          <w:tab w:val="left" w:pos="709" w:leader="none"/>
        </w:tabs>
        <w:spacing w:lineRule="auto" w:line="276" w:before="120" w:after="200"/>
        <w:outlineLvl w:val="2"/>
        <w:rPr>
          <w:rFonts w:eastAsia="Times New Roman"/>
          <w:b/>
          <w:b/>
          <w:szCs w:val="24"/>
        </w:rPr>
      </w:pPr>
      <w:bookmarkStart w:id="282" w:name="_Toc182210513"/>
      <w:bookmarkStart w:id="283" w:name="_Toc117164233"/>
      <w:bookmarkStart w:id="284" w:name="_Toc109324111"/>
      <w:bookmarkStart w:id="285" w:name="_Toc106303235"/>
      <w:bookmarkStart w:id="286" w:name="_Toc69297575"/>
      <w:r>
        <w:rPr>
          <w:rFonts w:eastAsia="Times New Roman"/>
          <w:b/>
          <w:szCs w:val="24"/>
        </w:rPr>
        <w:t>12.2 Объекты культурного наследия</w:t>
      </w:r>
      <w:bookmarkEnd w:id="282"/>
      <w:bookmarkEnd w:id="283"/>
      <w:bookmarkEnd w:id="284"/>
      <w:bookmarkEnd w:id="285"/>
      <w:bookmarkEnd w:id="286"/>
    </w:p>
    <w:p>
      <w:pPr>
        <w:pStyle w:val="Normal"/>
        <w:spacing w:lineRule="auto" w:line="276" w:before="120" w:after="200"/>
        <w:ind w:firstLine="709"/>
        <w:rPr>
          <w:b/>
          <w:b/>
        </w:rPr>
      </w:pPr>
      <w:r>
        <w:rPr>
          <w:b/>
        </w:rPr>
        <w:t>Анализ существующего состояния</w:t>
      </w:r>
    </w:p>
    <w:p>
      <w:pPr>
        <w:pStyle w:val="Normal"/>
        <w:spacing w:lineRule="auto" w:line="276"/>
        <w:ind w:firstLine="709"/>
        <w:rPr>
          <w:szCs w:val="24"/>
          <w:lang w:eastAsia="ru-RU"/>
        </w:rPr>
      </w:pPr>
      <w:r>
        <w:rPr/>
        <w:t xml:space="preserve">Перечень выявленных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представлен в таблице 3.12.2. Сведения о выявленных объектах культурного (археологического) наследия, расположенных на территории Катенинского сельского поселения   представлены в таблице 39.  </w:t>
      </w:r>
    </w:p>
    <w:p>
      <w:pPr>
        <w:pStyle w:val="Normal"/>
        <w:spacing w:lineRule="auto" w:line="276"/>
        <w:ind w:firstLine="709"/>
        <w:rPr>
          <w:szCs w:val="24"/>
          <w:lang w:eastAsia="ru-RU"/>
        </w:rPr>
      </w:pPr>
      <w:r>
        <w:rPr/>
      </w:r>
    </w:p>
    <w:p>
      <w:pPr>
        <w:pStyle w:val="Normal"/>
        <w:spacing w:lineRule="auto" w:line="276"/>
        <w:jc w:val="right"/>
        <w:rPr>
          <w:rFonts w:eastAsia="Times New Roman"/>
          <w:color w:val="000000"/>
          <w:szCs w:val="24"/>
          <w:lang w:eastAsia="ru-RU"/>
        </w:rPr>
      </w:pPr>
      <w:r>
        <w:rPr>
          <w:rFonts w:eastAsia="Times New Roman"/>
          <w:color w:val="000000"/>
          <w:szCs w:val="24"/>
          <w:lang w:eastAsia="ru-RU"/>
        </w:rPr>
        <w:t>Таблица 3.12.2</w:t>
      </w:r>
    </w:p>
    <w:p>
      <w:pPr>
        <w:pStyle w:val="Normal"/>
        <w:spacing w:lineRule="auto" w:line="276"/>
        <w:jc w:val="center"/>
        <w:rPr>
          <w:rFonts w:eastAsia="Times New Roman"/>
          <w:color w:val="000000"/>
          <w:szCs w:val="24"/>
          <w:lang w:eastAsia="ru-RU"/>
        </w:rPr>
      </w:pPr>
      <w:r>
        <w:rPr>
          <w:rFonts w:eastAsia="Times New Roman"/>
          <w:color w:val="000000"/>
          <w:szCs w:val="24"/>
          <w:lang w:eastAsia="ru-RU"/>
        </w:rPr>
        <w:t>Перечень объектов культурного наследия</w:t>
      </w:r>
    </w:p>
    <w:tbl>
      <w:tblPr>
        <w:tblW w:w="5000" w:type="pct"/>
        <w:jc w:val="center"/>
        <w:tblInd w:w="0" w:type="dxa"/>
        <w:tblCellMar>
          <w:top w:w="0" w:type="dxa"/>
          <w:left w:w="108" w:type="dxa"/>
          <w:bottom w:w="0" w:type="dxa"/>
          <w:right w:w="108" w:type="dxa"/>
        </w:tblCellMar>
        <w:tblLook w:firstRow="1" w:noVBand="0" w:lastRow="1" w:firstColumn="1" w:lastColumn="1" w:noHBand="0" w:val="01e0"/>
      </w:tblPr>
      <w:tblGrid>
        <w:gridCol w:w="408"/>
        <w:gridCol w:w="1523"/>
        <w:gridCol w:w="1050"/>
        <w:gridCol w:w="1195"/>
        <w:gridCol w:w="1394"/>
        <w:gridCol w:w="1407"/>
        <w:gridCol w:w="1336"/>
        <w:gridCol w:w="1890"/>
      </w:tblGrid>
      <w:tr>
        <w:trPr>
          <w:trHeight w:val="20" w:hRule="atLeast"/>
        </w:trPr>
        <w:tc>
          <w:tcPr>
            <w:tcW w:w="408"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rPr>
            </w:pPr>
            <w:r>
              <w:rPr>
                <w:b/>
                <w:sz w:val="20"/>
              </w:rPr>
              <w:t>№</w:t>
            </w:r>
          </w:p>
        </w:tc>
        <w:tc>
          <w:tcPr>
            <w:tcW w:w="1523"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rPr>
            </w:pPr>
            <w:r>
              <w:rPr>
                <w:b/>
                <w:sz w:val="20"/>
              </w:rPr>
              <w:t>Наименование объекта</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rPr>
            </w:pPr>
            <w:r>
              <w:rPr>
                <w:b/>
                <w:sz w:val="20"/>
              </w:rPr>
              <w:t xml:space="preserve">№ </w:t>
            </w:r>
            <w:r>
              <w:rPr>
                <w:b/>
                <w:sz w:val="20"/>
              </w:rPr>
              <w:t>объекта на карте</w:t>
            </w:r>
          </w:p>
        </w:tc>
        <w:tc>
          <w:tcPr>
            <w:tcW w:w="1195"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rPr>
            </w:pPr>
            <w:r>
              <w:rPr>
                <w:b/>
                <w:sz w:val="20"/>
              </w:rPr>
              <w:t>Тип памятника</w:t>
            </w:r>
          </w:p>
        </w:tc>
        <w:tc>
          <w:tcPr>
            <w:tcW w:w="1394"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rPr>
            </w:pPr>
            <w:r>
              <w:rPr>
                <w:b/>
                <w:sz w:val="20"/>
              </w:rPr>
              <w:t>Категория ОКН</w:t>
            </w:r>
          </w:p>
        </w:tc>
        <w:tc>
          <w:tcPr>
            <w:tcW w:w="1407"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rPr>
            </w:pPr>
            <w:r>
              <w:rPr>
                <w:b/>
                <w:sz w:val="20"/>
              </w:rPr>
              <w:t>Датировка</w:t>
            </w:r>
          </w:p>
        </w:tc>
        <w:tc>
          <w:tcPr>
            <w:tcW w:w="1336"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rPr>
            </w:pPr>
            <w:r>
              <w:rPr>
                <w:b/>
                <w:sz w:val="20"/>
                <w:szCs w:val="20"/>
              </w:rPr>
              <w:t>Вид объекта культурного наследия</w:t>
            </w:r>
          </w:p>
        </w:tc>
        <w:tc>
          <w:tcPr>
            <w:tcW w:w="189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Адрес (местонахождение) объекта (при постановке на государственную охрану)</w:t>
            </w:r>
          </w:p>
        </w:tc>
      </w:tr>
      <w:tr>
        <w:trPr>
          <w:trHeight w:val="20" w:hRule="atLeast"/>
        </w:trPr>
        <w:tc>
          <w:tcPr>
            <w:tcW w:w="40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1</w:t>
            </w:r>
          </w:p>
        </w:tc>
        <w:tc>
          <w:tcPr>
            <w:tcW w:w="152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2</w:t>
            </w:r>
          </w:p>
        </w:tc>
        <w:tc>
          <w:tcPr>
            <w:tcW w:w="105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3</w:t>
            </w:r>
          </w:p>
        </w:tc>
        <w:tc>
          <w:tcPr>
            <w:tcW w:w="119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4</w:t>
            </w:r>
          </w:p>
        </w:tc>
        <w:tc>
          <w:tcPr>
            <w:tcW w:w="139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5</w:t>
            </w:r>
          </w:p>
        </w:tc>
        <w:tc>
          <w:tcPr>
            <w:tcW w:w="140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6</w:t>
            </w:r>
          </w:p>
        </w:tc>
        <w:tc>
          <w:tcPr>
            <w:tcW w:w="133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7</w:t>
            </w:r>
          </w:p>
        </w:tc>
        <w:tc>
          <w:tcPr>
            <w:tcW w:w="189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8</w:t>
            </w:r>
          </w:p>
        </w:tc>
      </w:tr>
      <w:tr>
        <w:trPr>
          <w:trHeight w:val="20" w:hRule="atLeast"/>
        </w:trPr>
        <w:tc>
          <w:tcPr>
            <w:tcW w:w="40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1</w:t>
            </w:r>
          </w:p>
        </w:tc>
        <w:tc>
          <w:tcPr>
            <w:tcW w:w="152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Чекотай</w:t>
            </w:r>
          </w:p>
        </w:tc>
        <w:tc>
          <w:tcPr>
            <w:tcW w:w="105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ОКН.1.1</w:t>
            </w:r>
          </w:p>
        </w:tc>
        <w:tc>
          <w:tcPr>
            <w:tcW w:w="119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 археологии</w:t>
            </w:r>
          </w:p>
        </w:tc>
        <w:tc>
          <w:tcPr>
            <w:tcW w:w="139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Федерального значения</w:t>
            </w:r>
          </w:p>
        </w:tc>
        <w:tc>
          <w:tcPr>
            <w:tcW w:w="140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 xml:space="preserve">2-я четверть </w:t>
            </w:r>
            <w:r>
              <w:rPr>
                <w:sz w:val="20"/>
                <w:szCs w:val="20"/>
                <w:lang w:val="en-US"/>
              </w:rPr>
              <w:t>II</w:t>
            </w:r>
            <w:r>
              <w:rPr>
                <w:sz w:val="20"/>
                <w:szCs w:val="20"/>
              </w:rPr>
              <w:t xml:space="preserve"> тысч. до нашей эры</w:t>
            </w:r>
          </w:p>
        </w:tc>
        <w:tc>
          <w:tcPr>
            <w:tcW w:w="133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w:t>
            </w:r>
          </w:p>
        </w:tc>
        <w:tc>
          <w:tcPr>
            <w:tcW w:w="189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Берег оз. Чекотай, с. Новопокровка</w:t>
            </w:r>
          </w:p>
        </w:tc>
      </w:tr>
      <w:tr>
        <w:trPr>
          <w:trHeight w:val="20" w:hRule="atLeast"/>
        </w:trPr>
        <w:tc>
          <w:tcPr>
            <w:tcW w:w="40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2</w:t>
            </w:r>
          </w:p>
        </w:tc>
        <w:tc>
          <w:tcPr>
            <w:tcW w:w="152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Тулак</w:t>
            </w:r>
          </w:p>
        </w:tc>
        <w:tc>
          <w:tcPr>
            <w:tcW w:w="105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ОКН.1.2</w:t>
            </w:r>
          </w:p>
        </w:tc>
        <w:tc>
          <w:tcPr>
            <w:tcW w:w="119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 археологии</w:t>
            </w:r>
          </w:p>
        </w:tc>
        <w:tc>
          <w:tcPr>
            <w:tcW w:w="139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Федерального значения</w:t>
            </w:r>
          </w:p>
        </w:tc>
        <w:tc>
          <w:tcPr>
            <w:tcW w:w="140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 xml:space="preserve">2-я половина </w:t>
            </w:r>
            <w:r>
              <w:rPr>
                <w:sz w:val="20"/>
                <w:szCs w:val="20"/>
                <w:lang w:val="en-US"/>
              </w:rPr>
              <w:t>II</w:t>
            </w:r>
            <w:r>
              <w:rPr>
                <w:sz w:val="20"/>
                <w:szCs w:val="20"/>
              </w:rPr>
              <w:t xml:space="preserve"> тысч. до нашей эры</w:t>
            </w:r>
          </w:p>
        </w:tc>
        <w:tc>
          <w:tcPr>
            <w:tcW w:w="133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w:t>
            </w:r>
          </w:p>
        </w:tc>
        <w:tc>
          <w:tcPr>
            <w:tcW w:w="1890"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Берег оз. Тулак, между Катенино и Новокулевича</w:t>
            </w:r>
          </w:p>
        </w:tc>
      </w:tr>
      <w:tr>
        <w:trPr>
          <w:trHeight w:val="20" w:hRule="atLeast"/>
        </w:trPr>
        <w:tc>
          <w:tcPr>
            <w:tcW w:w="408" w:type="dxa"/>
            <w:tcBorders>
              <w:top w:val="single" w:sz="4" w:space="0" w:color="000000"/>
              <w:left w:val="single" w:sz="4" w:space="0" w:color="000000"/>
              <w:right w:val="single" w:sz="4" w:space="0" w:color="000000"/>
            </w:tcBorders>
          </w:tcPr>
          <w:p>
            <w:pPr>
              <w:pStyle w:val="Normal"/>
              <w:spacing w:lineRule="auto" w:line="240"/>
              <w:jc w:val="left"/>
              <w:rPr>
                <w:sz w:val="20"/>
                <w:szCs w:val="20"/>
              </w:rPr>
            </w:pPr>
            <w:r>
              <w:rPr>
                <w:sz w:val="20"/>
                <w:szCs w:val="20"/>
              </w:rPr>
              <w:t>3</w:t>
            </w:r>
          </w:p>
        </w:tc>
        <w:tc>
          <w:tcPr>
            <w:tcW w:w="1523" w:type="dxa"/>
            <w:tcBorders>
              <w:top w:val="single" w:sz="4" w:space="0" w:color="000000"/>
              <w:left w:val="single" w:sz="4" w:space="0" w:color="000000"/>
              <w:right w:val="single" w:sz="4" w:space="0" w:color="000000"/>
            </w:tcBorders>
          </w:tcPr>
          <w:p>
            <w:pPr>
              <w:pStyle w:val="Normal"/>
              <w:spacing w:lineRule="auto" w:line="240"/>
              <w:jc w:val="left"/>
              <w:rPr>
                <w:sz w:val="20"/>
                <w:szCs w:val="20"/>
              </w:rPr>
            </w:pPr>
            <w:r>
              <w:rPr>
                <w:sz w:val="20"/>
                <w:szCs w:val="20"/>
              </w:rPr>
              <w:t>Караоба-могильник курганный-1</w:t>
            </w:r>
          </w:p>
          <w:p>
            <w:pPr>
              <w:pStyle w:val="Normal"/>
              <w:jc w:val="center"/>
              <w:rPr>
                <w:sz w:val="20"/>
                <w:szCs w:val="20"/>
              </w:rPr>
            </w:pPr>
            <w:r>
              <w:rPr>
                <w:sz w:val="20"/>
                <w:szCs w:val="20"/>
              </w:rPr>
            </w:r>
          </w:p>
        </w:tc>
        <w:tc>
          <w:tcPr>
            <w:tcW w:w="1050" w:type="dxa"/>
            <w:tcBorders>
              <w:top w:val="single" w:sz="4" w:space="0" w:color="000000"/>
              <w:left w:val="single" w:sz="4" w:space="0" w:color="000000"/>
              <w:right w:val="single" w:sz="4" w:space="0" w:color="000000"/>
            </w:tcBorders>
          </w:tcPr>
          <w:p>
            <w:pPr>
              <w:pStyle w:val="Normal"/>
              <w:spacing w:lineRule="auto" w:line="240"/>
              <w:jc w:val="left"/>
              <w:rPr>
                <w:sz w:val="20"/>
                <w:szCs w:val="20"/>
              </w:rPr>
            </w:pPr>
            <w:r>
              <w:rPr>
                <w:sz w:val="20"/>
                <w:szCs w:val="20"/>
              </w:rPr>
              <w:t>ОКН.1.3</w:t>
            </w:r>
          </w:p>
        </w:tc>
        <w:tc>
          <w:tcPr>
            <w:tcW w:w="1195" w:type="dxa"/>
            <w:tcBorders>
              <w:top w:val="single" w:sz="4" w:space="0" w:color="000000"/>
              <w:left w:val="single" w:sz="4" w:space="0" w:color="000000"/>
              <w:right w:val="single" w:sz="4" w:space="0" w:color="000000"/>
            </w:tcBorders>
          </w:tcPr>
          <w:p>
            <w:pPr>
              <w:pStyle w:val="Normal"/>
              <w:spacing w:lineRule="auto" w:line="240"/>
              <w:jc w:val="left"/>
              <w:rPr>
                <w:sz w:val="20"/>
                <w:szCs w:val="20"/>
              </w:rPr>
            </w:pPr>
            <w:r>
              <w:rPr>
                <w:sz w:val="20"/>
                <w:szCs w:val="20"/>
              </w:rPr>
              <w:t>Памятник археологии</w:t>
            </w:r>
          </w:p>
        </w:tc>
        <w:tc>
          <w:tcPr>
            <w:tcW w:w="1394" w:type="dxa"/>
            <w:tcBorders>
              <w:top w:val="single" w:sz="4" w:space="0" w:color="000000"/>
              <w:left w:val="single" w:sz="4" w:space="0" w:color="000000"/>
              <w:right w:val="single" w:sz="4" w:space="0" w:color="000000"/>
            </w:tcBorders>
          </w:tcPr>
          <w:p>
            <w:pPr>
              <w:pStyle w:val="Normal"/>
              <w:spacing w:lineRule="auto" w:line="240"/>
              <w:jc w:val="left"/>
              <w:rPr>
                <w:sz w:val="20"/>
                <w:szCs w:val="20"/>
              </w:rPr>
            </w:pPr>
            <w:r>
              <w:rPr>
                <w:sz w:val="20"/>
                <w:szCs w:val="20"/>
              </w:rPr>
              <w:t>Федерального значения</w:t>
            </w:r>
          </w:p>
        </w:tc>
        <w:tc>
          <w:tcPr>
            <w:tcW w:w="1407" w:type="dxa"/>
            <w:tcBorders>
              <w:top w:val="single" w:sz="4" w:space="0" w:color="000000"/>
              <w:left w:val="single" w:sz="4" w:space="0" w:color="000000"/>
              <w:right w:val="single" w:sz="4" w:space="0" w:color="000000"/>
            </w:tcBorders>
          </w:tcPr>
          <w:p>
            <w:pPr>
              <w:pStyle w:val="Normal"/>
              <w:spacing w:lineRule="auto" w:line="240"/>
              <w:jc w:val="left"/>
              <w:rPr>
                <w:sz w:val="20"/>
                <w:szCs w:val="20"/>
              </w:rPr>
            </w:pPr>
            <w:r>
              <w:rPr>
                <w:sz w:val="20"/>
                <w:szCs w:val="20"/>
              </w:rPr>
              <w:t>Ранний железный век</w:t>
            </w:r>
          </w:p>
        </w:tc>
        <w:tc>
          <w:tcPr>
            <w:tcW w:w="1336" w:type="dxa"/>
            <w:tcBorders>
              <w:top w:val="single" w:sz="4" w:space="0" w:color="000000"/>
              <w:left w:val="single" w:sz="4" w:space="0" w:color="000000"/>
              <w:right w:val="single" w:sz="4" w:space="0" w:color="000000"/>
            </w:tcBorders>
          </w:tcPr>
          <w:p>
            <w:pPr>
              <w:pStyle w:val="Normal"/>
              <w:spacing w:lineRule="auto" w:line="240"/>
              <w:jc w:val="left"/>
              <w:rPr>
                <w:sz w:val="20"/>
                <w:szCs w:val="20"/>
              </w:rPr>
            </w:pPr>
            <w:r>
              <w:rPr>
                <w:sz w:val="20"/>
                <w:szCs w:val="20"/>
              </w:rPr>
              <w:t>Памятник</w:t>
            </w:r>
          </w:p>
        </w:tc>
        <w:tc>
          <w:tcPr>
            <w:tcW w:w="1890" w:type="dxa"/>
            <w:tcBorders>
              <w:top w:val="single" w:sz="4" w:space="0" w:color="000000"/>
              <w:left w:val="single" w:sz="4" w:space="0" w:color="000000"/>
              <w:right w:val="single" w:sz="4" w:space="0" w:color="000000"/>
            </w:tcBorders>
          </w:tcPr>
          <w:p>
            <w:pPr>
              <w:pStyle w:val="Normal"/>
              <w:spacing w:lineRule="auto" w:line="240"/>
              <w:jc w:val="left"/>
              <w:rPr>
                <w:sz w:val="20"/>
                <w:szCs w:val="20"/>
              </w:rPr>
            </w:pPr>
            <w:r>
              <w:rPr>
                <w:sz w:val="20"/>
                <w:szCs w:val="20"/>
              </w:rPr>
              <w:t>2,2 км южнее пос. Караоба, 1.4 км северовосточнее оз. Караоба</w:t>
            </w:r>
          </w:p>
        </w:tc>
      </w:tr>
    </w:tbl>
    <w:p>
      <w:pPr>
        <w:sectPr>
          <w:headerReference w:type="default" r:id="rId140"/>
          <w:footerReference w:type="default" r:id="rId141"/>
          <w:type w:val="nextPage"/>
          <w:pgSz w:w="11906" w:h="16838"/>
          <w:pgMar w:left="1134" w:right="567" w:header="567" w:top="1134" w:footer="567" w:bottom="1134" w:gutter="0"/>
          <w:pgNumType w:fmt="decimal"/>
          <w:formProt w:val="false"/>
          <w:textDirection w:val="lrTb"/>
          <w:docGrid w:type="default" w:linePitch="360" w:charSpace="0"/>
        </w:sectPr>
        <w:pStyle w:val="Normal"/>
        <w:keepNext w:val="true"/>
        <w:numPr>
          <w:ilvl w:val="0"/>
          <w:numId w:val="0"/>
        </w:numPr>
        <w:tabs>
          <w:tab w:val="clear" w:pos="708"/>
          <w:tab w:val="left" w:pos="709" w:leader="none"/>
        </w:tabs>
        <w:spacing w:lineRule="auto" w:line="276" w:before="120" w:after="200"/>
        <w:outlineLvl w:val="2"/>
        <w:rPr>
          <w:rFonts w:eastAsia="Times New Roman"/>
          <w:b/>
          <w:b/>
          <w:szCs w:val="24"/>
        </w:rPr>
      </w:pPr>
      <w:r>
        <w:rPr>
          <w:rFonts w:eastAsia="Times New Roman"/>
          <w:b/>
          <w:szCs w:val="24"/>
        </w:rPr>
      </w:r>
    </w:p>
    <w:p>
      <w:pPr>
        <w:pStyle w:val="Normal"/>
        <w:spacing w:lineRule="auto" w:line="276"/>
        <w:jc w:val="right"/>
        <w:rPr>
          <w:rFonts w:eastAsia="Times New Roman"/>
          <w:color w:val="000000"/>
          <w:szCs w:val="24"/>
          <w:lang w:eastAsia="ru-RU"/>
        </w:rPr>
      </w:pPr>
      <w:r>
        <w:rPr>
          <w:rFonts w:eastAsia="Times New Roman"/>
          <w:color w:val="000000"/>
          <w:szCs w:val="24"/>
          <w:lang w:eastAsia="ru-RU"/>
        </w:rPr>
        <w:t>Таблица 39</w:t>
      </w:r>
    </w:p>
    <w:p>
      <w:pPr>
        <w:pStyle w:val="Normal"/>
        <w:spacing w:lineRule="auto" w:line="276"/>
        <w:jc w:val="center"/>
        <w:rPr>
          <w:rFonts w:eastAsia="Times New Roman"/>
          <w:color w:val="000000"/>
          <w:szCs w:val="24"/>
          <w:lang w:eastAsia="ru-RU"/>
        </w:rPr>
      </w:pPr>
      <w:r>
        <w:rPr>
          <w:rFonts w:eastAsia="Times New Roman"/>
          <w:color w:val="000000"/>
          <w:szCs w:val="24"/>
          <w:lang w:eastAsia="ru-RU"/>
        </w:rPr>
        <w:t>Сведения об объектах археологического наследия, расположенных на территории Катенинского сельского поселения*</w:t>
      </w:r>
    </w:p>
    <w:tbl>
      <w:tblPr>
        <w:tblW w:w="15021" w:type="dxa"/>
        <w:jc w:val="center"/>
        <w:tblInd w:w="0" w:type="dxa"/>
        <w:tblCellMar>
          <w:top w:w="0" w:type="dxa"/>
          <w:left w:w="108" w:type="dxa"/>
          <w:bottom w:w="0" w:type="dxa"/>
          <w:right w:w="108" w:type="dxa"/>
        </w:tblCellMar>
        <w:tblLook w:firstRow="0" w:noVBand="0" w:lastRow="0" w:firstColumn="0" w:lastColumn="0" w:noHBand="0" w:val="0000"/>
      </w:tblPr>
      <w:tblGrid>
        <w:gridCol w:w="561"/>
        <w:gridCol w:w="2695"/>
        <w:gridCol w:w="3685"/>
        <w:gridCol w:w="2977"/>
        <w:gridCol w:w="2298"/>
        <w:gridCol w:w="2804"/>
      </w:tblGrid>
      <w:tr>
        <w:trPr/>
        <w:tc>
          <w:tcPr>
            <w:tcW w:w="56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 xml:space="preserve">№ </w:t>
            </w:r>
            <w:r>
              <w:rPr>
                <w:b/>
                <w:sz w:val="20"/>
                <w:szCs w:val="20"/>
              </w:rPr>
              <w:t>п/п</w:t>
            </w:r>
          </w:p>
        </w:tc>
        <w:tc>
          <w:tcPr>
            <w:tcW w:w="2695"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Наименование</w:t>
            </w:r>
          </w:p>
        </w:tc>
        <w:tc>
          <w:tcPr>
            <w:tcW w:w="3685"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Тип памятника</w:t>
            </w:r>
          </w:p>
        </w:tc>
        <w:tc>
          <w:tcPr>
            <w:tcW w:w="2977"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Датировка</w:t>
            </w:r>
          </w:p>
        </w:tc>
        <w:tc>
          <w:tcPr>
            <w:tcW w:w="2298"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Вид объекта культурного наследия</w:t>
            </w:r>
          </w:p>
        </w:tc>
        <w:tc>
          <w:tcPr>
            <w:tcW w:w="2804"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Местоположение ОАН</w:t>
            </w:r>
          </w:p>
        </w:tc>
      </w:tr>
      <w:tr>
        <w:trPr>
          <w:trHeight w:val="234" w:hRule="atLeast"/>
        </w:trPr>
        <w:tc>
          <w:tcPr>
            <w:tcW w:w="561" w:type="dxa"/>
            <w:tcBorders>
              <w:top w:val="single" w:sz="4" w:space="0" w:color="000000"/>
              <w:left w:val="single" w:sz="4" w:space="0" w:color="000000"/>
              <w:bottom w:val="single" w:sz="4" w:space="0" w:color="000000"/>
              <w:right w:val="single" w:sz="4" w:space="0" w:color="000000"/>
            </w:tcBorders>
          </w:tcPr>
          <w:p>
            <w:pPr>
              <w:pStyle w:val="Normal"/>
              <w:numPr>
                <w:ilvl w:val="0"/>
                <w:numId w:val="32"/>
              </w:numPr>
              <w:spacing w:lineRule="auto" w:line="240"/>
              <w:jc w:val="center"/>
              <w:rPr>
                <w:sz w:val="20"/>
                <w:szCs w:val="20"/>
              </w:rPr>
            </w:pPr>
            <w:r>
              <w:rPr>
                <w:sz w:val="20"/>
                <w:szCs w:val="20"/>
              </w:rPr>
            </w:r>
          </w:p>
        </w:tc>
        <w:tc>
          <w:tcPr>
            <w:tcW w:w="269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Стоянка Катенино 3</w:t>
            </w:r>
          </w:p>
        </w:tc>
        <w:tc>
          <w:tcPr>
            <w:tcW w:w="368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 археологии</w:t>
            </w:r>
          </w:p>
        </w:tc>
        <w:tc>
          <w:tcPr>
            <w:tcW w:w="297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Эпоха неолита</w:t>
            </w:r>
          </w:p>
        </w:tc>
        <w:tc>
          <w:tcPr>
            <w:tcW w:w="229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w:t>
            </w:r>
          </w:p>
        </w:tc>
        <w:tc>
          <w:tcPr>
            <w:tcW w:w="280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 xml:space="preserve">На террасе левого берега р. Караталы-Аят, в 6 км к юго-западу от с. </w:t>
            </w:r>
          </w:p>
          <w:p>
            <w:pPr>
              <w:pStyle w:val="Normal"/>
              <w:spacing w:lineRule="auto" w:line="240"/>
              <w:jc w:val="left"/>
              <w:rPr>
                <w:sz w:val="20"/>
                <w:szCs w:val="20"/>
              </w:rPr>
            </w:pPr>
            <w:r>
              <w:rPr>
                <w:sz w:val="20"/>
                <w:szCs w:val="20"/>
              </w:rPr>
              <w:t>Катенино.</w:t>
            </w:r>
          </w:p>
        </w:tc>
      </w:tr>
      <w:tr>
        <w:trPr>
          <w:trHeight w:val="234" w:hRule="atLeast"/>
        </w:trPr>
        <w:tc>
          <w:tcPr>
            <w:tcW w:w="561" w:type="dxa"/>
            <w:tcBorders>
              <w:top w:val="single" w:sz="4" w:space="0" w:color="000000"/>
              <w:left w:val="single" w:sz="4" w:space="0" w:color="000000"/>
              <w:bottom w:val="single" w:sz="4" w:space="0" w:color="000000"/>
              <w:right w:val="single" w:sz="4" w:space="0" w:color="000000"/>
            </w:tcBorders>
          </w:tcPr>
          <w:p>
            <w:pPr>
              <w:pStyle w:val="Normal"/>
              <w:numPr>
                <w:ilvl w:val="0"/>
                <w:numId w:val="32"/>
              </w:numPr>
              <w:spacing w:lineRule="auto" w:line="240"/>
              <w:jc w:val="center"/>
              <w:rPr>
                <w:sz w:val="20"/>
                <w:szCs w:val="20"/>
              </w:rPr>
            </w:pPr>
            <w:r>
              <w:rPr>
                <w:sz w:val="20"/>
                <w:szCs w:val="20"/>
              </w:rPr>
            </w:r>
          </w:p>
        </w:tc>
        <w:tc>
          <w:tcPr>
            <w:tcW w:w="269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Стоянка Катенино 2</w:t>
            </w:r>
          </w:p>
        </w:tc>
        <w:tc>
          <w:tcPr>
            <w:tcW w:w="368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 археологии</w:t>
            </w:r>
          </w:p>
        </w:tc>
        <w:tc>
          <w:tcPr>
            <w:tcW w:w="297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Эпоха неолита</w:t>
            </w:r>
          </w:p>
        </w:tc>
        <w:tc>
          <w:tcPr>
            <w:tcW w:w="229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w:t>
            </w:r>
          </w:p>
        </w:tc>
        <w:tc>
          <w:tcPr>
            <w:tcW w:w="280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На террасе левого берега р. Караталы-Аят, в 4 км к западу от с. Катенино.</w:t>
            </w:r>
          </w:p>
        </w:tc>
      </w:tr>
      <w:tr>
        <w:trPr>
          <w:trHeight w:val="234" w:hRule="atLeast"/>
        </w:trPr>
        <w:tc>
          <w:tcPr>
            <w:tcW w:w="561" w:type="dxa"/>
            <w:tcBorders>
              <w:top w:val="single" w:sz="4" w:space="0" w:color="000000"/>
              <w:left w:val="single" w:sz="4" w:space="0" w:color="000000"/>
              <w:bottom w:val="single" w:sz="4" w:space="0" w:color="000000"/>
              <w:right w:val="single" w:sz="4" w:space="0" w:color="000000"/>
            </w:tcBorders>
          </w:tcPr>
          <w:p>
            <w:pPr>
              <w:pStyle w:val="Normal"/>
              <w:numPr>
                <w:ilvl w:val="0"/>
                <w:numId w:val="32"/>
              </w:numPr>
              <w:spacing w:lineRule="auto" w:line="240"/>
              <w:jc w:val="center"/>
              <w:rPr>
                <w:sz w:val="20"/>
                <w:szCs w:val="20"/>
              </w:rPr>
            </w:pPr>
            <w:r>
              <w:rPr>
                <w:sz w:val="20"/>
                <w:szCs w:val="20"/>
              </w:rPr>
            </w:r>
          </w:p>
        </w:tc>
        <w:tc>
          <w:tcPr>
            <w:tcW w:w="269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Стоянка Катенино 1</w:t>
            </w:r>
          </w:p>
        </w:tc>
        <w:tc>
          <w:tcPr>
            <w:tcW w:w="368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 археологии</w:t>
            </w:r>
          </w:p>
        </w:tc>
        <w:tc>
          <w:tcPr>
            <w:tcW w:w="297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Эпоха неолита</w:t>
            </w:r>
          </w:p>
        </w:tc>
        <w:tc>
          <w:tcPr>
            <w:tcW w:w="229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w:t>
            </w:r>
          </w:p>
        </w:tc>
        <w:tc>
          <w:tcPr>
            <w:tcW w:w="280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 xml:space="preserve">На террасе левого берега р. Караталы-Аят, в 3 км к юго-востоку от с. </w:t>
            </w:r>
          </w:p>
          <w:p>
            <w:pPr>
              <w:pStyle w:val="Normal"/>
              <w:spacing w:lineRule="auto" w:line="240"/>
              <w:jc w:val="left"/>
              <w:rPr>
                <w:sz w:val="20"/>
                <w:szCs w:val="20"/>
              </w:rPr>
            </w:pPr>
            <w:r>
              <w:rPr>
                <w:sz w:val="20"/>
                <w:szCs w:val="20"/>
              </w:rPr>
              <w:t>Катенино</w:t>
            </w:r>
          </w:p>
        </w:tc>
      </w:tr>
      <w:tr>
        <w:trPr>
          <w:trHeight w:val="234" w:hRule="atLeast"/>
        </w:trPr>
        <w:tc>
          <w:tcPr>
            <w:tcW w:w="561" w:type="dxa"/>
            <w:tcBorders>
              <w:top w:val="single" w:sz="4" w:space="0" w:color="000000"/>
              <w:left w:val="single" w:sz="4" w:space="0" w:color="000000"/>
              <w:bottom w:val="single" w:sz="4" w:space="0" w:color="000000"/>
              <w:right w:val="single" w:sz="4" w:space="0" w:color="000000"/>
            </w:tcBorders>
          </w:tcPr>
          <w:p>
            <w:pPr>
              <w:pStyle w:val="Normal"/>
              <w:numPr>
                <w:ilvl w:val="0"/>
                <w:numId w:val="32"/>
              </w:numPr>
              <w:spacing w:lineRule="auto" w:line="240"/>
              <w:jc w:val="center"/>
              <w:rPr>
                <w:sz w:val="20"/>
                <w:szCs w:val="20"/>
              </w:rPr>
            </w:pPr>
            <w:r>
              <w:rPr>
                <w:sz w:val="20"/>
                <w:szCs w:val="20"/>
              </w:rPr>
            </w:r>
          </w:p>
        </w:tc>
        <w:tc>
          <w:tcPr>
            <w:tcW w:w="269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Одиночный курган у с. Караоба</w:t>
            </w:r>
          </w:p>
        </w:tc>
        <w:tc>
          <w:tcPr>
            <w:tcW w:w="368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 археологии</w:t>
            </w:r>
          </w:p>
        </w:tc>
        <w:tc>
          <w:tcPr>
            <w:tcW w:w="297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Ранний железный век</w:t>
            </w:r>
          </w:p>
        </w:tc>
        <w:tc>
          <w:tcPr>
            <w:tcW w:w="229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w:t>
            </w:r>
          </w:p>
        </w:tc>
        <w:tc>
          <w:tcPr>
            <w:tcW w:w="280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0,7 км к востоку-северо-востоку от ското-базы с. Караоба, на левом бе-</w:t>
            </w:r>
          </w:p>
          <w:p>
            <w:pPr>
              <w:pStyle w:val="Normal"/>
              <w:spacing w:lineRule="auto" w:line="240"/>
              <w:jc w:val="left"/>
              <w:rPr>
                <w:sz w:val="20"/>
                <w:szCs w:val="20"/>
              </w:rPr>
            </w:pPr>
            <w:r>
              <w:rPr>
                <w:sz w:val="20"/>
                <w:szCs w:val="20"/>
              </w:rPr>
              <w:t>регу р. Кара-талы-Аят</w:t>
            </w:r>
          </w:p>
        </w:tc>
      </w:tr>
      <w:tr>
        <w:trPr>
          <w:trHeight w:val="234" w:hRule="atLeast"/>
        </w:trPr>
        <w:tc>
          <w:tcPr>
            <w:tcW w:w="561" w:type="dxa"/>
            <w:tcBorders>
              <w:top w:val="single" w:sz="4" w:space="0" w:color="000000"/>
              <w:left w:val="single" w:sz="4" w:space="0" w:color="000000"/>
              <w:bottom w:val="single" w:sz="4" w:space="0" w:color="000000"/>
              <w:right w:val="single" w:sz="4" w:space="0" w:color="000000"/>
            </w:tcBorders>
          </w:tcPr>
          <w:p>
            <w:pPr>
              <w:pStyle w:val="Normal"/>
              <w:numPr>
                <w:ilvl w:val="0"/>
                <w:numId w:val="32"/>
              </w:numPr>
              <w:spacing w:lineRule="auto" w:line="240"/>
              <w:jc w:val="center"/>
              <w:rPr>
                <w:sz w:val="20"/>
                <w:szCs w:val="20"/>
              </w:rPr>
            </w:pPr>
            <w:r>
              <w:rPr>
                <w:sz w:val="20"/>
                <w:szCs w:val="20"/>
              </w:rPr>
            </w:r>
          </w:p>
        </w:tc>
        <w:tc>
          <w:tcPr>
            <w:tcW w:w="269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 xml:space="preserve">Могильник Караоба 2 </w:t>
            </w:r>
          </w:p>
        </w:tc>
        <w:tc>
          <w:tcPr>
            <w:tcW w:w="368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 археологии</w:t>
            </w:r>
          </w:p>
        </w:tc>
        <w:tc>
          <w:tcPr>
            <w:tcW w:w="297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Ранний железный век</w:t>
            </w:r>
          </w:p>
        </w:tc>
        <w:tc>
          <w:tcPr>
            <w:tcW w:w="229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w:t>
            </w:r>
          </w:p>
        </w:tc>
        <w:tc>
          <w:tcPr>
            <w:tcW w:w="280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На левом коренном берегу р. Караталы-Аят, в 4 км к востоку от с. Караоба, в 200 м к северу от поселения Караоба 1</w:t>
            </w:r>
          </w:p>
        </w:tc>
      </w:tr>
      <w:tr>
        <w:trPr>
          <w:trHeight w:val="234" w:hRule="atLeast"/>
        </w:trPr>
        <w:tc>
          <w:tcPr>
            <w:tcW w:w="561" w:type="dxa"/>
            <w:tcBorders>
              <w:top w:val="single" w:sz="4" w:space="0" w:color="000000"/>
              <w:left w:val="single" w:sz="4" w:space="0" w:color="000000"/>
              <w:bottom w:val="single" w:sz="4" w:space="0" w:color="000000"/>
              <w:right w:val="single" w:sz="4" w:space="0" w:color="000000"/>
            </w:tcBorders>
          </w:tcPr>
          <w:p>
            <w:pPr>
              <w:pStyle w:val="Normal"/>
              <w:numPr>
                <w:ilvl w:val="0"/>
                <w:numId w:val="32"/>
              </w:numPr>
              <w:spacing w:lineRule="auto" w:line="240"/>
              <w:jc w:val="center"/>
              <w:rPr>
                <w:sz w:val="20"/>
                <w:szCs w:val="20"/>
              </w:rPr>
            </w:pPr>
            <w:r>
              <w:rPr>
                <w:sz w:val="20"/>
                <w:szCs w:val="20"/>
              </w:rPr>
            </w:r>
          </w:p>
        </w:tc>
        <w:tc>
          <w:tcPr>
            <w:tcW w:w="269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Поселение Караоба 1</w:t>
            </w:r>
          </w:p>
        </w:tc>
        <w:tc>
          <w:tcPr>
            <w:tcW w:w="368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 археологии</w:t>
            </w:r>
          </w:p>
        </w:tc>
        <w:tc>
          <w:tcPr>
            <w:tcW w:w="297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Эпоха бронзы</w:t>
            </w:r>
          </w:p>
        </w:tc>
        <w:tc>
          <w:tcPr>
            <w:tcW w:w="229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w:t>
            </w:r>
          </w:p>
        </w:tc>
        <w:tc>
          <w:tcPr>
            <w:tcW w:w="280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Левый берег р. Караталы-Аят, в 4 км к востоку от п. Караоба, в 3 км к западу от плотины</w:t>
            </w:r>
          </w:p>
        </w:tc>
      </w:tr>
      <w:tr>
        <w:trPr>
          <w:trHeight w:val="234" w:hRule="atLeast"/>
        </w:trPr>
        <w:tc>
          <w:tcPr>
            <w:tcW w:w="561" w:type="dxa"/>
            <w:tcBorders>
              <w:top w:val="single" w:sz="4" w:space="0" w:color="000000"/>
              <w:left w:val="single" w:sz="4" w:space="0" w:color="000000"/>
              <w:bottom w:val="single" w:sz="4" w:space="0" w:color="000000"/>
              <w:right w:val="single" w:sz="4" w:space="0" w:color="000000"/>
            </w:tcBorders>
          </w:tcPr>
          <w:p>
            <w:pPr>
              <w:pStyle w:val="Normal"/>
              <w:numPr>
                <w:ilvl w:val="0"/>
                <w:numId w:val="32"/>
              </w:numPr>
              <w:spacing w:lineRule="auto" w:line="240"/>
              <w:jc w:val="center"/>
              <w:rPr>
                <w:sz w:val="20"/>
                <w:szCs w:val="20"/>
              </w:rPr>
            </w:pPr>
            <w:r>
              <w:rPr>
                <w:sz w:val="20"/>
                <w:szCs w:val="20"/>
              </w:rPr>
            </w:r>
          </w:p>
        </w:tc>
        <w:tc>
          <w:tcPr>
            <w:tcW w:w="269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Одиночный курган «Красноармейский I».</w:t>
            </w:r>
          </w:p>
          <w:p>
            <w:pPr>
              <w:pStyle w:val="Normal"/>
              <w:spacing w:lineRule="auto" w:line="240"/>
              <w:jc w:val="left"/>
              <w:rPr>
                <w:sz w:val="20"/>
                <w:szCs w:val="20"/>
              </w:rPr>
            </w:pPr>
            <w:r>
              <w:rPr>
                <w:sz w:val="20"/>
                <w:szCs w:val="20"/>
              </w:rPr>
            </w:r>
          </w:p>
        </w:tc>
        <w:tc>
          <w:tcPr>
            <w:tcW w:w="368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 археологии</w:t>
            </w:r>
          </w:p>
        </w:tc>
        <w:tc>
          <w:tcPr>
            <w:tcW w:w="297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Ранний железный век</w:t>
            </w:r>
          </w:p>
        </w:tc>
        <w:tc>
          <w:tcPr>
            <w:tcW w:w="229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w:t>
            </w:r>
          </w:p>
        </w:tc>
        <w:tc>
          <w:tcPr>
            <w:tcW w:w="280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 xml:space="preserve">В 7,4 км. к югу-юго-востоку от окраины п. Красноармейский, в 15 м. к западу от полевой дороги, идущей </w:t>
            </w:r>
          </w:p>
          <w:p>
            <w:pPr>
              <w:pStyle w:val="Normal"/>
              <w:spacing w:lineRule="auto" w:line="240"/>
              <w:jc w:val="left"/>
              <w:rPr>
                <w:sz w:val="20"/>
                <w:szCs w:val="20"/>
              </w:rPr>
            </w:pPr>
            <w:r>
              <w:rPr>
                <w:sz w:val="20"/>
                <w:szCs w:val="20"/>
              </w:rPr>
              <w:t>меридионально, на границе длинного березового колка, идущего вдоль дороги.</w:t>
            </w:r>
          </w:p>
        </w:tc>
      </w:tr>
      <w:tr>
        <w:trPr>
          <w:trHeight w:val="234" w:hRule="atLeast"/>
        </w:trPr>
        <w:tc>
          <w:tcPr>
            <w:tcW w:w="561" w:type="dxa"/>
            <w:tcBorders>
              <w:top w:val="single" w:sz="4" w:space="0" w:color="000000"/>
              <w:left w:val="single" w:sz="4" w:space="0" w:color="000000"/>
              <w:bottom w:val="single" w:sz="4" w:space="0" w:color="000000"/>
              <w:right w:val="single" w:sz="4" w:space="0" w:color="000000"/>
            </w:tcBorders>
          </w:tcPr>
          <w:p>
            <w:pPr>
              <w:pStyle w:val="Normal"/>
              <w:numPr>
                <w:ilvl w:val="0"/>
                <w:numId w:val="32"/>
              </w:numPr>
              <w:spacing w:lineRule="auto" w:line="240"/>
              <w:jc w:val="center"/>
              <w:rPr>
                <w:sz w:val="20"/>
                <w:szCs w:val="20"/>
              </w:rPr>
            </w:pPr>
            <w:r>
              <w:rPr>
                <w:sz w:val="20"/>
                <w:szCs w:val="20"/>
              </w:rPr>
            </w:r>
          </w:p>
        </w:tc>
        <w:tc>
          <w:tcPr>
            <w:tcW w:w="269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Одиночный курган «Комсомольский I»</w:t>
            </w:r>
          </w:p>
        </w:tc>
        <w:tc>
          <w:tcPr>
            <w:tcW w:w="368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 археологии</w:t>
            </w:r>
          </w:p>
        </w:tc>
        <w:tc>
          <w:tcPr>
            <w:tcW w:w="297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Средние века</w:t>
            </w:r>
          </w:p>
        </w:tc>
        <w:tc>
          <w:tcPr>
            <w:tcW w:w="229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w:t>
            </w:r>
          </w:p>
        </w:tc>
        <w:tc>
          <w:tcPr>
            <w:tcW w:w="280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В 6.17 км. К юго-востоку от южной окраины п. Комсомольский, на оставленной под пашней, в 130 м. к северо-западу от полевой дороги, в 200 м. к юго-западу от перекрестка полевых дорог</w:t>
            </w:r>
          </w:p>
        </w:tc>
      </w:tr>
      <w:tr>
        <w:trPr>
          <w:trHeight w:val="234" w:hRule="atLeast"/>
        </w:trPr>
        <w:tc>
          <w:tcPr>
            <w:tcW w:w="561" w:type="dxa"/>
            <w:tcBorders>
              <w:top w:val="single" w:sz="4" w:space="0" w:color="000000"/>
              <w:left w:val="single" w:sz="4" w:space="0" w:color="000000"/>
              <w:bottom w:val="single" w:sz="4" w:space="0" w:color="000000"/>
              <w:right w:val="single" w:sz="4" w:space="0" w:color="000000"/>
            </w:tcBorders>
          </w:tcPr>
          <w:p>
            <w:pPr>
              <w:pStyle w:val="Normal"/>
              <w:numPr>
                <w:ilvl w:val="0"/>
                <w:numId w:val="32"/>
              </w:numPr>
              <w:spacing w:lineRule="auto" w:line="240"/>
              <w:jc w:val="center"/>
              <w:rPr>
                <w:sz w:val="20"/>
                <w:szCs w:val="20"/>
              </w:rPr>
            </w:pPr>
            <w:r>
              <w:rPr>
                <w:sz w:val="20"/>
                <w:szCs w:val="20"/>
              </w:rPr>
            </w:r>
          </w:p>
        </w:tc>
        <w:tc>
          <w:tcPr>
            <w:tcW w:w="269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Одиночный курган «Комсомольский II»</w:t>
            </w:r>
          </w:p>
        </w:tc>
        <w:tc>
          <w:tcPr>
            <w:tcW w:w="368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 археологии</w:t>
            </w:r>
          </w:p>
        </w:tc>
        <w:tc>
          <w:tcPr>
            <w:tcW w:w="297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Средние века</w:t>
            </w:r>
          </w:p>
        </w:tc>
        <w:tc>
          <w:tcPr>
            <w:tcW w:w="229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w:t>
            </w:r>
          </w:p>
        </w:tc>
        <w:tc>
          <w:tcPr>
            <w:tcW w:w="280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 xml:space="preserve">В 4,98 км. к югу-юго-западу от южной окраины п. Комсомольский, в 5 м. к северу-северо-востоку от полевой дороги. </w:t>
              <w:tab/>
            </w:r>
          </w:p>
        </w:tc>
      </w:tr>
      <w:tr>
        <w:trPr>
          <w:trHeight w:val="234" w:hRule="atLeast"/>
        </w:trPr>
        <w:tc>
          <w:tcPr>
            <w:tcW w:w="561" w:type="dxa"/>
            <w:tcBorders>
              <w:top w:val="single" w:sz="4" w:space="0" w:color="000000"/>
              <w:left w:val="single" w:sz="4" w:space="0" w:color="000000"/>
              <w:bottom w:val="single" w:sz="4" w:space="0" w:color="000000"/>
              <w:right w:val="single" w:sz="4" w:space="0" w:color="000000"/>
            </w:tcBorders>
          </w:tcPr>
          <w:p>
            <w:pPr>
              <w:pStyle w:val="Normal"/>
              <w:numPr>
                <w:ilvl w:val="0"/>
                <w:numId w:val="32"/>
              </w:numPr>
              <w:spacing w:lineRule="auto" w:line="240"/>
              <w:jc w:val="center"/>
              <w:rPr>
                <w:sz w:val="20"/>
                <w:szCs w:val="20"/>
              </w:rPr>
            </w:pPr>
            <w:r>
              <w:rPr>
                <w:sz w:val="20"/>
                <w:szCs w:val="20"/>
              </w:rPr>
            </w:r>
          </w:p>
        </w:tc>
        <w:tc>
          <w:tcPr>
            <w:tcW w:w="269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Одиночный курган «Комсомольский III»</w:t>
            </w:r>
          </w:p>
        </w:tc>
        <w:tc>
          <w:tcPr>
            <w:tcW w:w="368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 археологии</w:t>
            </w:r>
          </w:p>
        </w:tc>
        <w:tc>
          <w:tcPr>
            <w:tcW w:w="297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Ранний железный век</w:t>
            </w:r>
          </w:p>
        </w:tc>
        <w:tc>
          <w:tcPr>
            <w:tcW w:w="229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w:t>
            </w:r>
          </w:p>
        </w:tc>
        <w:tc>
          <w:tcPr>
            <w:tcW w:w="280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 xml:space="preserve">В 5,15 км. к югу-юго-западу от южной окраины п. Комсомольский, в </w:t>
            </w:r>
          </w:p>
          <w:p>
            <w:pPr>
              <w:pStyle w:val="Normal"/>
              <w:spacing w:lineRule="auto" w:line="240"/>
              <w:jc w:val="left"/>
              <w:rPr>
                <w:sz w:val="20"/>
                <w:szCs w:val="20"/>
              </w:rPr>
            </w:pPr>
            <w:r>
              <w:rPr>
                <w:sz w:val="20"/>
                <w:szCs w:val="20"/>
              </w:rPr>
              <w:t xml:space="preserve">145 м. к юго-востоку от полевой дороги, на пашне. </w:t>
            </w:r>
          </w:p>
        </w:tc>
      </w:tr>
      <w:tr>
        <w:trPr>
          <w:trHeight w:val="234" w:hRule="atLeast"/>
        </w:trPr>
        <w:tc>
          <w:tcPr>
            <w:tcW w:w="561" w:type="dxa"/>
            <w:tcBorders>
              <w:top w:val="single" w:sz="4" w:space="0" w:color="000000"/>
              <w:left w:val="single" w:sz="4" w:space="0" w:color="000000"/>
              <w:bottom w:val="single" w:sz="4" w:space="0" w:color="000000"/>
              <w:right w:val="single" w:sz="4" w:space="0" w:color="000000"/>
            </w:tcBorders>
          </w:tcPr>
          <w:p>
            <w:pPr>
              <w:pStyle w:val="Normal"/>
              <w:numPr>
                <w:ilvl w:val="0"/>
                <w:numId w:val="32"/>
              </w:numPr>
              <w:spacing w:lineRule="auto" w:line="240"/>
              <w:jc w:val="center"/>
              <w:rPr>
                <w:sz w:val="20"/>
                <w:szCs w:val="20"/>
              </w:rPr>
            </w:pPr>
            <w:r>
              <w:rPr>
                <w:sz w:val="20"/>
                <w:szCs w:val="20"/>
              </w:rPr>
            </w:r>
          </w:p>
        </w:tc>
        <w:tc>
          <w:tcPr>
            <w:tcW w:w="269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Курганный могильник «Комсомольский IV»</w:t>
            </w:r>
          </w:p>
        </w:tc>
        <w:tc>
          <w:tcPr>
            <w:tcW w:w="368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 археологии</w:t>
            </w:r>
          </w:p>
        </w:tc>
        <w:tc>
          <w:tcPr>
            <w:tcW w:w="297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Ранний железный век</w:t>
            </w:r>
          </w:p>
        </w:tc>
        <w:tc>
          <w:tcPr>
            <w:tcW w:w="229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w:t>
            </w:r>
          </w:p>
        </w:tc>
        <w:tc>
          <w:tcPr>
            <w:tcW w:w="280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 xml:space="preserve">В 6,11 км. к юго-востоку от южной окраины п. Комсомольский, справа и слева от полевой дороги, идущей запад-восток с небольшим отклонением к юго-востоку. </w:t>
            </w:r>
          </w:p>
        </w:tc>
      </w:tr>
      <w:tr>
        <w:trPr>
          <w:trHeight w:val="234" w:hRule="atLeast"/>
        </w:trPr>
        <w:tc>
          <w:tcPr>
            <w:tcW w:w="561" w:type="dxa"/>
            <w:tcBorders>
              <w:top w:val="single" w:sz="4" w:space="0" w:color="000000"/>
              <w:left w:val="single" w:sz="4" w:space="0" w:color="000000"/>
              <w:bottom w:val="single" w:sz="4" w:space="0" w:color="000000"/>
              <w:right w:val="single" w:sz="4" w:space="0" w:color="000000"/>
            </w:tcBorders>
          </w:tcPr>
          <w:p>
            <w:pPr>
              <w:pStyle w:val="Normal"/>
              <w:numPr>
                <w:ilvl w:val="0"/>
                <w:numId w:val="32"/>
              </w:numPr>
              <w:spacing w:lineRule="auto" w:line="240"/>
              <w:jc w:val="center"/>
              <w:rPr>
                <w:sz w:val="20"/>
                <w:szCs w:val="20"/>
              </w:rPr>
            </w:pPr>
            <w:r>
              <w:rPr>
                <w:sz w:val="20"/>
                <w:szCs w:val="20"/>
              </w:rPr>
            </w:r>
          </w:p>
        </w:tc>
        <w:tc>
          <w:tcPr>
            <w:tcW w:w="269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Стоянка «Катенино 4»</w:t>
            </w:r>
          </w:p>
        </w:tc>
        <w:tc>
          <w:tcPr>
            <w:tcW w:w="368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 археологии</w:t>
            </w:r>
          </w:p>
        </w:tc>
        <w:tc>
          <w:tcPr>
            <w:tcW w:w="297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w:t>
            </w:r>
          </w:p>
        </w:tc>
        <w:tc>
          <w:tcPr>
            <w:tcW w:w="229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w:t>
            </w:r>
          </w:p>
        </w:tc>
        <w:tc>
          <w:tcPr>
            <w:tcW w:w="280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В 5,5 км к западу от дамбы у с. Катенино и в 5,8 км к востоку от д. Новониколаевское</w:t>
            </w:r>
          </w:p>
        </w:tc>
      </w:tr>
      <w:tr>
        <w:trPr>
          <w:trHeight w:val="234" w:hRule="atLeast"/>
        </w:trPr>
        <w:tc>
          <w:tcPr>
            <w:tcW w:w="561" w:type="dxa"/>
            <w:tcBorders>
              <w:top w:val="single" w:sz="4" w:space="0" w:color="000000"/>
              <w:left w:val="single" w:sz="4" w:space="0" w:color="000000"/>
              <w:bottom w:val="single" w:sz="4" w:space="0" w:color="000000"/>
              <w:right w:val="single" w:sz="4" w:space="0" w:color="000000"/>
            </w:tcBorders>
          </w:tcPr>
          <w:p>
            <w:pPr>
              <w:pStyle w:val="Normal"/>
              <w:numPr>
                <w:ilvl w:val="0"/>
                <w:numId w:val="32"/>
              </w:numPr>
              <w:spacing w:lineRule="auto" w:line="240"/>
              <w:jc w:val="center"/>
              <w:rPr>
                <w:sz w:val="20"/>
                <w:szCs w:val="20"/>
              </w:rPr>
            </w:pPr>
            <w:r>
              <w:rPr>
                <w:sz w:val="20"/>
                <w:szCs w:val="20"/>
              </w:rPr>
            </w:r>
          </w:p>
        </w:tc>
        <w:tc>
          <w:tcPr>
            <w:tcW w:w="269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 xml:space="preserve">Курган с «усами» Катенинский </w:t>
            </w:r>
          </w:p>
          <w:p>
            <w:pPr>
              <w:pStyle w:val="Normal"/>
              <w:spacing w:lineRule="auto" w:line="240"/>
              <w:ind w:right="46" w:hanging="0"/>
              <w:jc w:val="left"/>
              <w:rPr>
                <w:sz w:val="20"/>
                <w:szCs w:val="20"/>
              </w:rPr>
            </w:pPr>
            <w:r>
              <w:rPr>
                <w:sz w:val="20"/>
                <w:szCs w:val="20"/>
              </w:rPr>
            </w:r>
          </w:p>
        </w:tc>
        <w:tc>
          <w:tcPr>
            <w:tcW w:w="368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 археологии</w:t>
            </w:r>
          </w:p>
        </w:tc>
        <w:tc>
          <w:tcPr>
            <w:tcW w:w="297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w:t>
            </w:r>
          </w:p>
        </w:tc>
        <w:tc>
          <w:tcPr>
            <w:tcW w:w="229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w:t>
            </w:r>
          </w:p>
        </w:tc>
        <w:tc>
          <w:tcPr>
            <w:tcW w:w="280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 xml:space="preserve">Катенинское сельское поселение, </w:t>
            </w:r>
          </w:p>
          <w:p>
            <w:pPr>
              <w:pStyle w:val="Normal"/>
              <w:spacing w:lineRule="auto" w:line="240"/>
              <w:jc w:val="left"/>
              <w:rPr>
                <w:sz w:val="20"/>
                <w:szCs w:val="20"/>
              </w:rPr>
            </w:pPr>
            <w:r>
              <w:rPr>
                <w:sz w:val="20"/>
                <w:szCs w:val="20"/>
              </w:rPr>
              <w:t>4,5 километра к юго-западу от поселка Катенино, 680 метров к за-</w:t>
            </w:r>
          </w:p>
          <w:p>
            <w:pPr>
              <w:pStyle w:val="Normal"/>
              <w:spacing w:lineRule="auto" w:line="240"/>
              <w:jc w:val="left"/>
              <w:rPr>
                <w:sz w:val="20"/>
                <w:szCs w:val="20"/>
              </w:rPr>
            </w:pPr>
            <w:r>
              <w:rPr>
                <w:sz w:val="20"/>
                <w:szCs w:val="20"/>
              </w:rPr>
              <w:t>паду от автодороги «Катенино-Красный Октябрь»</w:t>
            </w:r>
          </w:p>
        </w:tc>
      </w:tr>
      <w:tr>
        <w:trPr>
          <w:trHeight w:val="234" w:hRule="atLeast"/>
        </w:trPr>
        <w:tc>
          <w:tcPr>
            <w:tcW w:w="561" w:type="dxa"/>
            <w:tcBorders>
              <w:top w:val="single" w:sz="4" w:space="0" w:color="000000"/>
              <w:left w:val="single" w:sz="4" w:space="0" w:color="000000"/>
              <w:bottom w:val="single" w:sz="4" w:space="0" w:color="000000"/>
              <w:right w:val="single" w:sz="4" w:space="0" w:color="000000"/>
            </w:tcBorders>
          </w:tcPr>
          <w:p>
            <w:pPr>
              <w:pStyle w:val="Normal"/>
              <w:numPr>
                <w:ilvl w:val="0"/>
                <w:numId w:val="32"/>
              </w:numPr>
              <w:spacing w:lineRule="auto" w:line="240"/>
              <w:jc w:val="center"/>
              <w:rPr>
                <w:sz w:val="20"/>
                <w:szCs w:val="20"/>
              </w:rPr>
            </w:pPr>
            <w:r>
              <w:rPr>
                <w:sz w:val="20"/>
                <w:szCs w:val="20"/>
              </w:rPr>
            </w:r>
          </w:p>
        </w:tc>
        <w:tc>
          <w:tcPr>
            <w:tcW w:w="269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 xml:space="preserve">Поселение </w:t>
            </w:r>
          </w:p>
          <w:p>
            <w:pPr>
              <w:pStyle w:val="Normal"/>
              <w:spacing w:lineRule="auto" w:line="240"/>
              <w:jc w:val="left"/>
              <w:rPr>
                <w:sz w:val="20"/>
                <w:szCs w:val="20"/>
              </w:rPr>
            </w:pPr>
            <w:r>
              <w:rPr>
                <w:sz w:val="20"/>
                <w:szCs w:val="20"/>
              </w:rPr>
              <w:t>Новониколаевка I</w:t>
            </w:r>
          </w:p>
        </w:tc>
        <w:tc>
          <w:tcPr>
            <w:tcW w:w="368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 археологии</w:t>
            </w:r>
          </w:p>
        </w:tc>
        <w:tc>
          <w:tcPr>
            <w:tcW w:w="297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w:t>
            </w:r>
          </w:p>
        </w:tc>
        <w:tc>
          <w:tcPr>
            <w:tcW w:w="229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w:t>
            </w:r>
          </w:p>
        </w:tc>
        <w:tc>
          <w:tcPr>
            <w:tcW w:w="280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 xml:space="preserve">левый берег р. Караталы-Аят, в 4,5 км к востоку от д. Новониколаевка Карталинского муниципального района и в 0,3 км к северо-востоку от старого моста (дамбы), на территории кадастрового квартала 74:05:4600007:2, GPS-координаты: </w:t>
            </w:r>
          </w:p>
          <w:p>
            <w:pPr>
              <w:pStyle w:val="Normal"/>
              <w:spacing w:lineRule="auto" w:line="240"/>
              <w:jc w:val="left"/>
              <w:rPr>
                <w:sz w:val="20"/>
                <w:szCs w:val="20"/>
              </w:rPr>
            </w:pPr>
            <w:r>
              <w:rPr>
                <w:sz w:val="20"/>
                <w:szCs w:val="20"/>
              </w:rPr>
              <w:t xml:space="preserve">1) 53° 9'39.70"С, 60°56'1.36"В, 2) </w:t>
            </w:r>
          </w:p>
          <w:p>
            <w:pPr>
              <w:pStyle w:val="Normal"/>
              <w:spacing w:lineRule="auto" w:line="240"/>
              <w:jc w:val="left"/>
              <w:rPr>
                <w:sz w:val="20"/>
                <w:szCs w:val="20"/>
              </w:rPr>
            </w:pPr>
            <w:r>
              <w:rPr>
                <w:sz w:val="20"/>
                <w:szCs w:val="20"/>
              </w:rPr>
              <w:t xml:space="preserve">53° 9'39.95"С, 60°56'1.57"В, 3) 53° </w:t>
            </w:r>
          </w:p>
          <w:p>
            <w:pPr>
              <w:pStyle w:val="Normal"/>
              <w:spacing w:lineRule="auto" w:line="240"/>
              <w:jc w:val="left"/>
              <w:rPr>
                <w:sz w:val="20"/>
                <w:szCs w:val="20"/>
              </w:rPr>
            </w:pPr>
            <w:r>
              <w:rPr>
                <w:sz w:val="20"/>
                <w:szCs w:val="20"/>
              </w:rPr>
              <w:t xml:space="preserve">9'40.87"С, 60°56'8.17"В, 4) 53° </w:t>
            </w:r>
          </w:p>
          <w:p>
            <w:pPr>
              <w:pStyle w:val="Normal"/>
              <w:spacing w:lineRule="auto" w:line="240"/>
              <w:jc w:val="left"/>
              <w:rPr>
                <w:sz w:val="20"/>
                <w:szCs w:val="20"/>
              </w:rPr>
            </w:pPr>
            <w:r>
              <w:rPr>
                <w:sz w:val="20"/>
                <w:szCs w:val="20"/>
              </w:rPr>
              <w:t xml:space="preserve">9'41.44"С, 60°56'10.81"В, 5) 53° </w:t>
            </w:r>
          </w:p>
          <w:p>
            <w:pPr>
              <w:pStyle w:val="Normal"/>
              <w:spacing w:lineRule="auto" w:line="240"/>
              <w:jc w:val="left"/>
              <w:rPr>
                <w:sz w:val="20"/>
                <w:szCs w:val="20"/>
              </w:rPr>
            </w:pPr>
            <w:r>
              <w:rPr>
                <w:sz w:val="20"/>
                <w:szCs w:val="20"/>
              </w:rPr>
              <w:t xml:space="preserve">9'41.35"С, 60°56'12.00"В, 6) 53° </w:t>
            </w:r>
          </w:p>
          <w:p>
            <w:pPr>
              <w:pStyle w:val="Normal"/>
              <w:spacing w:lineRule="auto" w:line="240"/>
              <w:jc w:val="left"/>
              <w:rPr>
                <w:sz w:val="20"/>
                <w:szCs w:val="20"/>
              </w:rPr>
            </w:pPr>
            <w:r>
              <w:rPr>
                <w:sz w:val="20"/>
                <w:szCs w:val="20"/>
              </w:rPr>
              <w:t xml:space="preserve">9'40.88"С, 60°56'12.70"В, 7) 53° </w:t>
            </w:r>
          </w:p>
          <w:p>
            <w:pPr>
              <w:pStyle w:val="Normal"/>
              <w:spacing w:lineRule="auto" w:line="240"/>
              <w:jc w:val="left"/>
              <w:rPr>
                <w:sz w:val="20"/>
                <w:szCs w:val="20"/>
              </w:rPr>
            </w:pPr>
            <w:r>
              <w:rPr>
                <w:sz w:val="20"/>
                <w:szCs w:val="20"/>
              </w:rPr>
              <w:t xml:space="preserve">9'40.51"С, 60°56'12.88"В, 8) 53° </w:t>
            </w:r>
          </w:p>
          <w:p>
            <w:pPr>
              <w:pStyle w:val="Normal"/>
              <w:spacing w:lineRule="auto" w:line="240"/>
              <w:jc w:val="left"/>
              <w:rPr>
                <w:sz w:val="20"/>
                <w:szCs w:val="20"/>
              </w:rPr>
            </w:pPr>
            <w:r>
              <w:rPr>
                <w:sz w:val="20"/>
                <w:szCs w:val="20"/>
              </w:rPr>
              <w:t xml:space="preserve">9'40.27"С, 60°56'12.74"В, 9) 53° </w:t>
            </w:r>
          </w:p>
          <w:p>
            <w:pPr>
              <w:pStyle w:val="Normal"/>
              <w:spacing w:lineRule="auto" w:line="240"/>
              <w:jc w:val="left"/>
              <w:rPr>
                <w:sz w:val="20"/>
                <w:szCs w:val="20"/>
              </w:rPr>
            </w:pPr>
            <w:r>
              <w:rPr>
                <w:sz w:val="20"/>
                <w:szCs w:val="20"/>
              </w:rPr>
              <w:t>9'39.03"С; 60°56'1.60"В</w:t>
            </w:r>
          </w:p>
        </w:tc>
      </w:tr>
      <w:tr>
        <w:trPr>
          <w:trHeight w:val="234" w:hRule="atLeast"/>
        </w:trPr>
        <w:tc>
          <w:tcPr>
            <w:tcW w:w="561" w:type="dxa"/>
            <w:tcBorders>
              <w:top w:val="single" w:sz="4" w:space="0" w:color="000000"/>
              <w:left w:val="single" w:sz="4" w:space="0" w:color="000000"/>
              <w:bottom w:val="single" w:sz="4" w:space="0" w:color="000000"/>
              <w:right w:val="single" w:sz="4" w:space="0" w:color="000000"/>
            </w:tcBorders>
          </w:tcPr>
          <w:p>
            <w:pPr>
              <w:pStyle w:val="Normal"/>
              <w:numPr>
                <w:ilvl w:val="0"/>
                <w:numId w:val="32"/>
              </w:numPr>
              <w:spacing w:lineRule="auto" w:line="240"/>
              <w:jc w:val="center"/>
              <w:rPr>
                <w:sz w:val="20"/>
                <w:szCs w:val="20"/>
              </w:rPr>
            </w:pPr>
            <w:r>
              <w:rPr>
                <w:sz w:val="20"/>
                <w:szCs w:val="20"/>
              </w:rPr>
            </w:r>
          </w:p>
        </w:tc>
        <w:tc>
          <w:tcPr>
            <w:tcW w:w="269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Курган с «усами» Катенинский 2</w:t>
            </w:r>
          </w:p>
        </w:tc>
        <w:tc>
          <w:tcPr>
            <w:tcW w:w="3685"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 археологии</w:t>
            </w:r>
          </w:p>
        </w:tc>
        <w:tc>
          <w:tcPr>
            <w:tcW w:w="297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w:t>
            </w:r>
          </w:p>
        </w:tc>
        <w:tc>
          <w:tcPr>
            <w:tcW w:w="229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Памятник</w:t>
            </w:r>
          </w:p>
        </w:tc>
        <w:tc>
          <w:tcPr>
            <w:tcW w:w="280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2,6 километра к югу от поселка Катенино</w:t>
            </w:r>
          </w:p>
        </w:tc>
      </w:tr>
    </w:tbl>
    <w:p>
      <w:pPr>
        <w:sectPr>
          <w:headerReference w:type="default" r:id="rId142"/>
          <w:footerReference w:type="default" r:id="rId143"/>
          <w:type w:val="nextPage"/>
          <w:pgSz w:orient="landscape" w:w="16838" w:h="11906"/>
          <w:pgMar w:left="1134" w:right="1134" w:header="567" w:top="1134" w:footer="567" w:bottom="624" w:gutter="0"/>
          <w:pgNumType w:fmt="decimal"/>
          <w:formProt w:val="false"/>
          <w:textDirection w:val="lrTb"/>
          <w:docGrid w:type="default" w:linePitch="360" w:charSpace="0"/>
        </w:sectPr>
        <w:pStyle w:val="Style27"/>
        <w:spacing w:lineRule="auto" w:line="240"/>
        <w:ind w:hanging="0"/>
        <w:rPr>
          <w:sz w:val="20"/>
          <w:szCs w:val="20"/>
        </w:rPr>
      </w:pPr>
      <w:r>
        <w:rPr>
          <w:sz w:val="20"/>
          <w:szCs w:val="20"/>
        </w:rPr>
        <w:t>Примечание – * На основании приказа Министерства культуры Российской Федерации от 01.09.2015 № 2328 «Об утверждении перечня отдельных сведений об объектах археологического наследия, которые не подлежат опубликованию» сведения о местонахождении объекта археологического наследия не подлежат опубликованию.</w:t>
      </w:r>
    </w:p>
    <w:p>
      <w:pPr>
        <w:pStyle w:val="Normal"/>
        <w:spacing w:lineRule="auto" w:line="276"/>
        <w:ind w:firstLine="709"/>
        <w:rPr>
          <w:rFonts w:eastAsia="Times New Roman"/>
          <w:b/>
          <w:b/>
          <w:szCs w:val="24"/>
        </w:rPr>
      </w:pPr>
      <w:bookmarkStart w:id="287" w:name="_Toc182210514"/>
      <w:r>
        <w:rPr/>
        <w:t>Границы территорий выявленных объектов культурного наследия не утверждены (кроме «Поселение Новониколаевка I», «Курган с «усами» Катенинский 2») в соответствии с действующим законодательством.</w:t>
      </w:r>
    </w:p>
    <w:p>
      <w:pPr>
        <w:pStyle w:val="Normal"/>
        <w:spacing w:lineRule="auto" w:line="276"/>
        <w:ind w:firstLine="709"/>
        <w:rPr>
          <w:rFonts w:eastAsia="Times New Roman"/>
          <w:b/>
          <w:b/>
          <w:szCs w:val="24"/>
        </w:rPr>
      </w:pPr>
      <w:r>
        <w:rPr/>
        <w:t>Согласно ст. 3.1 Федерального закона от 25.06.2002 № 73-ФЗ</w:t>
      </w:r>
    </w:p>
    <w:p>
      <w:pPr>
        <w:pStyle w:val="Normal"/>
        <w:spacing w:lineRule="auto" w:line="276"/>
        <w:ind w:firstLine="709"/>
        <w:rPr>
          <w:rFonts w:eastAsia="Times New Roman"/>
          <w:b/>
          <w:b/>
          <w:szCs w:val="24"/>
        </w:rPr>
      </w:pPr>
      <w:r>
        <w:rPr/>
        <w:t>«Об объектах культурного наследия (памятниках истории и культуры) народов Российской Федерации» (далее – Закон № 73-ФЗ) в случае, если территории объектов культурного наследия не утверждены, за территорию указанных объектов следует принимать территории, непосредственно занятые данными объектами культурного наследия и являющиеся их неотъемлемой частью.</w:t>
      </w:r>
    </w:p>
    <w:p>
      <w:pPr>
        <w:pStyle w:val="Normal"/>
        <w:spacing w:lineRule="auto" w:line="276"/>
        <w:ind w:firstLine="709"/>
        <w:rPr>
          <w:rFonts w:eastAsia="Times New Roman"/>
          <w:b/>
          <w:b/>
          <w:szCs w:val="24"/>
        </w:rPr>
      </w:pPr>
      <w:r>
        <w:rPr/>
        <w:t>Согласно п. 1 ст. 5.1 Закона № 73-ФЗ в границах территории объекта культурного наследия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 На территории памятника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pPr>
        <w:pStyle w:val="Normal"/>
        <w:spacing w:lineRule="auto" w:line="276"/>
        <w:ind w:firstLine="709"/>
        <w:rPr>
          <w:rFonts w:eastAsia="Times New Roman"/>
          <w:b/>
          <w:b/>
          <w:szCs w:val="24"/>
        </w:rPr>
      </w:pPr>
      <w:r>
        <w:rPr/>
        <w:t>В соответствии с п. 3 ст. 36 Закона № 73-ФЗ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проекта обеспечения сохранности указанного объекта культурного наследия, включающих оценку воздействия проводимых работ на указанный объект культурного наследия, согласованных с областным органом охраны объектов культурного наследия.</w:t>
      </w:r>
    </w:p>
    <w:p>
      <w:pPr>
        <w:pStyle w:val="Normal"/>
        <w:spacing w:lineRule="auto" w:line="276"/>
        <w:ind w:firstLine="709"/>
        <w:rPr>
          <w:rFonts w:eastAsia="Times New Roman"/>
          <w:b/>
          <w:b/>
          <w:szCs w:val="24"/>
        </w:rPr>
      </w:pPr>
      <w:r>
        <w:rPr/>
        <w:t>Вместе с тем, в органе охраны объектов культурного наследия не имеется данных об отсутствии на территории Катенинского сельского поселения иных объектов, обладающих признаками объектов культурного наследия. Кроме того, границы территорий большого количества выявленных объектов культурного (археологического) наследия на территории Варненского муниципального района в настоящее время также не определены (не установлены).</w:t>
      </w:r>
    </w:p>
    <w:p>
      <w:pPr>
        <w:pStyle w:val="Normal"/>
        <w:spacing w:lineRule="auto" w:line="276"/>
        <w:ind w:firstLine="709"/>
        <w:rPr>
          <w:rFonts w:eastAsia="Times New Roman"/>
          <w:b/>
          <w:b/>
          <w:szCs w:val="24"/>
        </w:rPr>
      </w:pPr>
      <w:r>
        <w:rPr/>
        <w:t xml:space="preserve">В соответствии с п. 56 ст. 26 Федерального закона от 03.08.2018 г. № 342-ФЗ «О внесении изменений в Градостроительный кодекс Российской Федерации и отдельные законодательные акты Российской Федерации» земли, подлежащие воздействию земляных, строительных, мелиоративных, хозяйственных работ, предусмотренных ст. 25 Лесного кодекса Российской Федерации работ по использованию лесов (за исключением работ, указанных в п. 3, 4 и 7 части 1 ст. 25 Лесного кодекса Российской Федерации) и иных работ, в случае, если орган охраны объектов культурного наследия не имеет данных об отсутствии на указанных землях объектов культурного наследия, включенных в реестр, выявленных объектов культурного наследия либо объектов, обладающих признаками объекта культурного наследия, являются объектом историко-культурной экспертизы. </w:t>
      </w:r>
    </w:p>
    <w:p>
      <w:pPr>
        <w:pStyle w:val="Normal"/>
        <w:spacing w:lineRule="auto" w:line="276"/>
        <w:ind w:firstLine="709"/>
        <w:rPr>
          <w:rFonts w:eastAsia="Times New Roman"/>
          <w:b/>
          <w:b/>
          <w:szCs w:val="24"/>
        </w:rPr>
      </w:pPr>
      <w:r>
        <w:rPr/>
        <w:t>Особенности порядка определения наличия или отсутствия объектов, обладающих признаками объекта культурного наследия, на территориях, подлежащих воздействию изыскательных, земляных, строительных, мелиоративных, хозяйственных работ, указанных в ст. 30 Закона № 73-ФЗ работ по использованию лесов и иных работ установлены постановлением Правительства Российской Федерации от 30.12.2023 г. № 2418.</w:t>
      </w:r>
    </w:p>
    <w:p>
      <w:pPr>
        <w:pStyle w:val="Normal"/>
        <w:keepNext w:val="true"/>
        <w:numPr>
          <w:ilvl w:val="0"/>
          <w:numId w:val="0"/>
        </w:numPr>
        <w:tabs>
          <w:tab w:val="clear" w:pos="708"/>
          <w:tab w:val="left" w:pos="709" w:leader="none"/>
        </w:tabs>
        <w:spacing w:lineRule="auto" w:line="276" w:before="120" w:after="200"/>
        <w:outlineLvl w:val="2"/>
        <w:rPr>
          <w:rFonts w:eastAsia="Times New Roman"/>
          <w:b/>
          <w:b/>
          <w:szCs w:val="24"/>
        </w:rPr>
      </w:pPr>
      <w:bookmarkStart w:id="288" w:name="_Toc182210514"/>
      <w:r>
        <w:rPr>
          <w:rFonts w:eastAsia="Times New Roman"/>
          <w:b/>
          <w:szCs w:val="24"/>
        </w:rPr>
        <w:t>12.3 Мероприятия, направленные на сохранение объектов культурного наследия</w:t>
      </w:r>
      <w:bookmarkEnd w:id="288"/>
    </w:p>
    <w:p>
      <w:pPr>
        <w:pStyle w:val="Normal"/>
        <w:spacing w:lineRule="auto" w:line="276"/>
        <w:ind w:firstLine="709"/>
        <w:rPr>
          <w:rFonts w:eastAsia="Times New Roman"/>
          <w:b/>
          <w:b/>
          <w:szCs w:val="24"/>
        </w:rPr>
      </w:pPr>
      <w:r>
        <w:rPr/>
        <w:t>В соответствии с требованиями Федерального закона № 73-ФЗ защитные зоны на выявленные объекты культурного наследия не устанавливаются. Между тем, земляные, строительные, хозяйственные и иные работы на земельном участке необходимо проводить при наличии в проектной документации раздела об обеспечении сохранности выявленного объекта культурного наследия, который подлежит государственной историко-культурной экспертизе. Перед началом проведения земляных, строительных, хозяйственных и иных работ раздел об обеспечении сохранности объектов культурного наследия и акт государственной историко-культурной экспертизы подлежат согласованию с Управлением по охране объектов культурного наследия Челябинской области (статьи 28, 30, 36 Федерального закона № 73-ФЗ).</w:t>
      </w:r>
    </w:p>
    <w:p>
      <w:pPr>
        <w:pStyle w:val="Normal"/>
        <w:spacing w:lineRule="auto" w:line="276"/>
        <w:ind w:firstLine="709"/>
        <w:rPr>
          <w:rFonts w:eastAsia="Times New Roman"/>
          <w:b/>
          <w:b/>
          <w:szCs w:val="24"/>
        </w:rPr>
      </w:pPr>
      <w:r>
        <w:rPr/>
        <w:t xml:space="preserve">Учитывая изложенное, при проектировании земляных, строительных, хозяйственных и иных работ, заказчик работ в соответствии со статьями 28, 30, 31, 32, 36, 45.1 Федерального закона </w:t>
        <w:br/>
        <w:t>№ 73-ФЗ обязан:</w:t>
      </w:r>
    </w:p>
    <w:p>
      <w:pPr>
        <w:pStyle w:val="Normal"/>
        <w:numPr>
          <w:ilvl w:val="0"/>
          <w:numId w:val="33"/>
        </w:numPr>
        <w:spacing w:lineRule="auto" w:line="276" w:before="0" w:after="200"/>
        <w:ind w:left="0" w:firstLine="709"/>
        <w:contextualSpacing/>
        <w:rPr>
          <w:rFonts w:eastAsia="Times New Roman"/>
          <w:szCs w:val="24"/>
          <w:lang w:eastAsia="ru-RU"/>
        </w:rPr>
      </w:pPr>
      <w:r>
        <w:rPr>
          <w:rFonts w:eastAsia="Times New Roman"/>
          <w:szCs w:val="24"/>
          <w:lang w:eastAsia="ru-RU"/>
        </w:rPr>
        <w:t xml:space="preserve"> </w:t>
      </w:r>
      <w:r>
        <w:rPr>
          <w:rFonts w:eastAsia="Times New Roman"/>
          <w:szCs w:val="24"/>
          <w:lang w:eastAsia="ru-RU"/>
        </w:rPr>
        <w:t xml:space="preserve">обеспечить проведение и финансирование историко-культурной экспертизы земельного участка, подлежащего воздействию земляных, строительных, хозяйственных и иных работ, путем археологической разведки, в порядке, установленном статьей 45.1 Федерального закона </w:t>
        <w:br/>
        <w:t>№ 75-ФЗ;</w:t>
      </w:r>
    </w:p>
    <w:p>
      <w:pPr>
        <w:pStyle w:val="Normal"/>
        <w:numPr>
          <w:ilvl w:val="0"/>
          <w:numId w:val="33"/>
        </w:numPr>
        <w:spacing w:lineRule="auto" w:line="276"/>
        <w:ind w:left="0" w:firstLine="709"/>
        <w:rPr>
          <w:rFonts w:eastAsia="Times New Roman"/>
          <w:szCs w:val="24"/>
          <w:lang w:eastAsia="ru-RU"/>
        </w:rPr>
      </w:pPr>
      <w:r>
        <w:rPr>
          <w:rFonts w:eastAsia="Times New Roman"/>
          <w:szCs w:val="24"/>
          <w:lang w:eastAsia="ru-RU"/>
        </w:rPr>
        <w:t xml:space="preserve"> </w:t>
      </w:r>
      <w:r>
        <w:rPr>
          <w:rFonts w:eastAsia="Times New Roman"/>
          <w:szCs w:val="24"/>
          <w:lang w:eastAsia="ru-RU"/>
        </w:rPr>
        <w:t>представить в государственный орган охраны объектов культурного наследия документацию, подготовленную на основе археологических полевых работ, содержащую результаты исследований, в соответствии с которыми определяется наличие или отсутствие объектов, обладающих признаками объекта культурного наследия на земельном участке, подлежащем воздействию земляных, строительных, хозяйственных и иных работ, а также заключение государственной историко-культурной экспертизы указанной документации (либо земельного участка) (в виде акта).</w:t>
      </w:r>
    </w:p>
    <w:p>
      <w:pPr>
        <w:pStyle w:val="Normal"/>
        <w:spacing w:lineRule="auto" w:line="276"/>
        <w:ind w:firstLine="709"/>
        <w:rPr>
          <w:rFonts w:eastAsia="Times New Roman"/>
          <w:b/>
          <w:b/>
          <w:szCs w:val="24"/>
        </w:rPr>
      </w:pPr>
      <w:r>
        <w:rPr/>
        <w:t>В случае обнаружения в границах земельного участка, подлежащего воздействию земляных, строительных, хозяйственных и иных работ объектов, обладающих признаками объекта археологического наследия, и после принятия органом государственной охраны объектов культурного наследия решения о включении данного объекта в перечень выявленных объектов культурного наследия:</w:t>
      </w:r>
    </w:p>
    <w:p>
      <w:pPr>
        <w:pStyle w:val="Normal"/>
        <w:numPr>
          <w:ilvl w:val="0"/>
          <w:numId w:val="34"/>
        </w:numPr>
        <w:spacing w:lineRule="auto" w:line="276" w:before="0" w:after="200"/>
        <w:ind w:left="0" w:firstLine="426"/>
        <w:contextualSpacing/>
        <w:rPr>
          <w:rFonts w:eastAsia="Times New Roman"/>
          <w:szCs w:val="24"/>
          <w:lang w:eastAsia="ru-RU"/>
        </w:rPr>
      </w:pPr>
      <w:r>
        <w:rPr>
          <w:rFonts w:eastAsia="Times New Roman"/>
          <w:szCs w:val="24"/>
          <w:lang w:eastAsia="ru-RU"/>
        </w:rPr>
        <w:t>разработать в составе проектной документации раздел об обеспечении сохранности выявленного объекта культурного наследия или о проведении спасательных археологических полевых работ или проект обеспечения сохранности выявленного объекта культурного наследия либо план проведения спасательных археологических полевых работ, включающих оценку воздействия проводимых работ на указанный объект культурного наследия (далее — документация или раздел документации, обосновывающей меры по обеспечению сохранности выявленного объекта культурного (археологического) наследия);</w:t>
      </w:r>
    </w:p>
    <w:p>
      <w:pPr>
        <w:pStyle w:val="Normal"/>
        <w:numPr>
          <w:ilvl w:val="0"/>
          <w:numId w:val="34"/>
        </w:numPr>
        <w:spacing w:lineRule="auto" w:line="276" w:before="0" w:after="200"/>
        <w:ind w:left="0" w:firstLine="426"/>
        <w:contextualSpacing/>
        <w:rPr>
          <w:rFonts w:eastAsia="Times New Roman"/>
          <w:szCs w:val="24"/>
          <w:lang w:eastAsia="ru-RU"/>
        </w:rPr>
      </w:pPr>
      <w:r>
        <w:rPr>
          <w:rFonts w:eastAsia="Times New Roman"/>
          <w:szCs w:val="24"/>
          <w:lang w:eastAsia="ru-RU"/>
        </w:rPr>
        <w:t>получить по документации или разделу документации, обосновывающей меры по обеспечению сохранности выявленного объекта культурного наследия заключение государственной историко-культурной экспертизы и представить его совместно с указанной документацией в государственный орган охраны объектов культурного наследия на согласование;</w:t>
      </w:r>
    </w:p>
    <w:p>
      <w:pPr>
        <w:pStyle w:val="Normal"/>
        <w:numPr>
          <w:ilvl w:val="0"/>
          <w:numId w:val="34"/>
        </w:numPr>
        <w:spacing w:lineRule="auto" w:line="276" w:before="0" w:after="200"/>
        <w:ind w:left="0" w:firstLine="426"/>
        <w:contextualSpacing/>
        <w:rPr>
          <w:rFonts w:eastAsia="Times New Roman"/>
          <w:szCs w:val="24"/>
          <w:lang w:eastAsia="ru-RU"/>
        </w:rPr>
      </w:pPr>
      <w:r>
        <w:rPr>
          <w:rFonts w:eastAsia="Times New Roman"/>
          <w:szCs w:val="24"/>
          <w:lang w:eastAsia="ru-RU"/>
        </w:rPr>
        <w:t>обеспечить реализацию согласованной государственным органом охраны объектов культурного наследия документации, обосновывающей меры по обеспечению сохранности выявленного объекта культурного (археологического) наследия.</w:t>
      </w:r>
    </w:p>
    <w:p>
      <w:pPr>
        <w:sectPr>
          <w:headerReference w:type="default" r:id="rId144"/>
          <w:footerReference w:type="default" r:id="rId145"/>
          <w:type w:val="nextPage"/>
          <w:pgSz w:w="11906" w:h="16838"/>
          <w:pgMar w:left="1134" w:right="567" w:header="567" w:top="1134" w:footer="567" w:bottom="1134" w:gutter="0"/>
          <w:pgNumType w:fmt="decimal"/>
          <w:formProt w:val="false"/>
          <w:textDirection w:val="lrTb"/>
          <w:docGrid w:type="default" w:linePitch="360" w:charSpace="0"/>
        </w:sectPr>
        <w:pStyle w:val="Normal"/>
        <w:spacing w:lineRule="auto" w:line="276"/>
        <w:ind w:firstLine="709"/>
        <w:rPr>
          <w:rFonts w:eastAsia="Times New Roman"/>
          <w:b/>
          <w:b/>
          <w:szCs w:val="24"/>
        </w:rPr>
      </w:pPr>
      <w:r>
        <w:rPr/>
        <w:t>В соответствии с Федеральным законом № 73-ФЗ объекты культурного наследия, включая выявленные, подлежат государственной охране. За нарушение настоящего Федерального закона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 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что не освобождает данных лиц от административной и уголовной ответственности, предусмотренной за совершение таких действий.</w:t>
      </w:r>
    </w:p>
    <w:p>
      <w:pPr>
        <w:pStyle w:val="0212164"/>
        <w:rPr>
          <w:rFonts w:ascii="Calibri" w:hAnsi="Calibri" w:asciiTheme="minorHAnsi" w:hAnsiTheme="minorHAnsi"/>
        </w:rPr>
      </w:pPr>
      <w:bookmarkStart w:id="289" w:name="_Toc80966071"/>
      <w:bookmarkStart w:id="290" w:name="_Toc182210515"/>
      <w:r>
        <w:rPr/>
        <w:t>ГЛАВА 13. МЕСТОРОЖДЕНИЯ И ПРОЯВЛЕНИЯ ПОЛЕЗНЫХ ИСКОПАЕМЫХ</w:t>
      </w:r>
      <w:bookmarkEnd w:id="289"/>
      <w:bookmarkEnd w:id="290"/>
    </w:p>
    <w:p>
      <w:pPr>
        <w:pStyle w:val="0212161"/>
        <w:rPr>
          <w:rFonts w:eastAsia="Times New Roman"/>
          <w:b/>
          <w:b/>
          <w:szCs w:val="24"/>
        </w:rPr>
      </w:pPr>
      <w:r>
        <w:rPr/>
        <w:t xml:space="preserve"> </w:t>
      </w:r>
      <w:bookmarkStart w:id="291" w:name="_Toc182210516"/>
      <w:bookmarkStart w:id="292" w:name="_Toc80966072"/>
      <w:r>
        <w:rPr/>
        <w:t>13.1 Участки недр, предоставленных для добычи полезных ископаемых, а также в целях, не связанных с их добычей</w:t>
      </w:r>
      <w:bookmarkEnd w:id="291"/>
      <w:bookmarkEnd w:id="292"/>
    </w:p>
    <w:p>
      <w:pPr>
        <w:pStyle w:val="Normal"/>
        <w:spacing w:lineRule="auto" w:line="276"/>
        <w:ind w:firstLine="709"/>
        <w:rPr>
          <w:rFonts w:eastAsia="Times New Roman"/>
          <w:b/>
          <w:b/>
          <w:szCs w:val="24"/>
        </w:rPr>
      </w:pPr>
      <w:bookmarkStart w:id="293" w:name="_Toc80966074"/>
      <w:bookmarkStart w:id="294" w:name="_Toc115250846"/>
      <w:bookmarkStart w:id="295" w:name="_Toc80966073"/>
      <w:r>
        <w:rPr/>
        <w:t xml:space="preserve">В соответствии со статьей 11 Закона Российской Федерации от 21.02.1992 </w:t>
        <w:br/>
        <w:t xml:space="preserve">№ 2395-1 «О недрах» предоставление участка (участков) недр в пользование на условиях соглашения о разделе продукции оформляется лицензией на пользование недрами. Лицензия удостоверяет право пользования указанным участком (участками) недр на условиях соглашения, определяющего все необходимые условия пользования недрами в соответствии с Федеральным </w:t>
      </w:r>
      <w:hyperlink r:id="rId146">
        <w:r>
          <w:rPr/>
          <w:t>законом</w:t>
        </w:r>
      </w:hyperlink>
      <w:r>
        <w:rPr/>
        <w:t xml:space="preserve"> от 30.12.1995 № 225-ФЗ «О соглашениях о разделе продукции» и законодательством Российской Федерации о недрах.</w:t>
      </w:r>
    </w:p>
    <w:p>
      <w:pPr>
        <w:pStyle w:val="Normal"/>
        <w:spacing w:lineRule="auto" w:line="276"/>
        <w:ind w:firstLine="709"/>
        <w:rPr>
          <w:rFonts w:eastAsia="Times New Roman"/>
          <w:b/>
          <w:b/>
          <w:szCs w:val="24"/>
        </w:rPr>
      </w:pPr>
      <w:r>
        <w:rPr/>
        <w:t>В границах Катенинского сельского поселения Варненского муниципального района расположены лицензионные участки недр, предоставленные в пользование ОА «Михеевский ГОК».</w:t>
      </w:r>
    </w:p>
    <w:p>
      <w:pPr>
        <w:pStyle w:val="Normal"/>
        <w:spacing w:lineRule="auto" w:line="276"/>
        <w:ind w:firstLine="709"/>
        <w:rPr>
          <w:szCs w:val="24"/>
        </w:rPr>
      </w:pPr>
      <w:r>
        <w:rPr>
          <w:szCs w:val="24"/>
        </w:rPr>
        <w:t>В таблице 3.13.1 представлена характеристика лицензионного участка недр.</w:t>
      </w:r>
    </w:p>
    <w:p>
      <w:pPr>
        <w:pStyle w:val="Normal"/>
        <w:spacing w:lineRule="auto" w:line="276"/>
        <w:ind w:firstLine="709"/>
        <w:jc w:val="right"/>
        <w:rPr>
          <w:szCs w:val="24"/>
        </w:rPr>
      </w:pPr>
      <w:r>
        <w:rPr>
          <w:szCs w:val="24"/>
        </w:rPr>
        <w:t>Таблица 3.13.1</w:t>
      </w:r>
    </w:p>
    <w:p>
      <w:pPr>
        <w:pStyle w:val="Normal"/>
        <w:spacing w:lineRule="auto" w:line="276"/>
        <w:jc w:val="center"/>
        <w:rPr>
          <w:szCs w:val="24"/>
        </w:rPr>
      </w:pPr>
      <w:r>
        <w:rPr>
          <w:szCs w:val="24"/>
        </w:rPr>
        <w:t>Характеристика лицензионных участков недр</w:t>
      </w:r>
    </w:p>
    <w:tbl>
      <w:tblPr>
        <w:tblStyle w:val="aff"/>
        <w:tblW w:w="5000" w:type="pct"/>
        <w:jc w:val="left"/>
        <w:tblInd w:w="-108" w:type="dxa"/>
        <w:tblCellMar>
          <w:top w:w="0" w:type="dxa"/>
          <w:left w:w="108" w:type="dxa"/>
          <w:bottom w:w="0" w:type="dxa"/>
          <w:right w:w="108" w:type="dxa"/>
        </w:tblCellMar>
        <w:tblLook w:firstRow="1" w:noVBand="1" w:lastRow="0" w:firstColumn="1" w:lastColumn="0" w:noHBand="0" w:val="04a0"/>
      </w:tblPr>
      <w:tblGrid>
        <w:gridCol w:w="248"/>
        <w:gridCol w:w="1875"/>
        <w:gridCol w:w="1559"/>
        <w:gridCol w:w="1420"/>
        <w:gridCol w:w="1421"/>
        <w:gridCol w:w="992"/>
        <w:gridCol w:w="1134"/>
        <w:gridCol w:w="1270"/>
      </w:tblGrid>
      <w:tr>
        <w:trPr/>
        <w:tc>
          <w:tcPr>
            <w:tcW w:w="248" w:type="dxa"/>
            <w:tcBorders>
              <w:bottom w:val="nil"/>
            </w:tcBorders>
            <w:vAlign w:val="center"/>
          </w:tcPr>
          <w:p>
            <w:pPr>
              <w:pStyle w:val="Normal"/>
              <w:tabs>
                <w:tab w:val="clear" w:pos="708"/>
                <w:tab w:val="left" w:pos="993" w:leader="none"/>
              </w:tabs>
              <w:spacing w:lineRule="auto" w:line="240"/>
              <w:jc w:val="center"/>
              <w:rPr>
                <w:rFonts w:eastAsia="Times New Roman"/>
                <w:b/>
                <w:b/>
                <w:sz w:val="20"/>
              </w:rPr>
            </w:pPr>
            <w:r>
              <w:rPr>
                <w:rFonts w:eastAsia="Times New Roman"/>
                <w:b/>
                <w:sz w:val="20"/>
              </w:rPr>
              <w:t>№</w:t>
            </w:r>
          </w:p>
        </w:tc>
        <w:tc>
          <w:tcPr>
            <w:tcW w:w="1875" w:type="dxa"/>
            <w:tcBorders>
              <w:bottom w:val="nil"/>
            </w:tcBorders>
            <w:vAlign w:val="center"/>
          </w:tcPr>
          <w:p>
            <w:pPr>
              <w:pStyle w:val="Normal"/>
              <w:tabs>
                <w:tab w:val="clear" w:pos="708"/>
                <w:tab w:val="left" w:pos="993" w:leader="none"/>
              </w:tabs>
              <w:spacing w:lineRule="auto" w:line="240"/>
              <w:jc w:val="center"/>
              <w:rPr>
                <w:rFonts w:eastAsia="Times New Roman"/>
                <w:b/>
                <w:b/>
                <w:sz w:val="20"/>
              </w:rPr>
            </w:pPr>
            <w:r>
              <w:rPr>
                <w:rFonts w:eastAsia="Times New Roman"/>
                <w:b/>
                <w:sz w:val="20"/>
              </w:rPr>
              <w:t>Наименование участка</w:t>
            </w:r>
          </w:p>
        </w:tc>
        <w:tc>
          <w:tcPr>
            <w:tcW w:w="1559" w:type="dxa"/>
            <w:tcBorders>
              <w:bottom w:val="nil"/>
            </w:tcBorders>
            <w:vAlign w:val="center"/>
          </w:tcPr>
          <w:p>
            <w:pPr>
              <w:pStyle w:val="Normal"/>
              <w:tabs>
                <w:tab w:val="clear" w:pos="708"/>
                <w:tab w:val="left" w:pos="993" w:leader="none"/>
              </w:tabs>
              <w:spacing w:lineRule="auto" w:line="240"/>
              <w:jc w:val="center"/>
              <w:rPr>
                <w:rFonts w:eastAsia="Times New Roman"/>
                <w:b/>
                <w:b/>
                <w:sz w:val="20"/>
              </w:rPr>
            </w:pPr>
            <w:r>
              <w:rPr>
                <w:rFonts w:eastAsia="Times New Roman"/>
                <w:b/>
                <w:sz w:val="20"/>
              </w:rPr>
              <w:t>Недропользователь</w:t>
            </w:r>
          </w:p>
        </w:tc>
        <w:tc>
          <w:tcPr>
            <w:tcW w:w="1420" w:type="dxa"/>
            <w:tcBorders>
              <w:bottom w:val="nil"/>
            </w:tcBorders>
            <w:vAlign w:val="center"/>
          </w:tcPr>
          <w:p>
            <w:pPr>
              <w:pStyle w:val="Normal"/>
              <w:tabs>
                <w:tab w:val="clear" w:pos="708"/>
                <w:tab w:val="left" w:pos="993" w:leader="none"/>
              </w:tabs>
              <w:spacing w:lineRule="auto" w:line="240"/>
              <w:jc w:val="center"/>
              <w:rPr>
                <w:rFonts w:eastAsia="Times New Roman"/>
                <w:b/>
                <w:b/>
                <w:sz w:val="20"/>
              </w:rPr>
            </w:pPr>
            <w:r>
              <w:rPr>
                <w:rFonts w:eastAsia="Times New Roman"/>
                <w:b/>
                <w:sz w:val="20"/>
              </w:rPr>
              <w:t>Полезное ископаемое</w:t>
            </w:r>
          </w:p>
        </w:tc>
        <w:tc>
          <w:tcPr>
            <w:tcW w:w="1421" w:type="dxa"/>
            <w:tcBorders>
              <w:bottom w:val="nil"/>
            </w:tcBorders>
            <w:vAlign w:val="center"/>
          </w:tcPr>
          <w:p>
            <w:pPr>
              <w:pStyle w:val="Normal"/>
              <w:tabs>
                <w:tab w:val="clear" w:pos="708"/>
                <w:tab w:val="left" w:pos="993" w:leader="none"/>
              </w:tabs>
              <w:spacing w:lineRule="auto" w:line="240"/>
              <w:jc w:val="center"/>
              <w:rPr>
                <w:rFonts w:eastAsia="Times New Roman"/>
                <w:b/>
                <w:b/>
                <w:sz w:val="20"/>
              </w:rPr>
            </w:pPr>
            <w:r>
              <w:rPr>
                <w:rFonts w:eastAsia="Times New Roman"/>
                <w:b/>
                <w:sz w:val="20"/>
              </w:rPr>
              <w:t>Лицензия</w:t>
            </w:r>
          </w:p>
        </w:tc>
        <w:tc>
          <w:tcPr>
            <w:tcW w:w="992" w:type="dxa"/>
            <w:tcBorders>
              <w:bottom w:val="nil"/>
            </w:tcBorders>
            <w:vAlign w:val="center"/>
          </w:tcPr>
          <w:p>
            <w:pPr>
              <w:pStyle w:val="Normal"/>
              <w:tabs>
                <w:tab w:val="clear" w:pos="708"/>
                <w:tab w:val="left" w:pos="993" w:leader="none"/>
              </w:tabs>
              <w:spacing w:lineRule="auto" w:line="240"/>
              <w:jc w:val="center"/>
              <w:rPr>
                <w:rFonts w:eastAsia="Times New Roman"/>
                <w:b/>
                <w:b/>
                <w:sz w:val="20"/>
              </w:rPr>
            </w:pPr>
            <w:r>
              <w:rPr>
                <w:rFonts w:eastAsia="Times New Roman"/>
                <w:b/>
                <w:sz w:val="20"/>
              </w:rPr>
              <w:t>Отвод</w:t>
            </w:r>
          </w:p>
        </w:tc>
        <w:tc>
          <w:tcPr>
            <w:tcW w:w="1134" w:type="dxa"/>
            <w:tcBorders>
              <w:bottom w:val="nil"/>
            </w:tcBorders>
          </w:tcPr>
          <w:p>
            <w:pPr>
              <w:pStyle w:val="Normal"/>
              <w:tabs>
                <w:tab w:val="clear" w:pos="708"/>
                <w:tab w:val="left" w:pos="993" w:leader="none"/>
              </w:tabs>
              <w:spacing w:lineRule="auto" w:line="240"/>
              <w:jc w:val="center"/>
              <w:rPr>
                <w:rFonts w:eastAsia="Times New Roman"/>
                <w:b/>
                <w:b/>
                <w:sz w:val="20"/>
              </w:rPr>
            </w:pPr>
            <w:r>
              <w:rPr>
                <w:rFonts w:eastAsia="Times New Roman"/>
                <w:b/>
                <w:sz w:val="20"/>
              </w:rPr>
              <w:t>Дата начала лицензии</w:t>
            </w:r>
          </w:p>
        </w:tc>
        <w:tc>
          <w:tcPr>
            <w:tcW w:w="1270" w:type="dxa"/>
            <w:tcBorders>
              <w:bottom w:val="nil"/>
            </w:tcBorders>
          </w:tcPr>
          <w:p>
            <w:pPr>
              <w:pStyle w:val="Normal"/>
              <w:tabs>
                <w:tab w:val="clear" w:pos="708"/>
                <w:tab w:val="left" w:pos="993" w:leader="none"/>
              </w:tabs>
              <w:spacing w:lineRule="auto" w:line="240"/>
              <w:jc w:val="center"/>
              <w:rPr>
                <w:rFonts w:eastAsia="Times New Roman"/>
                <w:b/>
                <w:b/>
                <w:sz w:val="20"/>
              </w:rPr>
            </w:pPr>
            <w:r>
              <w:rPr>
                <w:rFonts w:eastAsia="Times New Roman"/>
                <w:b/>
                <w:sz w:val="20"/>
              </w:rPr>
              <w:t>Дата окончания лицензии</w:t>
            </w:r>
          </w:p>
        </w:tc>
      </w:tr>
    </w:tbl>
    <w:p>
      <w:pPr>
        <w:pStyle w:val="Normal"/>
        <w:spacing w:lineRule="auto" w:line="12"/>
        <w:ind w:firstLine="709"/>
        <w:jc w:val="center"/>
        <w:rPr>
          <w:b/>
          <w:b/>
          <w:sz w:val="20"/>
          <w:szCs w:val="20"/>
        </w:rPr>
      </w:pPr>
      <w:r>
        <w:rPr>
          <w:b/>
          <w:sz w:val="20"/>
          <w:szCs w:val="20"/>
        </w:rPr>
      </w:r>
    </w:p>
    <w:tbl>
      <w:tblPr>
        <w:tblStyle w:val="aff"/>
        <w:tblW w:w="5000" w:type="pct"/>
        <w:jc w:val="left"/>
        <w:tblInd w:w="-108" w:type="dxa"/>
        <w:tblCellMar>
          <w:top w:w="0" w:type="dxa"/>
          <w:left w:w="108" w:type="dxa"/>
          <w:bottom w:w="0" w:type="dxa"/>
          <w:right w:w="108" w:type="dxa"/>
        </w:tblCellMar>
        <w:tblLook w:firstRow="1" w:noVBand="1" w:lastRow="0" w:firstColumn="1" w:lastColumn="0" w:noHBand="0" w:val="04a0"/>
      </w:tblPr>
      <w:tblGrid>
        <w:gridCol w:w="278"/>
        <w:gridCol w:w="1845"/>
        <w:gridCol w:w="1559"/>
        <w:gridCol w:w="1420"/>
        <w:gridCol w:w="1421"/>
        <w:gridCol w:w="992"/>
        <w:gridCol w:w="1134"/>
        <w:gridCol w:w="1270"/>
      </w:tblGrid>
      <w:tr>
        <w:trPr>
          <w:tblHeader w:val="true"/>
        </w:trPr>
        <w:tc>
          <w:tcPr>
            <w:tcW w:w="278" w:type="dxa"/>
            <w:tcBorders/>
            <w:vAlign w:val="center"/>
          </w:tcPr>
          <w:p>
            <w:pPr>
              <w:pStyle w:val="Normal"/>
              <w:tabs>
                <w:tab w:val="clear" w:pos="708"/>
                <w:tab w:val="left" w:pos="993" w:leader="none"/>
              </w:tabs>
              <w:spacing w:lineRule="auto" w:line="240"/>
              <w:jc w:val="center"/>
              <w:rPr>
                <w:rFonts w:eastAsia="Times New Roman"/>
                <w:b/>
                <w:b/>
                <w:sz w:val="20"/>
              </w:rPr>
            </w:pPr>
            <w:r>
              <w:rPr>
                <w:rFonts w:eastAsia="Times New Roman"/>
                <w:b/>
                <w:sz w:val="20"/>
              </w:rPr>
              <w:t>1</w:t>
            </w:r>
          </w:p>
        </w:tc>
        <w:tc>
          <w:tcPr>
            <w:tcW w:w="1845" w:type="dxa"/>
            <w:tcBorders/>
            <w:vAlign w:val="center"/>
          </w:tcPr>
          <w:p>
            <w:pPr>
              <w:pStyle w:val="Normal"/>
              <w:tabs>
                <w:tab w:val="clear" w:pos="708"/>
                <w:tab w:val="left" w:pos="993" w:leader="none"/>
              </w:tabs>
              <w:spacing w:lineRule="auto" w:line="240"/>
              <w:jc w:val="center"/>
              <w:rPr>
                <w:rFonts w:eastAsia="Times New Roman"/>
                <w:b/>
                <w:b/>
                <w:sz w:val="20"/>
              </w:rPr>
            </w:pPr>
            <w:r>
              <w:rPr>
                <w:rFonts w:eastAsia="Times New Roman"/>
                <w:b/>
                <w:sz w:val="20"/>
              </w:rPr>
              <w:t>2</w:t>
            </w:r>
          </w:p>
        </w:tc>
        <w:tc>
          <w:tcPr>
            <w:tcW w:w="1559" w:type="dxa"/>
            <w:tcBorders/>
            <w:vAlign w:val="center"/>
          </w:tcPr>
          <w:p>
            <w:pPr>
              <w:pStyle w:val="Normal"/>
              <w:tabs>
                <w:tab w:val="clear" w:pos="708"/>
                <w:tab w:val="left" w:pos="993" w:leader="none"/>
              </w:tabs>
              <w:spacing w:lineRule="auto" w:line="240"/>
              <w:jc w:val="center"/>
              <w:rPr>
                <w:rFonts w:eastAsia="Times New Roman"/>
                <w:b/>
                <w:b/>
                <w:sz w:val="20"/>
              </w:rPr>
            </w:pPr>
            <w:r>
              <w:rPr>
                <w:rFonts w:eastAsia="Times New Roman"/>
                <w:b/>
                <w:sz w:val="20"/>
              </w:rPr>
              <w:t>3</w:t>
            </w:r>
          </w:p>
        </w:tc>
        <w:tc>
          <w:tcPr>
            <w:tcW w:w="1420" w:type="dxa"/>
            <w:tcBorders/>
            <w:vAlign w:val="center"/>
          </w:tcPr>
          <w:p>
            <w:pPr>
              <w:pStyle w:val="Normal"/>
              <w:tabs>
                <w:tab w:val="clear" w:pos="708"/>
                <w:tab w:val="left" w:pos="993" w:leader="none"/>
              </w:tabs>
              <w:spacing w:lineRule="auto" w:line="240"/>
              <w:jc w:val="center"/>
              <w:rPr>
                <w:rFonts w:eastAsia="Times New Roman"/>
                <w:b/>
                <w:b/>
                <w:sz w:val="20"/>
              </w:rPr>
            </w:pPr>
            <w:r>
              <w:rPr>
                <w:rFonts w:eastAsia="Times New Roman"/>
                <w:b/>
                <w:sz w:val="20"/>
              </w:rPr>
              <w:t>4</w:t>
            </w:r>
          </w:p>
        </w:tc>
        <w:tc>
          <w:tcPr>
            <w:tcW w:w="1421" w:type="dxa"/>
            <w:tcBorders/>
            <w:vAlign w:val="center"/>
          </w:tcPr>
          <w:p>
            <w:pPr>
              <w:pStyle w:val="Normal"/>
              <w:tabs>
                <w:tab w:val="clear" w:pos="708"/>
                <w:tab w:val="left" w:pos="993" w:leader="none"/>
              </w:tabs>
              <w:spacing w:lineRule="auto" w:line="240"/>
              <w:jc w:val="center"/>
              <w:rPr>
                <w:rFonts w:eastAsia="Times New Roman"/>
                <w:b/>
                <w:b/>
                <w:sz w:val="20"/>
              </w:rPr>
            </w:pPr>
            <w:r>
              <w:rPr>
                <w:rFonts w:eastAsia="Times New Roman"/>
                <w:b/>
                <w:sz w:val="20"/>
              </w:rPr>
              <w:t>5</w:t>
            </w:r>
          </w:p>
        </w:tc>
        <w:tc>
          <w:tcPr>
            <w:tcW w:w="992" w:type="dxa"/>
            <w:tcBorders/>
            <w:vAlign w:val="center"/>
          </w:tcPr>
          <w:p>
            <w:pPr>
              <w:pStyle w:val="Normal"/>
              <w:tabs>
                <w:tab w:val="clear" w:pos="708"/>
                <w:tab w:val="left" w:pos="993" w:leader="none"/>
              </w:tabs>
              <w:spacing w:lineRule="auto" w:line="240"/>
              <w:jc w:val="center"/>
              <w:rPr>
                <w:rFonts w:eastAsia="Times New Roman"/>
                <w:b/>
                <w:b/>
                <w:sz w:val="20"/>
              </w:rPr>
            </w:pPr>
            <w:r>
              <w:rPr>
                <w:rFonts w:eastAsia="Times New Roman"/>
                <w:b/>
                <w:sz w:val="20"/>
              </w:rPr>
              <w:t>6</w:t>
            </w:r>
          </w:p>
        </w:tc>
        <w:tc>
          <w:tcPr>
            <w:tcW w:w="1134" w:type="dxa"/>
            <w:tcBorders/>
          </w:tcPr>
          <w:p>
            <w:pPr>
              <w:pStyle w:val="Normal"/>
              <w:tabs>
                <w:tab w:val="clear" w:pos="708"/>
                <w:tab w:val="left" w:pos="993" w:leader="none"/>
              </w:tabs>
              <w:spacing w:lineRule="auto" w:line="240"/>
              <w:jc w:val="center"/>
              <w:rPr>
                <w:rFonts w:eastAsia="Times New Roman"/>
                <w:b/>
                <w:b/>
                <w:sz w:val="20"/>
              </w:rPr>
            </w:pPr>
            <w:r>
              <w:rPr>
                <w:rFonts w:eastAsia="Times New Roman"/>
                <w:b/>
                <w:sz w:val="20"/>
              </w:rPr>
              <w:t>7</w:t>
            </w:r>
          </w:p>
        </w:tc>
        <w:tc>
          <w:tcPr>
            <w:tcW w:w="1270" w:type="dxa"/>
            <w:tcBorders/>
          </w:tcPr>
          <w:p>
            <w:pPr>
              <w:pStyle w:val="Normal"/>
              <w:tabs>
                <w:tab w:val="clear" w:pos="708"/>
                <w:tab w:val="left" w:pos="993" w:leader="none"/>
              </w:tabs>
              <w:spacing w:lineRule="auto" w:line="240"/>
              <w:jc w:val="center"/>
              <w:rPr>
                <w:rFonts w:eastAsia="Times New Roman"/>
                <w:b/>
                <w:b/>
                <w:sz w:val="20"/>
              </w:rPr>
            </w:pPr>
            <w:r>
              <w:rPr>
                <w:rFonts w:eastAsia="Times New Roman"/>
                <w:b/>
                <w:sz w:val="20"/>
              </w:rPr>
              <w:t>8</w:t>
            </w:r>
          </w:p>
        </w:tc>
      </w:tr>
      <w:tr>
        <w:trPr/>
        <w:tc>
          <w:tcPr>
            <w:tcW w:w="278" w:type="dxa"/>
            <w:tcBorders/>
          </w:tcPr>
          <w:p>
            <w:pPr>
              <w:pStyle w:val="ListParagraph"/>
              <w:numPr>
                <w:ilvl w:val="0"/>
                <w:numId w:val="35"/>
              </w:numPr>
              <w:tabs>
                <w:tab w:val="clear" w:pos="708"/>
                <w:tab w:val="left" w:pos="993" w:leader="none"/>
              </w:tabs>
              <w:spacing w:lineRule="auto" w:line="240" w:before="0" w:after="0"/>
              <w:ind w:left="0" w:hanging="0"/>
              <w:jc w:val="center"/>
              <w:rPr>
                <w:rFonts w:ascii="Times New Roman" w:hAnsi="Times New Roman"/>
                <w:sz w:val="20"/>
              </w:rPr>
            </w:pPr>
            <w:r>
              <w:rPr>
                <w:sz w:val="20"/>
              </w:rPr>
            </w:r>
          </w:p>
        </w:tc>
        <w:tc>
          <w:tcPr>
            <w:tcW w:w="1845" w:type="dxa"/>
            <w:tcBorders>
              <w:left w:val="nil"/>
            </w:tcBorders>
            <w:shd w:color="auto" w:fill="auto" w:val="clear"/>
          </w:tcPr>
          <w:p>
            <w:pPr>
              <w:pStyle w:val="Normal"/>
              <w:tabs>
                <w:tab w:val="clear" w:pos="708"/>
                <w:tab w:val="left" w:pos="993" w:leader="none"/>
              </w:tabs>
              <w:spacing w:lineRule="auto" w:line="240"/>
              <w:jc w:val="left"/>
              <w:rPr>
                <w:rFonts w:eastAsia="Times New Roman"/>
                <w:sz w:val="20"/>
              </w:rPr>
            </w:pPr>
            <w:r>
              <w:rPr>
                <w:rFonts w:eastAsia="Times New Roman"/>
                <w:sz w:val="20"/>
              </w:rPr>
              <w:t>Новониколаевский участок</w:t>
            </w:r>
          </w:p>
        </w:tc>
        <w:tc>
          <w:tcPr>
            <w:tcW w:w="1559" w:type="dxa"/>
            <w:tcBorders/>
            <w:shd w:color="auto" w:fill="auto" w:val="clear"/>
          </w:tcPr>
          <w:p>
            <w:pPr>
              <w:pStyle w:val="Normal"/>
              <w:tabs>
                <w:tab w:val="clear" w:pos="708"/>
                <w:tab w:val="left" w:pos="993" w:leader="none"/>
              </w:tabs>
              <w:spacing w:lineRule="auto" w:line="240"/>
              <w:jc w:val="left"/>
              <w:rPr>
                <w:rFonts w:eastAsia="Times New Roman"/>
                <w:sz w:val="20"/>
              </w:rPr>
            </w:pPr>
            <w:r>
              <w:rPr>
                <w:rFonts w:eastAsia="Times New Roman"/>
                <w:sz w:val="20"/>
              </w:rPr>
              <w:t>АО «Михеевский горно-обогатительный комбинат»</w:t>
            </w:r>
          </w:p>
        </w:tc>
        <w:tc>
          <w:tcPr>
            <w:tcW w:w="1420" w:type="dxa"/>
            <w:tcBorders/>
            <w:shd w:color="auto" w:fill="auto" w:val="clear"/>
          </w:tcPr>
          <w:p>
            <w:pPr>
              <w:pStyle w:val="Normal"/>
              <w:tabs>
                <w:tab w:val="clear" w:pos="708"/>
                <w:tab w:val="left" w:pos="993" w:leader="none"/>
              </w:tabs>
              <w:spacing w:lineRule="auto" w:line="240"/>
              <w:jc w:val="left"/>
              <w:rPr>
                <w:rFonts w:eastAsia="Times New Roman"/>
                <w:sz w:val="20"/>
              </w:rPr>
            </w:pPr>
            <w:r>
              <w:rPr>
                <w:rFonts w:eastAsia="Times New Roman"/>
                <w:sz w:val="20"/>
              </w:rPr>
              <w:t>Медь</w:t>
            </w:r>
          </w:p>
          <w:p>
            <w:pPr>
              <w:pStyle w:val="Normal"/>
              <w:tabs>
                <w:tab w:val="clear" w:pos="708"/>
                <w:tab w:val="left" w:pos="993" w:leader="none"/>
              </w:tabs>
              <w:spacing w:lineRule="auto" w:line="240"/>
              <w:jc w:val="left"/>
              <w:rPr>
                <w:rFonts w:eastAsia="Times New Roman"/>
                <w:sz w:val="20"/>
              </w:rPr>
            </w:pPr>
            <w:r>
              <w:rPr>
                <w:rFonts w:eastAsia="Times New Roman"/>
                <w:sz w:val="20"/>
              </w:rPr>
            </w:r>
          </w:p>
        </w:tc>
        <w:tc>
          <w:tcPr>
            <w:tcW w:w="1421" w:type="dxa"/>
            <w:tcBorders/>
            <w:shd w:color="auto" w:fill="auto" w:val="clear"/>
          </w:tcPr>
          <w:p>
            <w:pPr>
              <w:pStyle w:val="Normal"/>
              <w:tabs>
                <w:tab w:val="clear" w:pos="708"/>
                <w:tab w:val="left" w:pos="993" w:leader="none"/>
              </w:tabs>
              <w:spacing w:lineRule="auto" w:line="240"/>
              <w:jc w:val="center"/>
              <w:rPr>
                <w:rFonts w:eastAsia="Times New Roman"/>
                <w:sz w:val="20"/>
              </w:rPr>
            </w:pPr>
            <w:r>
              <w:rPr>
                <w:rFonts w:eastAsia="Times New Roman"/>
                <w:sz w:val="20"/>
              </w:rPr>
              <w:t>ЧЕЛ02916ТР</w:t>
            </w:r>
          </w:p>
        </w:tc>
        <w:tc>
          <w:tcPr>
            <w:tcW w:w="992" w:type="dxa"/>
            <w:tcBorders/>
            <w:shd w:color="auto" w:fill="auto" w:val="clear"/>
          </w:tcPr>
          <w:p>
            <w:pPr>
              <w:pStyle w:val="Normal"/>
              <w:tabs>
                <w:tab w:val="clear" w:pos="708"/>
                <w:tab w:val="left" w:pos="993" w:leader="none"/>
              </w:tabs>
              <w:spacing w:lineRule="auto" w:line="240"/>
              <w:jc w:val="left"/>
              <w:rPr>
                <w:rFonts w:eastAsia="Times New Roman"/>
                <w:sz w:val="20"/>
              </w:rPr>
            </w:pPr>
            <w:r>
              <w:rPr>
                <w:rFonts w:eastAsia="Times New Roman"/>
                <w:sz w:val="20"/>
              </w:rPr>
              <w:t>Геологический</w:t>
            </w:r>
          </w:p>
          <w:p>
            <w:pPr>
              <w:pStyle w:val="Normal"/>
              <w:tabs>
                <w:tab w:val="clear" w:pos="708"/>
                <w:tab w:val="left" w:pos="993" w:leader="none"/>
              </w:tabs>
              <w:spacing w:lineRule="auto" w:line="240"/>
              <w:jc w:val="left"/>
              <w:rPr>
                <w:rFonts w:eastAsia="Times New Roman"/>
                <w:sz w:val="20"/>
              </w:rPr>
            </w:pPr>
            <w:r>
              <w:rPr>
                <w:rFonts w:eastAsia="Times New Roman"/>
                <w:sz w:val="20"/>
              </w:rPr>
            </w:r>
          </w:p>
        </w:tc>
        <w:tc>
          <w:tcPr>
            <w:tcW w:w="1134" w:type="dxa"/>
            <w:tcBorders/>
          </w:tcPr>
          <w:p>
            <w:pPr>
              <w:pStyle w:val="Normal"/>
              <w:tabs>
                <w:tab w:val="clear" w:pos="708"/>
                <w:tab w:val="left" w:pos="993" w:leader="none"/>
              </w:tabs>
              <w:spacing w:lineRule="auto" w:line="240"/>
              <w:jc w:val="left"/>
              <w:rPr>
                <w:rFonts w:eastAsia="Times New Roman"/>
                <w:sz w:val="20"/>
              </w:rPr>
            </w:pPr>
            <w:r>
              <w:rPr>
                <w:rFonts w:eastAsia="Times New Roman"/>
                <w:sz w:val="20"/>
              </w:rPr>
              <w:t>12.12.2016</w:t>
            </w:r>
          </w:p>
        </w:tc>
        <w:tc>
          <w:tcPr>
            <w:tcW w:w="1270" w:type="dxa"/>
            <w:tcBorders/>
            <w:shd w:color="auto" w:fill="auto" w:val="clear"/>
          </w:tcPr>
          <w:p>
            <w:pPr>
              <w:pStyle w:val="Normal"/>
              <w:tabs>
                <w:tab w:val="clear" w:pos="708"/>
                <w:tab w:val="left" w:pos="993" w:leader="none"/>
              </w:tabs>
              <w:spacing w:lineRule="auto" w:line="240"/>
              <w:jc w:val="left"/>
              <w:rPr>
                <w:rFonts w:eastAsia="Times New Roman"/>
                <w:sz w:val="20"/>
              </w:rPr>
            </w:pPr>
            <w:r>
              <w:rPr>
                <w:rFonts w:eastAsia="Times New Roman"/>
                <w:sz w:val="20"/>
              </w:rPr>
              <w:t>1.03.2039</w:t>
            </w:r>
          </w:p>
        </w:tc>
      </w:tr>
      <w:tr>
        <w:trPr/>
        <w:tc>
          <w:tcPr>
            <w:tcW w:w="278" w:type="dxa"/>
            <w:tcBorders/>
          </w:tcPr>
          <w:p>
            <w:pPr>
              <w:pStyle w:val="ListParagraph"/>
              <w:numPr>
                <w:ilvl w:val="0"/>
                <w:numId w:val="35"/>
              </w:numPr>
              <w:tabs>
                <w:tab w:val="clear" w:pos="708"/>
                <w:tab w:val="left" w:pos="993" w:leader="none"/>
              </w:tabs>
              <w:spacing w:lineRule="auto" w:line="240" w:before="0" w:after="0"/>
              <w:ind w:left="0" w:hanging="0"/>
              <w:jc w:val="center"/>
              <w:rPr>
                <w:rFonts w:ascii="Times New Roman" w:hAnsi="Times New Roman"/>
                <w:sz w:val="20"/>
              </w:rPr>
            </w:pPr>
            <w:r>
              <w:rPr>
                <w:sz w:val="20"/>
              </w:rPr>
            </w:r>
          </w:p>
        </w:tc>
        <w:tc>
          <w:tcPr>
            <w:tcW w:w="1845" w:type="dxa"/>
            <w:tcBorders>
              <w:left w:val="nil"/>
            </w:tcBorders>
            <w:shd w:color="auto" w:fill="auto" w:val="clear"/>
          </w:tcPr>
          <w:p>
            <w:pPr>
              <w:pStyle w:val="Normal"/>
              <w:tabs>
                <w:tab w:val="clear" w:pos="708"/>
                <w:tab w:val="left" w:pos="993" w:leader="none"/>
              </w:tabs>
              <w:spacing w:lineRule="auto" w:line="240"/>
              <w:jc w:val="left"/>
              <w:rPr>
                <w:rFonts w:eastAsia="Times New Roman"/>
                <w:sz w:val="20"/>
              </w:rPr>
            </w:pPr>
            <w:r>
              <w:rPr>
                <w:rFonts w:eastAsia="Times New Roman"/>
                <w:sz w:val="20"/>
              </w:rPr>
              <w:t>Михеевское месторождение</w:t>
            </w:r>
          </w:p>
        </w:tc>
        <w:tc>
          <w:tcPr>
            <w:tcW w:w="1559" w:type="dxa"/>
            <w:tcBorders/>
            <w:shd w:color="auto" w:fill="auto" w:val="clear"/>
          </w:tcPr>
          <w:p>
            <w:pPr>
              <w:pStyle w:val="Normal"/>
              <w:tabs>
                <w:tab w:val="clear" w:pos="708"/>
                <w:tab w:val="left" w:pos="993" w:leader="none"/>
              </w:tabs>
              <w:spacing w:lineRule="auto" w:line="240"/>
              <w:jc w:val="left"/>
              <w:rPr>
                <w:rFonts w:eastAsia="Times New Roman"/>
                <w:sz w:val="20"/>
              </w:rPr>
            </w:pPr>
            <w:r>
              <w:rPr>
                <w:rFonts w:eastAsia="Times New Roman"/>
                <w:sz w:val="20"/>
              </w:rPr>
              <w:t>АО «Михеевский горно-обогатительный комбинат»</w:t>
            </w:r>
          </w:p>
        </w:tc>
        <w:tc>
          <w:tcPr>
            <w:tcW w:w="1420" w:type="dxa"/>
            <w:tcBorders/>
            <w:shd w:color="auto" w:fill="auto" w:val="clear"/>
          </w:tcPr>
          <w:p>
            <w:pPr>
              <w:pStyle w:val="Normal"/>
              <w:tabs>
                <w:tab w:val="clear" w:pos="708"/>
                <w:tab w:val="left" w:pos="993" w:leader="none"/>
              </w:tabs>
              <w:spacing w:lineRule="auto" w:line="240"/>
              <w:jc w:val="left"/>
              <w:rPr>
                <w:rFonts w:eastAsia="Times New Roman"/>
                <w:sz w:val="20"/>
              </w:rPr>
            </w:pPr>
            <w:r>
              <w:rPr>
                <w:rFonts w:eastAsia="Times New Roman"/>
                <w:sz w:val="20"/>
              </w:rPr>
              <w:t>золото, медь, молибден, рений, серебро</w:t>
            </w:r>
          </w:p>
          <w:p>
            <w:pPr>
              <w:pStyle w:val="Normal"/>
              <w:tabs>
                <w:tab w:val="clear" w:pos="708"/>
                <w:tab w:val="left" w:pos="993" w:leader="none"/>
              </w:tabs>
              <w:spacing w:lineRule="auto" w:line="240"/>
              <w:jc w:val="left"/>
              <w:rPr>
                <w:rFonts w:eastAsia="Times New Roman"/>
                <w:sz w:val="20"/>
              </w:rPr>
            </w:pPr>
            <w:r>
              <w:rPr>
                <w:rFonts w:eastAsia="Times New Roman"/>
                <w:sz w:val="20"/>
              </w:rPr>
            </w:r>
          </w:p>
        </w:tc>
        <w:tc>
          <w:tcPr>
            <w:tcW w:w="1421" w:type="dxa"/>
            <w:tcBorders/>
            <w:shd w:color="auto" w:fill="auto" w:val="clear"/>
          </w:tcPr>
          <w:p>
            <w:pPr>
              <w:pStyle w:val="Normal"/>
              <w:tabs>
                <w:tab w:val="clear" w:pos="708"/>
                <w:tab w:val="left" w:pos="993" w:leader="none"/>
              </w:tabs>
              <w:spacing w:lineRule="auto" w:line="240"/>
              <w:jc w:val="center"/>
              <w:rPr>
                <w:rFonts w:eastAsia="Times New Roman"/>
                <w:sz w:val="20"/>
              </w:rPr>
            </w:pPr>
            <w:r>
              <w:rPr>
                <w:rFonts w:eastAsia="Times New Roman"/>
                <w:sz w:val="20"/>
              </w:rPr>
              <w:t>ЧЕЛ02917ТЭ</w:t>
            </w:r>
          </w:p>
        </w:tc>
        <w:tc>
          <w:tcPr>
            <w:tcW w:w="992" w:type="dxa"/>
            <w:tcBorders/>
            <w:shd w:color="auto" w:fill="auto" w:val="clear"/>
          </w:tcPr>
          <w:p>
            <w:pPr>
              <w:pStyle w:val="Normal"/>
              <w:tabs>
                <w:tab w:val="clear" w:pos="708"/>
                <w:tab w:val="left" w:pos="993" w:leader="none"/>
              </w:tabs>
              <w:spacing w:lineRule="auto" w:line="240"/>
              <w:jc w:val="left"/>
              <w:rPr>
                <w:rFonts w:eastAsia="Times New Roman"/>
                <w:sz w:val="20"/>
              </w:rPr>
            </w:pPr>
            <w:r>
              <w:rPr>
                <w:rFonts w:eastAsia="Times New Roman"/>
                <w:sz w:val="20"/>
              </w:rPr>
              <w:t>горный</w:t>
            </w:r>
          </w:p>
        </w:tc>
        <w:tc>
          <w:tcPr>
            <w:tcW w:w="1134" w:type="dxa"/>
            <w:tcBorders/>
          </w:tcPr>
          <w:p>
            <w:pPr>
              <w:pStyle w:val="Normal"/>
              <w:tabs>
                <w:tab w:val="clear" w:pos="708"/>
                <w:tab w:val="left" w:pos="993" w:leader="none"/>
              </w:tabs>
              <w:spacing w:lineRule="auto" w:line="240"/>
              <w:jc w:val="left"/>
              <w:rPr>
                <w:rFonts w:eastAsia="Times New Roman"/>
                <w:sz w:val="20"/>
              </w:rPr>
            </w:pPr>
            <w:r>
              <w:rPr>
                <w:rFonts w:eastAsia="Times New Roman"/>
                <w:sz w:val="20"/>
              </w:rPr>
              <w:t>12.12.2016</w:t>
            </w:r>
          </w:p>
        </w:tc>
        <w:tc>
          <w:tcPr>
            <w:tcW w:w="1270" w:type="dxa"/>
            <w:tcBorders/>
            <w:shd w:color="auto" w:fill="auto" w:val="clear"/>
          </w:tcPr>
          <w:p>
            <w:pPr>
              <w:pStyle w:val="Normal"/>
              <w:tabs>
                <w:tab w:val="clear" w:pos="708"/>
                <w:tab w:val="left" w:pos="993" w:leader="none"/>
              </w:tabs>
              <w:spacing w:lineRule="auto" w:line="240"/>
              <w:jc w:val="left"/>
              <w:rPr>
                <w:rFonts w:eastAsia="Times New Roman"/>
                <w:sz w:val="20"/>
              </w:rPr>
            </w:pPr>
            <w:r>
              <w:rPr>
                <w:rFonts w:eastAsia="Times New Roman"/>
                <w:sz w:val="20"/>
              </w:rPr>
              <w:t>30.08.2022</w:t>
            </w:r>
          </w:p>
        </w:tc>
      </w:tr>
    </w:tbl>
    <w:p>
      <w:pPr>
        <w:pStyle w:val="Normal"/>
        <w:spacing w:lineRule="auto" w:line="276" w:before="120" w:after="200"/>
        <w:ind w:firstLine="709"/>
        <w:rPr>
          <w:szCs w:val="24"/>
        </w:rPr>
      </w:pPr>
      <w:r>
        <w:rPr/>
        <w:t xml:space="preserve">На основании статьи 8 Закона Российской Федерации от 21.02.1992 </w:t>
        <w:br/>
        <w:t>№ 2395-1 «О недрах» пользование отдельными участками недр может быть ограничено или запрещено в целях обеспечения национальной безопасности и охраны окружающей среды.</w:t>
      </w:r>
    </w:p>
    <w:p>
      <w:pPr>
        <w:pStyle w:val="Normal"/>
        <w:tabs>
          <w:tab w:val="clear" w:pos="708"/>
          <w:tab w:val="left" w:pos="993" w:leader="none"/>
        </w:tabs>
        <w:spacing w:lineRule="auto" w:line="276" w:before="0" w:after="200"/>
        <w:ind w:firstLine="709"/>
        <w:contextualSpacing/>
        <w:rPr>
          <w:rFonts w:eastAsia="Times New Roman"/>
          <w:b/>
          <w:b/>
          <w:szCs w:val="24"/>
        </w:rPr>
      </w:pPr>
      <w:r>
        <w:rPr/>
        <w:t>Пользование недрами на территориях населенных пунктов, пригородных зон, объектов промышленности, транспорта и связи может быть частично или полностью запрещено в случаях, если это пользование может создать угрозу жизни и здоровью людей, нанести ущерб хозяйственным объектам или окружающей среде.</w:t>
      </w:r>
    </w:p>
    <w:p>
      <w:pPr>
        <w:pStyle w:val="Normal"/>
        <w:tabs>
          <w:tab w:val="clear" w:pos="708"/>
          <w:tab w:val="left" w:pos="993" w:leader="none"/>
        </w:tabs>
        <w:spacing w:lineRule="auto" w:line="276" w:before="0" w:after="200"/>
        <w:ind w:firstLine="709"/>
        <w:contextualSpacing/>
        <w:rPr>
          <w:rFonts w:eastAsia="Times New Roman"/>
          <w:b/>
          <w:b/>
          <w:szCs w:val="24"/>
        </w:rPr>
      </w:pPr>
      <w:r>
        <w:rPr/>
        <w:t>Пользование недрами на особо охраняемых территориях производится в соответствии со статусом этих территорий.</w:t>
      </w:r>
    </w:p>
    <w:p>
      <w:pPr>
        <w:pStyle w:val="Normal"/>
        <w:keepNext w:val="true"/>
        <w:numPr>
          <w:ilvl w:val="0"/>
          <w:numId w:val="0"/>
        </w:numPr>
        <w:tabs>
          <w:tab w:val="clear" w:pos="708"/>
          <w:tab w:val="left" w:pos="709" w:leader="none"/>
        </w:tabs>
        <w:spacing w:lineRule="auto" w:line="276" w:before="120" w:after="200"/>
        <w:outlineLvl w:val="2"/>
        <w:rPr>
          <w:rFonts w:eastAsia="Times New Roman"/>
          <w:b/>
          <w:b/>
          <w:szCs w:val="24"/>
        </w:rPr>
      </w:pPr>
      <w:bookmarkStart w:id="296" w:name="_Toc115250846"/>
      <w:bookmarkStart w:id="297" w:name="_Toc80966073"/>
      <w:bookmarkStart w:id="298" w:name="_Toc182210517"/>
      <w:r>
        <w:rPr>
          <w:rFonts w:eastAsia="Times New Roman"/>
          <w:b/>
          <w:szCs w:val="24"/>
        </w:rPr>
        <w:t>13.2 Месторождения и проявления полезных ископаемых</w:t>
      </w:r>
      <w:bookmarkEnd w:id="296"/>
      <w:bookmarkEnd w:id="297"/>
      <w:bookmarkEnd w:id="298"/>
    </w:p>
    <w:p>
      <w:pPr>
        <w:pStyle w:val="Normal"/>
        <w:tabs>
          <w:tab w:val="clear" w:pos="708"/>
          <w:tab w:val="left" w:pos="993" w:leader="none"/>
        </w:tabs>
        <w:spacing w:lineRule="auto" w:line="276"/>
        <w:ind w:firstLine="709"/>
        <w:rPr>
          <w:szCs w:val="24"/>
        </w:rPr>
      </w:pPr>
      <w:r>
        <w:rPr>
          <w:szCs w:val="24"/>
        </w:rPr>
        <w:t xml:space="preserve">В таблице 2.13.2 представлен перечень участков недр, содержащих полезные ископаемые. Михеевское месторождение меди и золота относится к участкам недр федерального значения. </w:t>
      </w:r>
    </w:p>
    <w:p>
      <w:pPr>
        <w:pStyle w:val="Normal"/>
        <w:tabs>
          <w:tab w:val="clear" w:pos="708"/>
          <w:tab w:val="left" w:pos="993" w:leader="none"/>
        </w:tabs>
        <w:spacing w:lineRule="auto" w:line="276" w:before="0" w:after="200"/>
        <w:ind w:firstLine="709"/>
        <w:contextualSpacing/>
        <w:jc w:val="right"/>
        <w:rPr>
          <w:szCs w:val="24"/>
        </w:rPr>
      </w:pPr>
      <w:r>
        <w:rPr>
          <w:szCs w:val="24"/>
        </w:rPr>
        <w:t>Таблица 2.13.2</w:t>
      </w:r>
    </w:p>
    <w:p>
      <w:pPr>
        <w:pStyle w:val="Normal"/>
        <w:tabs>
          <w:tab w:val="clear" w:pos="708"/>
          <w:tab w:val="left" w:pos="993" w:leader="none"/>
        </w:tabs>
        <w:spacing w:lineRule="auto" w:line="276" w:before="0" w:after="200"/>
        <w:contextualSpacing/>
        <w:jc w:val="center"/>
        <w:rPr>
          <w:rFonts w:eastAsia="Times New Roman"/>
          <w:szCs w:val="24"/>
          <w:lang w:eastAsia="ru-RU"/>
        </w:rPr>
      </w:pPr>
      <w:r>
        <w:rPr>
          <w:szCs w:val="24"/>
        </w:rPr>
        <w:t>Перечень участков недр</w:t>
      </w:r>
    </w:p>
    <w:tbl>
      <w:tblPr>
        <w:tblW w:w="5000" w:type="pct"/>
        <w:jc w:val="left"/>
        <w:tblInd w:w="-5" w:type="dxa"/>
        <w:tblCellMar>
          <w:top w:w="0" w:type="dxa"/>
          <w:left w:w="5" w:type="dxa"/>
          <w:bottom w:w="0" w:type="dxa"/>
          <w:right w:w="5" w:type="dxa"/>
        </w:tblCellMar>
        <w:tblLook w:firstRow="0" w:noVBand="0" w:lastRow="0" w:firstColumn="0" w:lastColumn="0" w:noHBand="0" w:val="0000"/>
      </w:tblPr>
      <w:tblGrid>
        <w:gridCol w:w="718"/>
        <w:gridCol w:w="4591"/>
        <w:gridCol w:w="4612"/>
      </w:tblGrid>
      <w:tr>
        <w:trPr>
          <w:trHeight w:val="507" w:hRule="exact"/>
        </w:trPr>
        <w:tc>
          <w:tcPr>
            <w:tcW w:w="718" w:type="dxa"/>
            <w:tcBorders>
              <w:top w:val="single" w:sz="4" w:space="0" w:color="000000"/>
              <w:left w:val="single" w:sz="4" w:space="0" w:color="000000"/>
              <w:right w:val="single" w:sz="4" w:space="0" w:color="000000"/>
            </w:tcBorders>
            <w:shd w:color="auto" w:fill="FFFFFF" w:val="clear"/>
            <w:vAlign w:val="center"/>
          </w:tcPr>
          <w:p>
            <w:pPr>
              <w:pStyle w:val="Normal"/>
              <w:widowControl w:val="false"/>
              <w:spacing w:lineRule="auto" w:line="240"/>
              <w:jc w:val="center"/>
              <w:rPr>
                <w:rFonts w:eastAsia="Times New Roman"/>
                <w:b/>
                <w:b/>
                <w:color w:val="000000"/>
                <w:sz w:val="20"/>
                <w:szCs w:val="20"/>
                <w:lang w:eastAsia="ru-RU"/>
              </w:rPr>
            </w:pPr>
            <w:r>
              <w:rPr>
                <w:rFonts w:eastAsia="Times New Roman"/>
                <w:b/>
                <w:color w:val="000000"/>
                <w:sz w:val="20"/>
                <w:szCs w:val="20"/>
                <w:lang w:eastAsia="ru-RU"/>
              </w:rPr>
              <w:t>№</w:t>
            </w:r>
          </w:p>
        </w:tc>
        <w:tc>
          <w:tcPr>
            <w:tcW w:w="4591" w:type="dxa"/>
            <w:tcBorders>
              <w:top w:val="single" w:sz="4" w:space="0" w:color="000000"/>
              <w:left w:val="single" w:sz="4" w:space="0" w:color="000000"/>
              <w:right w:val="single" w:sz="4" w:space="0" w:color="000000"/>
            </w:tcBorders>
            <w:shd w:color="auto" w:fill="FFFFFF" w:val="clear"/>
            <w:vAlign w:val="center"/>
          </w:tcPr>
          <w:p>
            <w:pPr>
              <w:pStyle w:val="Normal"/>
              <w:widowControl w:val="false"/>
              <w:spacing w:lineRule="auto" w:line="240"/>
              <w:jc w:val="center"/>
              <w:rPr>
                <w:rFonts w:eastAsia="Times New Roman"/>
                <w:b/>
                <w:b/>
                <w:sz w:val="20"/>
                <w:szCs w:val="20"/>
                <w:lang w:eastAsia="ru-RU"/>
              </w:rPr>
            </w:pPr>
            <w:r>
              <w:rPr>
                <w:rFonts w:eastAsia="Times New Roman"/>
                <w:b/>
                <w:color w:val="000000"/>
                <w:sz w:val="20"/>
                <w:szCs w:val="20"/>
                <w:lang w:eastAsia="ru-RU"/>
              </w:rPr>
              <w:t>Наименование месторождения</w:t>
            </w:r>
          </w:p>
        </w:tc>
        <w:tc>
          <w:tcPr>
            <w:tcW w:w="4612" w:type="dxa"/>
            <w:tcBorders>
              <w:top w:val="single" w:sz="4" w:space="0" w:color="000000"/>
              <w:left w:val="single" w:sz="4" w:space="0" w:color="000000"/>
              <w:right w:val="single" w:sz="4" w:space="0" w:color="000000"/>
            </w:tcBorders>
            <w:shd w:color="auto" w:fill="FFFFFF" w:val="clear"/>
            <w:vAlign w:val="center"/>
          </w:tcPr>
          <w:p>
            <w:pPr>
              <w:pStyle w:val="Normal"/>
              <w:widowControl w:val="false"/>
              <w:spacing w:lineRule="auto" w:line="240"/>
              <w:jc w:val="center"/>
              <w:rPr>
                <w:rFonts w:eastAsia="Times New Roman"/>
                <w:b/>
                <w:b/>
                <w:color w:val="000000"/>
                <w:sz w:val="20"/>
                <w:szCs w:val="20"/>
                <w:lang w:eastAsia="ru-RU"/>
              </w:rPr>
            </w:pPr>
            <w:r>
              <w:rPr>
                <w:rFonts w:eastAsia="Times New Roman"/>
                <w:b/>
                <w:color w:val="000000"/>
                <w:sz w:val="20"/>
                <w:szCs w:val="20"/>
                <w:lang w:eastAsia="ru-RU"/>
              </w:rPr>
              <w:t>Полезное ископаемое</w:t>
            </w:r>
          </w:p>
          <w:p>
            <w:pPr>
              <w:pStyle w:val="Normal"/>
              <w:widowControl w:val="false"/>
              <w:spacing w:lineRule="auto" w:line="240"/>
              <w:jc w:val="center"/>
              <w:rPr>
                <w:rFonts w:eastAsia="Times New Roman"/>
                <w:b/>
                <w:b/>
                <w:sz w:val="20"/>
                <w:szCs w:val="20"/>
                <w:lang w:eastAsia="ru-RU"/>
              </w:rPr>
            </w:pPr>
            <w:r>
              <w:rPr>
                <w:rFonts w:eastAsia="Times New Roman"/>
                <w:b/>
                <w:sz w:val="20"/>
                <w:szCs w:val="20"/>
                <w:lang w:eastAsia="ru-RU"/>
              </w:rPr>
            </w:r>
          </w:p>
        </w:tc>
      </w:tr>
    </w:tbl>
    <w:p>
      <w:pPr>
        <w:pStyle w:val="Normal"/>
        <w:tabs>
          <w:tab w:val="clear" w:pos="708"/>
          <w:tab w:val="left" w:pos="993" w:leader="none"/>
        </w:tabs>
        <w:spacing w:lineRule="auto" w:line="12" w:before="0" w:after="200"/>
        <w:ind w:firstLine="709"/>
        <w:contextualSpacing/>
        <w:jc w:val="center"/>
        <w:rPr>
          <w:rFonts w:eastAsia="Times New Roman"/>
          <w:sz w:val="20"/>
          <w:szCs w:val="20"/>
          <w:lang w:eastAsia="ru-RU"/>
        </w:rPr>
      </w:pPr>
      <w:r>
        <w:rPr>
          <w:rFonts w:eastAsia="Times New Roman"/>
          <w:sz w:val="20"/>
          <w:szCs w:val="20"/>
          <w:lang w:eastAsia="ru-RU"/>
        </w:rPr>
      </w:r>
    </w:p>
    <w:tbl>
      <w:tblPr>
        <w:tblW w:w="5000" w:type="pct"/>
        <w:jc w:val="left"/>
        <w:tblInd w:w="-5" w:type="dxa"/>
        <w:tblCellMar>
          <w:top w:w="0" w:type="dxa"/>
          <w:left w:w="5" w:type="dxa"/>
          <w:bottom w:w="0" w:type="dxa"/>
          <w:right w:w="0" w:type="dxa"/>
        </w:tblCellMar>
        <w:tblLook w:firstRow="0" w:noVBand="0" w:lastRow="0" w:firstColumn="0" w:lastColumn="0" w:noHBand="0" w:val="0000"/>
      </w:tblPr>
      <w:tblGrid>
        <w:gridCol w:w="718"/>
        <w:gridCol w:w="4601"/>
        <w:gridCol w:w="4602"/>
      </w:tblGrid>
      <w:tr>
        <w:trPr>
          <w:tblHeader w:val="true"/>
          <w:trHeight w:val="244" w:hRule="exact"/>
        </w:trPr>
        <w:tc>
          <w:tcPr>
            <w:tcW w:w="718" w:type="dxa"/>
            <w:tcBorders>
              <w:top w:val="single" w:sz="4" w:space="0" w:color="000000"/>
              <w:left w:val="single" w:sz="4" w:space="0" w:color="000000"/>
            </w:tcBorders>
            <w:shd w:color="auto" w:fill="FFFFFF" w:val="clear"/>
            <w:vAlign w:val="center"/>
          </w:tcPr>
          <w:p>
            <w:pPr>
              <w:pStyle w:val="Normal"/>
              <w:widowControl w:val="false"/>
              <w:spacing w:lineRule="auto" w:line="240"/>
              <w:jc w:val="center"/>
              <w:rPr>
                <w:rFonts w:eastAsia="Times New Roman"/>
                <w:b/>
                <w:b/>
                <w:color w:val="000000"/>
                <w:sz w:val="20"/>
                <w:szCs w:val="20"/>
                <w:lang w:eastAsia="ru-RU"/>
              </w:rPr>
            </w:pPr>
            <w:r>
              <w:rPr>
                <w:rFonts w:eastAsia="Times New Roman"/>
                <w:b/>
                <w:color w:val="000000"/>
                <w:sz w:val="20"/>
                <w:szCs w:val="20"/>
                <w:lang w:eastAsia="ru-RU"/>
              </w:rPr>
              <w:t>1</w:t>
            </w:r>
          </w:p>
        </w:tc>
        <w:tc>
          <w:tcPr>
            <w:tcW w:w="4601" w:type="dxa"/>
            <w:tcBorders>
              <w:top w:val="single" w:sz="4" w:space="0" w:color="000000"/>
              <w:left w:val="single" w:sz="4" w:space="0" w:color="000000"/>
            </w:tcBorders>
            <w:shd w:color="auto" w:fill="FFFFFF" w:val="clear"/>
            <w:vAlign w:val="center"/>
          </w:tcPr>
          <w:p>
            <w:pPr>
              <w:pStyle w:val="Normal"/>
              <w:widowControl w:val="false"/>
              <w:spacing w:lineRule="auto" w:line="240"/>
              <w:jc w:val="center"/>
              <w:rPr>
                <w:rFonts w:eastAsia="Times New Roman"/>
                <w:b/>
                <w:b/>
                <w:color w:val="000000"/>
                <w:sz w:val="20"/>
                <w:szCs w:val="20"/>
                <w:lang w:eastAsia="ru-RU"/>
              </w:rPr>
            </w:pPr>
            <w:r>
              <w:rPr>
                <w:rFonts w:eastAsia="Times New Roman"/>
                <w:b/>
                <w:color w:val="000000"/>
                <w:sz w:val="20"/>
                <w:szCs w:val="20"/>
                <w:lang w:eastAsia="ru-RU"/>
              </w:rPr>
              <w:t>2</w:t>
            </w:r>
          </w:p>
        </w:tc>
        <w:tc>
          <w:tcPr>
            <w:tcW w:w="4602" w:type="dxa"/>
            <w:tcBorders>
              <w:top w:val="single" w:sz="4" w:space="0" w:color="000000"/>
              <w:left w:val="single" w:sz="4" w:space="0" w:color="000000"/>
              <w:right w:val="single" w:sz="4" w:space="0" w:color="000000"/>
            </w:tcBorders>
            <w:shd w:color="auto" w:fill="FFFFFF" w:val="clear"/>
            <w:vAlign w:val="center"/>
          </w:tcPr>
          <w:p>
            <w:pPr>
              <w:pStyle w:val="Normal"/>
              <w:widowControl w:val="false"/>
              <w:spacing w:lineRule="auto" w:line="240"/>
              <w:jc w:val="center"/>
              <w:rPr>
                <w:rFonts w:eastAsia="Times New Roman"/>
                <w:b/>
                <w:b/>
                <w:color w:val="000000"/>
                <w:sz w:val="20"/>
                <w:szCs w:val="20"/>
                <w:lang w:eastAsia="ru-RU"/>
              </w:rPr>
            </w:pPr>
            <w:r>
              <w:rPr>
                <w:rFonts w:eastAsia="Times New Roman"/>
                <w:b/>
                <w:color w:val="000000"/>
                <w:sz w:val="20"/>
                <w:szCs w:val="20"/>
                <w:lang w:eastAsia="ru-RU"/>
              </w:rPr>
              <w:t>3</w:t>
            </w:r>
          </w:p>
        </w:tc>
      </w:tr>
      <w:tr>
        <w:trPr>
          <w:trHeight w:val="310" w:hRule="exact"/>
        </w:trPr>
        <w:tc>
          <w:tcPr>
            <w:tcW w:w="718" w:type="dxa"/>
            <w:tcBorders>
              <w:top w:val="single" w:sz="4" w:space="0" w:color="000000"/>
              <w:left w:val="single" w:sz="4" w:space="0" w:color="000000"/>
              <w:bottom w:val="single" w:sz="4" w:space="0" w:color="000000"/>
            </w:tcBorders>
            <w:shd w:color="auto" w:fill="FFFFFF" w:val="clear"/>
            <w:vAlign w:val="center"/>
          </w:tcPr>
          <w:p>
            <w:pPr>
              <w:pStyle w:val="Normal"/>
              <w:widowControl w:val="false"/>
              <w:spacing w:lineRule="auto" w:line="240"/>
              <w:ind w:left="-5" w:firstLine="5"/>
              <w:jc w:val="center"/>
              <w:rPr>
                <w:rFonts w:eastAsia="Times New Roman"/>
                <w:color w:val="000000"/>
                <w:sz w:val="20"/>
                <w:szCs w:val="20"/>
                <w:lang w:eastAsia="ru-RU"/>
              </w:rPr>
            </w:pPr>
            <w:r>
              <w:rPr>
                <w:rFonts w:eastAsia="Times New Roman"/>
                <w:color w:val="000000"/>
                <w:sz w:val="20"/>
                <w:szCs w:val="20"/>
                <w:lang w:eastAsia="ru-RU"/>
              </w:rPr>
              <w:t>1</w:t>
            </w:r>
          </w:p>
        </w:tc>
        <w:tc>
          <w:tcPr>
            <w:tcW w:w="4601" w:type="dxa"/>
            <w:tcBorders>
              <w:top w:val="single" w:sz="4" w:space="0" w:color="000000"/>
              <w:left w:val="single" w:sz="4" w:space="0" w:color="000000"/>
              <w:bottom w:val="single" w:sz="4" w:space="0" w:color="000000"/>
            </w:tcBorders>
            <w:shd w:color="auto" w:fill="FFFFFF" w:val="clear"/>
          </w:tcPr>
          <w:p>
            <w:pPr>
              <w:pStyle w:val="Normal"/>
              <w:widowControl w:val="false"/>
              <w:spacing w:lineRule="auto" w:line="240"/>
              <w:ind w:left="23" w:hanging="0"/>
              <w:jc w:val="left"/>
              <w:rPr>
                <w:rFonts w:eastAsia="Times New Roman"/>
                <w:sz w:val="20"/>
                <w:szCs w:val="20"/>
                <w:lang w:eastAsia="ru-RU"/>
              </w:rPr>
            </w:pPr>
            <w:r>
              <w:rPr>
                <w:rFonts w:eastAsia="Times New Roman"/>
                <w:sz w:val="20"/>
                <w:szCs w:val="20"/>
                <w:lang w:eastAsia="ru-RU"/>
              </w:rPr>
              <w:t>Михеевское</w:t>
            </w:r>
          </w:p>
        </w:tc>
        <w:tc>
          <w:tcPr>
            <w:tcW w:w="4602"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spacing w:lineRule="auto" w:line="240"/>
              <w:jc w:val="left"/>
              <w:rPr>
                <w:rFonts w:eastAsia="Times New Roman"/>
                <w:sz w:val="20"/>
                <w:szCs w:val="20"/>
                <w:lang w:eastAsia="ru-RU"/>
              </w:rPr>
            </w:pPr>
            <w:r>
              <w:rPr>
                <w:rFonts w:eastAsia="Times New Roman"/>
                <w:sz w:val="20"/>
                <w:szCs w:val="20"/>
                <w:lang w:eastAsia="ru-RU"/>
              </w:rPr>
              <w:t>золото</w:t>
            </w:r>
          </w:p>
        </w:tc>
      </w:tr>
      <w:tr>
        <w:trPr>
          <w:trHeight w:val="272" w:hRule="exact"/>
        </w:trPr>
        <w:tc>
          <w:tcPr>
            <w:tcW w:w="718" w:type="dxa"/>
            <w:tcBorders>
              <w:top w:val="single" w:sz="4" w:space="0" w:color="000000"/>
              <w:left w:val="single" w:sz="4" w:space="0" w:color="000000"/>
              <w:bottom w:val="single" w:sz="4" w:space="0" w:color="000000"/>
            </w:tcBorders>
            <w:shd w:color="auto" w:fill="FFFFFF" w:val="clear"/>
            <w:vAlign w:val="center"/>
          </w:tcPr>
          <w:p>
            <w:pPr>
              <w:pStyle w:val="Normal"/>
              <w:widowControl w:val="false"/>
              <w:spacing w:lineRule="auto" w:line="240"/>
              <w:ind w:left="-5" w:firstLine="5"/>
              <w:jc w:val="center"/>
              <w:rPr>
                <w:rFonts w:eastAsia="Times New Roman"/>
                <w:color w:val="000000"/>
                <w:sz w:val="20"/>
                <w:szCs w:val="20"/>
                <w:lang w:eastAsia="ru-RU"/>
              </w:rPr>
            </w:pPr>
            <w:r>
              <w:rPr>
                <w:rFonts w:eastAsia="Times New Roman"/>
                <w:color w:val="000000"/>
                <w:sz w:val="20"/>
                <w:szCs w:val="20"/>
                <w:lang w:eastAsia="ru-RU"/>
              </w:rPr>
              <w:t>2</w:t>
            </w:r>
          </w:p>
        </w:tc>
        <w:tc>
          <w:tcPr>
            <w:tcW w:w="4601" w:type="dxa"/>
            <w:tcBorders>
              <w:top w:val="single" w:sz="4" w:space="0" w:color="000000"/>
              <w:left w:val="single" w:sz="4" w:space="0" w:color="000000"/>
              <w:bottom w:val="single" w:sz="4" w:space="0" w:color="000000"/>
            </w:tcBorders>
            <w:shd w:color="auto" w:fill="FFFFFF" w:val="clear"/>
          </w:tcPr>
          <w:p>
            <w:pPr>
              <w:pStyle w:val="Default"/>
              <w:rPr>
                <w:sz w:val="20"/>
                <w:szCs w:val="20"/>
              </w:rPr>
            </w:pPr>
            <w:r>
              <w:rPr>
                <w:sz w:val="20"/>
                <w:szCs w:val="20"/>
              </w:rPr>
              <w:t xml:space="preserve">Михеевский участок </w:t>
            </w:r>
          </w:p>
          <w:p>
            <w:pPr>
              <w:pStyle w:val="Normal"/>
              <w:widowControl w:val="false"/>
              <w:spacing w:lineRule="auto" w:line="240"/>
              <w:ind w:left="23" w:hanging="0"/>
              <w:jc w:val="left"/>
              <w:rPr>
                <w:rFonts w:eastAsia="Times New Roman"/>
                <w:sz w:val="20"/>
                <w:szCs w:val="20"/>
                <w:lang w:eastAsia="ru-RU"/>
              </w:rPr>
            </w:pPr>
            <w:r>
              <w:rPr>
                <w:rFonts w:eastAsia="Times New Roman"/>
                <w:sz w:val="20"/>
                <w:szCs w:val="20"/>
                <w:lang w:eastAsia="ru-RU"/>
              </w:rPr>
            </w:r>
          </w:p>
        </w:tc>
        <w:tc>
          <w:tcPr>
            <w:tcW w:w="4602"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spacing w:lineRule="auto" w:line="240"/>
              <w:jc w:val="left"/>
              <w:rPr>
                <w:rFonts w:eastAsia="Times New Roman"/>
                <w:sz w:val="20"/>
                <w:szCs w:val="20"/>
                <w:lang w:eastAsia="ru-RU"/>
              </w:rPr>
            </w:pPr>
            <w:r>
              <w:rPr>
                <w:rFonts w:eastAsia="Times New Roman"/>
                <w:sz w:val="20"/>
                <w:szCs w:val="20"/>
                <w:lang w:eastAsia="ru-RU"/>
              </w:rPr>
              <w:t>песок строительный</w:t>
            </w:r>
          </w:p>
        </w:tc>
      </w:tr>
      <w:tr>
        <w:trPr>
          <w:trHeight w:val="272" w:hRule="exact"/>
        </w:trPr>
        <w:tc>
          <w:tcPr>
            <w:tcW w:w="718" w:type="dxa"/>
            <w:tcBorders>
              <w:top w:val="single" w:sz="4" w:space="0" w:color="000000"/>
              <w:left w:val="single" w:sz="4" w:space="0" w:color="000000"/>
              <w:bottom w:val="single" w:sz="4" w:space="0" w:color="000000"/>
            </w:tcBorders>
            <w:shd w:color="auto" w:fill="FFFFFF" w:val="clear"/>
            <w:vAlign w:val="center"/>
          </w:tcPr>
          <w:p>
            <w:pPr>
              <w:pStyle w:val="Normal"/>
              <w:widowControl w:val="false"/>
              <w:spacing w:lineRule="auto" w:line="240"/>
              <w:ind w:left="-5" w:firstLine="5"/>
              <w:jc w:val="center"/>
              <w:rPr>
                <w:rFonts w:eastAsia="Times New Roman"/>
                <w:color w:val="000000"/>
                <w:sz w:val="20"/>
                <w:szCs w:val="20"/>
                <w:lang w:eastAsia="ru-RU"/>
              </w:rPr>
            </w:pPr>
            <w:r>
              <w:rPr>
                <w:rFonts w:eastAsia="Times New Roman"/>
                <w:color w:val="000000"/>
                <w:sz w:val="20"/>
                <w:szCs w:val="20"/>
                <w:lang w:eastAsia="ru-RU"/>
              </w:rPr>
              <w:t>3</w:t>
            </w:r>
          </w:p>
        </w:tc>
        <w:tc>
          <w:tcPr>
            <w:tcW w:w="4601" w:type="dxa"/>
            <w:tcBorders>
              <w:top w:val="single" w:sz="4" w:space="0" w:color="000000"/>
              <w:left w:val="single" w:sz="4" w:space="0" w:color="000000"/>
              <w:bottom w:val="single" w:sz="4" w:space="0" w:color="000000"/>
            </w:tcBorders>
            <w:shd w:color="auto" w:fill="FFFFFF" w:val="clear"/>
          </w:tcPr>
          <w:p>
            <w:pPr>
              <w:pStyle w:val="Default"/>
              <w:rPr>
                <w:sz w:val="20"/>
                <w:szCs w:val="20"/>
              </w:rPr>
            </w:pPr>
            <w:r>
              <w:rPr>
                <w:sz w:val="20"/>
                <w:szCs w:val="20"/>
              </w:rPr>
              <w:t>Михеевское</w:t>
            </w:r>
          </w:p>
        </w:tc>
        <w:tc>
          <w:tcPr>
            <w:tcW w:w="4602"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spacing w:lineRule="auto" w:line="240"/>
              <w:jc w:val="left"/>
              <w:rPr>
                <w:rFonts w:eastAsia="Times New Roman"/>
                <w:sz w:val="20"/>
                <w:szCs w:val="20"/>
                <w:lang w:eastAsia="ru-RU"/>
              </w:rPr>
            </w:pPr>
            <w:r>
              <w:rPr>
                <w:rFonts w:eastAsia="Times New Roman"/>
                <w:sz w:val="20"/>
                <w:szCs w:val="20"/>
                <w:lang w:eastAsia="ru-RU"/>
              </w:rPr>
              <w:t>меднопорфировые руды</w:t>
            </w:r>
          </w:p>
        </w:tc>
      </w:tr>
    </w:tbl>
    <w:p>
      <w:pPr>
        <w:pStyle w:val="Normal"/>
        <w:spacing w:lineRule="auto" w:line="276" w:before="120" w:after="200"/>
        <w:ind w:firstLine="709"/>
        <w:rPr>
          <w:rFonts w:eastAsia="Calibri" w:eastAsiaTheme="minorHAnsi"/>
          <w:szCs w:val="24"/>
        </w:rPr>
      </w:pPr>
      <w:r>
        <w:rPr>
          <w:iCs/>
          <w:szCs w:val="24"/>
        </w:rPr>
        <w:t xml:space="preserve">В соответствии со статьей 25 </w:t>
      </w:r>
      <w:r>
        <w:rPr>
          <w:szCs w:val="24"/>
        </w:rPr>
        <w:t>Федерального закона</w:t>
      </w:r>
      <w:r>
        <w:rPr>
          <w:iCs/>
          <w:szCs w:val="24"/>
        </w:rPr>
        <w:t xml:space="preserve"> Российской Федерации от 21.02.1992 № 2395-1 «О недрах» </w:t>
      </w:r>
      <w:r>
        <w:rPr>
          <w:rFonts w:eastAsia="Calibri" w:eastAsiaTheme="minorHAnsi"/>
          <w:szCs w:val="24"/>
        </w:rPr>
        <w:t>строительство объектов капитального строительства на земельных участках, расположенных за границами населенных пунктов, размещение подземных сооружений за границами населенных пунктов разрешаются только после получения заключения федерального органа управления государственным фондом недр или его территориального органа об отсутствии полезных ископаемых в недрах под участком предстоящей застройки.</w:t>
      </w:r>
      <w:bookmarkStart w:id="299" w:name="Par0"/>
      <w:bookmarkEnd w:id="299"/>
    </w:p>
    <w:p>
      <w:pPr>
        <w:pStyle w:val="Normal"/>
        <w:spacing w:lineRule="auto" w:line="276"/>
        <w:ind w:firstLine="709"/>
        <w:rPr>
          <w:rFonts w:eastAsia="Calibri" w:eastAsiaTheme="minorHAnsi"/>
          <w:szCs w:val="24"/>
        </w:rPr>
      </w:pPr>
      <w:r>
        <w:rPr>
          <w:rFonts w:eastAsia="Calibri" w:eastAsiaTheme="minorHAnsi"/>
          <w:szCs w:val="24"/>
        </w:rPr>
        <w:t>Застройка земельных участков, которые расположены за границами населенных пунктов и находятся на площадях залегания полезных ископаемых, а также размещение за границами населенных пунктов в местах залегания полезных ископаемых подземных сооружений допускается на основании разрешения федерального органа управления государственным фондом недр или его территориального органа. Выдача такого разрешения может осуществляться через многофункциональный центр предоставления государственных и муниципальных услуг.</w:t>
      </w:r>
    </w:p>
    <w:p>
      <w:pPr>
        <w:pStyle w:val="Normal"/>
        <w:spacing w:lineRule="auto" w:line="276"/>
        <w:ind w:firstLine="709"/>
        <w:rPr>
          <w:rFonts w:eastAsia="Calibri" w:eastAsiaTheme="minorHAnsi"/>
          <w:szCs w:val="24"/>
        </w:rPr>
      </w:pPr>
      <w:r>
        <w:rPr>
          <w:rFonts w:eastAsia="Calibri" w:eastAsiaTheme="minorHAnsi"/>
          <w:szCs w:val="24"/>
        </w:rPr>
        <w:t>Самовольная застройка земельных участков, указанных в части второй статьи, прекращается без возмещения произведенных затрат и затрат по рекультивации территории и демонтажу возведенных объектов.</w:t>
      </w:r>
    </w:p>
    <w:p>
      <w:pPr>
        <w:sectPr>
          <w:headerReference w:type="default" r:id="rId147"/>
          <w:footerReference w:type="default" r:id="rId148"/>
          <w:type w:val="nextPage"/>
          <w:pgSz w:w="11906" w:h="16838"/>
          <w:pgMar w:left="1418" w:right="567" w:header="567" w:top="1134" w:footer="567" w:bottom="1134" w:gutter="0"/>
          <w:pgNumType w:fmt="decimal"/>
          <w:formProt w:val="false"/>
          <w:textDirection w:val="lrTb"/>
          <w:docGrid w:type="default" w:linePitch="360" w:charSpace="0"/>
        </w:sectPr>
        <w:pStyle w:val="Normal"/>
        <w:spacing w:lineRule="auto" w:line="276"/>
        <w:ind w:firstLine="709"/>
        <w:rPr>
          <w:rFonts w:eastAsia="Calibri" w:eastAsiaTheme="minorHAnsi"/>
          <w:szCs w:val="24"/>
        </w:rPr>
      </w:pPr>
      <w:r>
        <w:rPr>
          <w:rFonts w:eastAsia="Calibri" w:eastAsiaTheme="minorHAnsi"/>
          <w:szCs w:val="24"/>
        </w:rPr>
        <w:t>За выдачу разрешения на застройку земельных участков, которые расположены за границами населенных пунктов и находятся на площадях залегания полезных ископаемых, а также на размещение за границами населенных пунктов в местах залегания полезных ископаемых подземных сооружений в пределах горного отвода уплачивается государственная пошлина в размерах и порядке, которые установлены законодательством Российской Федерации о налогах и сборах.</w:t>
      </w:r>
    </w:p>
    <w:p>
      <w:pPr>
        <w:pStyle w:val="0212164"/>
        <w:spacing w:before="120" w:after="0"/>
        <w:rPr>
          <w:rFonts w:ascii="Calibri" w:hAnsi="Calibri" w:asciiTheme="minorHAnsi" w:hAnsiTheme="minorHAnsi"/>
        </w:rPr>
      </w:pPr>
      <w:bookmarkStart w:id="300" w:name="_Toc80966074"/>
      <w:bookmarkStart w:id="301" w:name="_Toc182210518"/>
      <w:r>
        <w:rPr/>
        <w:t>ГЛАВА 14. ПЕРЕЧЕНЬ МЕРОПРИЯТИЙ ПО ОХРАНЕ ОКРУЖАЮЩЕЙ СРЕДЫ</w:t>
      </w:r>
      <w:bookmarkStart w:id="302" w:name="_Toc43211104"/>
      <w:bookmarkEnd w:id="300"/>
      <w:bookmarkEnd w:id="301"/>
      <w:bookmarkEnd w:id="302"/>
    </w:p>
    <w:p>
      <w:pPr>
        <w:pStyle w:val="Normal"/>
        <w:spacing w:lineRule="auto" w:line="276"/>
        <w:ind w:firstLine="709"/>
        <w:rPr>
          <w:szCs w:val="24"/>
        </w:rPr>
      </w:pPr>
      <w:r>
        <w:rPr>
          <w:szCs w:val="24"/>
        </w:rPr>
        <w:t>В целях решения задач охраны окружающей среды в Проекте рекомендуются следующие мероприятия:</w:t>
      </w:r>
    </w:p>
    <w:p>
      <w:pPr>
        <w:pStyle w:val="ListParagraph"/>
        <w:numPr>
          <w:ilvl w:val="0"/>
          <w:numId w:val="27"/>
        </w:numPr>
        <w:tabs>
          <w:tab w:val="clear" w:pos="708"/>
          <w:tab w:val="left" w:pos="709" w:leader="none"/>
        </w:tabs>
        <w:spacing w:before="0" w:after="0"/>
        <w:ind w:left="0" w:firstLine="426"/>
        <w:contextualSpacing/>
        <w:jc w:val="both"/>
        <w:rPr>
          <w:rFonts w:ascii="Times New Roman" w:hAnsi="Times New Roman"/>
          <w:sz w:val="24"/>
          <w:szCs w:val="24"/>
        </w:rPr>
      </w:pPr>
      <w:r>
        <w:rPr>
          <w:sz w:val="24"/>
          <w:szCs w:val="24"/>
        </w:rPr>
        <w:t>установление санитарно-защитных зон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  в соответствии с постановлением Правительства Российской Федерации от 03.03.2018 № 222 «Об утверждении Правил установления санитарно-защитных зон и использования земельных участков, расположенных в границах санитарно-защитных зон». После установления границ и внесения сведений в ЕГРН необходимо произвести внесение соответствующих изменений;</w:t>
      </w:r>
    </w:p>
    <w:p>
      <w:pPr>
        <w:pStyle w:val="ListParagraph"/>
        <w:numPr>
          <w:ilvl w:val="0"/>
          <w:numId w:val="27"/>
        </w:numPr>
        <w:tabs>
          <w:tab w:val="clear" w:pos="708"/>
          <w:tab w:val="left" w:pos="709" w:leader="none"/>
        </w:tabs>
        <w:spacing w:before="0" w:after="0"/>
        <w:ind w:left="0" w:firstLine="426"/>
        <w:contextualSpacing/>
        <w:jc w:val="both"/>
        <w:rPr>
          <w:rFonts w:ascii="Times New Roman" w:hAnsi="Times New Roman"/>
          <w:sz w:val="24"/>
          <w:szCs w:val="24"/>
        </w:rPr>
      </w:pPr>
      <w:r>
        <w:rPr>
          <w:sz w:val="24"/>
          <w:szCs w:val="24"/>
        </w:rPr>
        <w:t>для отопления и горячего водоснабжения индивидуальных домов применение индивидуальных двухконтурных котлов, работающих на газовом топливе;</w:t>
      </w:r>
    </w:p>
    <w:p>
      <w:pPr>
        <w:pStyle w:val="ListParagraph"/>
        <w:numPr>
          <w:ilvl w:val="0"/>
          <w:numId w:val="27"/>
        </w:numPr>
        <w:tabs>
          <w:tab w:val="clear" w:pos="708"/>
          <w:tab w:val="left" w:pos="709" w:leader="none"/>
        </w:tabs>
        <w:spacing w:before="0" w:after="0"/>
        <w:ind w:left="0" w:firstLine="426"/>
        <w:contextualSpacing/>
        <w:jc w:val="both"/>
        <w:rPr>
          <w:rFonts w:ascii="Times New Roman" w:hAnsi="Times New Roman"/>
          <w:sz w:val="24"/>
          <w:szCs w:val="24"/>
        </w:rPr>
      </w:pPr>
      <w:r>
        <w:rPr>
          <w:sz w:val="24"/>
          <w:szCs w:val="24"/>
        </w:rPr>
        <w:t>реконструкция котельных с заменой основного и вспомогательного оборудования и изменением мощности тепловых источников;</w:t>
      </w:r>
    </w:p>
    <w:p>
      <w:pPr>
        <w:pStyle w:val="ListParagraph"/>
        <w:numPr>
          <w:ilvl w:val="0"/>
          <w:numId w:val="27"/>
        </w:numPr>
        <w:tabs>
          <w:tab w:val="clear" w:pos="708"/>
          <w:tab w:val="left" w:pos="709" w:leader="none"/>
        </w:tabs>
        <w:spacing w:before="0" w:after="0"/>
        <w:ind w:left="0" w:firstLine="426"/>
        <w:contextualSpacing/>
        <w:jc w:val="both"/>
        <w:rPr>
          <w:rFonts w:ascii="Times New Roman" w:hAnsi="Times New Roman"/>
          <w:sz w:val="24"/>
          <w:szCs w:val="24"/>
        </w:rPr>
      </w:pPr>
      <w:r>
        <w:rPr>
          <w:sz w:val="24"/>
          <w:szCs w:val="24"/>
        </w:rPr>
        <w:t>совершенствование дорожного покрытия автомобильных дорог;</w:t>
      </w:r>
    </w:p>
    <w:p>
      <w:pPr>
        <w:pStyle w:val="ListParagraph"/>
        <w:numPr>
          <w:ilvl w:val="0"/>
          <w:numId w:val="27"/>
        </w:numPr>
        <w:tabs>
          <w:tab w:val="clear" w:pos="708"/>
          <w:tab w:val="left" w:pos="709" w:leader="none"/>
        </w:tabs>
        <w:spacing w:before="0" w:after="0"/>
        <w:ind w:left="0" w:firstLine="426"/>
        <w:contextualSpacing/>
        <w:jc w:val="both"/>
        <w:rPr>
          <w:rFonts w:ascii="Times New Roman" w:hAnsi="Times New Roman"/>
          <w:sz w:val="24"/>
          <w:szCs w:val="24"/>
        </w:rPr>
      </w:pPr>
      <w:r>
        <w:rPr>
          <w:sz w:val="24"/>
          <w:szCs w:val="24"/>
        </w:rPr>
        <w:t>установление размеров водоохранных зон и прибрежных защитных полос поверхностных водных объектов;</w:t>
      </w:r>
    </w:p>
    <w:p>
      <w:pPr>
        <w:pStyle w:val="ListParagraph"/>
        <w:numPr>
          <w:ilvl w:val="0"/>
          <w:numId w:val="27"/>
        </w:numPr>
        <w:tabs>
          <w:tab w:val="clear" w:pos="708"/>
          <w:tab w:val="left" w:pos="709" w:leader="none"/>
        </w:tabs>
        <w:spacing w:before="0" w:after="0"/>
        <w:ind w:left="0" w:firstLine="426"/>
        <w:contextualSpacing/>
        <w:jc w:val="both"/>
        <w:rPr>
          <w:rFonts w:ascii="Times New Roman" w:hAnsi="Times New Roman"/>
          <w:sz w:val="24"/>
          <w:szCs w:val="24"/>
        </w:rPr>
      </w:pPr>
      <w:r>
        <w:rPr>
          <w:sz w:val="24"/>
          <w:szCs w:val="24"/>
        </w:rPr>
        <w:t>закрепление на местности границ водоохранных зон и границ прибрежных защитных полос специальными информационными знаками осуществляется в соответствии с земельным законодательством;</w:t>
      </w:r>
    </w:p>
    <w:p>
      <w:pPr>
        <w:pStyle w:val="ListParagraph"/>
        <w:numPr>
          <w:ilvl w:val="0"/>
          <w:numId w:val="27"/>
        </w:numPr>
        <w:tabs>
          <w:tab w:val="clear" w:pos="708"/>
          <w:tab w:val="left" w:pos="709" w:leader="none"/>
        </w:tabs>
        <w:spacing w:before="0" w:after="0"/>
        <w:ind w:left="0" w:firstLine="426"/>
        <w:contextualSpacing/>
        <w:jc w:val="both"/>
        <w:rPr>
          <w:rFonts w:ascii="Times New Roman" w:hAnsi="Times New Roman"/>
          <w:sz w:val="24"/>
          <w:szCs w:val="24"/>
        </w:rPr>
      </w:pPr>
      <w:r>
        <w:rPr>
          <w:sz w:val="24"/>
          <w:szCs w:val="24"/>
        </w:rPr>
        <w:t>благоустройство водоохранных зон водных объектов, обеспечение соблюдения требований режима их использования, установка водоохранных знаков, расчистка прибрежных территорий;</w:t>
      </w:r>
    </w:p>
    <w:p>
      <w:pPr>
        <w:pStyle w:val="ListParagraph"/>
        <w:numPr>
          <w:ilvl w:val="0"/>
          <w:numId w:val="27"/>
        </w:numPr>
        <w:tabs>
          <w:tab w:val="clear" w:pos="708"/>
          <w:tab w:val="left" w:pos="709" w:leader="none"/>
        </w:tabs>
        <w:spacing w:before="0" w:after="0"/>
        <w:ind w:left="0" w:firstLine="426"/>
        <w:contextualSpacing/>
        <w:jc w:val="both"/>
        <w:rPr>
          <w:rFonts w:ascii="Times New Roman" w:hAnsi="Times New Roman"/>
          <w:sz w:val="24"/>
          <w:szCs w:val="24"/>
        </w:rPr>
      </w:pPr>
      <w:r>
        <w:rPr>
          <w:sz w:val="24"/>
          <w:szCs w:val="24"/>
        </w:rPr>
        <w:t>организация зон санитарной охраны подземных источников питьевого водоснабжения в составе 3-х поясов для существующих и планируемых источников централизованного водоснабжения согласно требованиям СанПиН 2.1.4.1110-02 «Зоны санитарной охраны источников водоснабжения и водопроводов питьевого назначения»;</w:t>
      </w:r>
    </w:p>
    <w:p>
      <w:pPr>
        <w:pStyle w:val="ListParagraph"/>
        <w:numPr>
          <w:ilvl w:val="0"/>
          <w:numId w:val="27"/>
        </w:numPr>
        <w:tabs>
          <w:tab w:val="clear" w:pos="708"/>
          <w:tab w:val="left" w:pos="709" w:leader="none"/>
        </w:tabs>
        <w:spacing w:before="0" w:after="0"/>
        <w:ind w:left="0" w:firstLine="426"/>
        <w:contextualSpacing/>
        <w:jc w:val="both"/>
        <w:rPr>
          <w:rFonts w:ascii="Times New Roman" w:hAnsi="Times New Roman"/>
          <w:sz w:val="24"/>
          <w:szCs w:val="24"/>
        </w:rPr>
      </w:pPr>
      <w:r>
        <w:rPr>
          <w:sz w:val="24"/>
          <w:szCs w:val="24"/>
        </w:rPr>
        <w:t>строительство водопровода и водопроводных очистных сооружений;</w:t>
      </w:r>
    </w:p>
    <w:p>
      <w:pPr>
        <w:pStyle w:val="ListParagraph"/>
        <w:numPr>
          <w:ilvl w:val="0"/>
          <w:numId w:val="27"/>
        </w:numPr>
        <w:tabs>
          <w:tab w:val="clear" w:pos="708"/>
          <w:tab w:val="left" w:pos="709" w:leader="none"/>
        </w:tabs>
        <w:spacing w:before="0" w:after="0"/>
        <w:ind w:left="0" w:firstLine="426"/>
        <w:contextualSpacing/>
        <w:jc w:val="both"/>
        <w:rPr>
          <w:rFonts w:ascii="Times New Roman" w:hAnsi="Times New Roman"/>
          <w:sz w:val="24"/>
          <w:szCs w:val="24"/>
        </w:rPr>
      </w:pPr>
      <w:r>
        <w:rPr>
          <w:sz w:val="24"/>
          <w:szCs w:val="24"/>
        </w:rPr>
        <w:t>строительство и реконструкция канализационных очистных сооружений;</w:t>
      </w:r>
    </w:p>
    <w:p>
      <w:pPr>
        <w:pStyle w:val="ListParagraph"/>
        <w:numPr>
          <w:ilvl w:val="0"/>
          <w:numId w:val="27"/>
        </w:numPr>
        <w:tabs>
          <w:tab w:val="clear" w:pos="708"/>
          <w:tab w:val="left" w:pos="709" w:leader="none"/>
        </w:tabs>
        <w:spacing w:before="0" w:after="0"/>
        <w:ind w:left="0" w:firstLine="426"/>
        <w:contextualSpacing/>
        <w:jc w:val="both"/>
        <w:rPr>
          <w:rFonts w:ascii="Times New Roman" w:hAnsi="Times New Roman"/>
          <w:sz w:val="24"/>
          <w:szCs w:val="24"/>
        </w:rPr>
      </w:pPr>
      <w:r>
        <w:rPr>
          <w:sz w:val="24"/>
          <w:szCs w:val="24"/>
        </w:rPr>
        <w:t>внедрение блочно-модульных установок подготовки воды на всех водозаборных узлах;</w:t>
      </w:r>
    </w:p>
    <w:p>
      <w:pPr>
        <w:pStyle w:val="ListParagraph"/>
        <w:numPr>
          <w:ilvl w:val="0"/>
          <w:numId w:val="27"/>
        </w:numPr>
        <w:tabs>
          <w:tab w:val="clear" w:pos="708"/>
          <w:tab w:val="left" w:pos="709" w:leader="none"/>
        </w:tabs>
        <w:spacing w:before="0" w:after="0"/>
        <w:ind w:left="0" w:firstLine="426"/>
        <w:contextualSpacing/>
        <w:jc w:val="both"/>
        <w:rPr>
          <w:rFonts w:ascii="Times New Roman" w:hAnsi="Times New Roman"/>
          <w:sz w:val="24"/>
          <w:szCs w:val="24"/>
        </w:rPr>
      </w:pPr>
      <w:r>
        <w:rPr>
          <w:sz w:val="24"/>
          <w:szCs w:val="24"/>
        </w:rPr>
        <w:t>мониторинг подземных вод (стационарные режимные наблюдения за дебитом, уровнем, температурой и химическим составом воды);</w:t>
      </w:r>
    </w:p>
    <w:p>
      <w:pPr>
        <w:pStyle w:val="ListParagraph"/>
        <w:numPr>
          <w:ilvl w:val="0"/>
          <w:numId w:val="27"/>
        </w:numPr>
        <w:tabs>
          <w:tab w:val="clear" w:pos="708"/>
          <w:tab w:val="left" w:pos="709" w:leader="none"/>
        </w:tabs>
        <w:spacing w:before="0" w:after="0"/>
        <w:ind w:left="0" w:firstLine="426"/>
        <w:contextualSpacing/>
        <w:jc w:val="both"/>
        <w:rPr>
          <w:rFonts w:ascii="Times New Roman" w:hAnsi="Times New Roman"/>
          <w:sz w:val="24"/>
          <w:szCs w:val="24"/>
        </w:rPr>
      </w:pPr>
      <w:r>
        <w:rPr>
          <w:sz w:val="24"/>
          <w:szCs w:val="24"/>
        </w:rPr>
        <w:t>исключение необоснованного потребления воды питьевого качества промпредприятиями на технологические нужды за счет внедрения систем оборотного водоснабжения и повторного использования воды;</w:t>
      </w:r>
    </w:p>
    <w:p>
      <w:pPr>
        <w:pStyle w:val="Normal"/>
        <w:numPr>
          <w:ilvl w:val="0"/>
          <w:numId w:val="27"/>
        </w:numPr>
        <w:tabs>
          <w:tab w:val="clear" w:pos="708"/>
          <w:tab w:val="left" w:pos="709" w:leader="none"/>
        </w:tabs>
        <w:spacing w:lineRule="auto" w:line="276" w:before="0" w:after="120"/>
        <w:ind w:left="0" w:firstLine="425"/>
        <w:contextualSpacing/>
        <w:rPr>
          <w:szCs w:val="24"/>
        </w:rPr>
      </w:pPr>
      <w:r>
        <w:rPr>
          <w:szCs w:val="24"/>
        </w:rPr>
        <w:t xml:space="preserve">осуществление сбора, транспортирования, обработки, утилизации, обезвреживания, захоронения твердых коммунальных отходов в соответствии с региональной программой в области обращения с отходами и </w:t>
      </w:r>
      <w:r>
        <w:rPr>
          <w:color w:val="000000"/>
          <w:szCs w:val="24"/>
        </w:rPr>
        <w:t xml:space="preserve">Территориальной </w:t>
      </w:r>
      <w:hyperlink r:id="rId149">
        <w:r>
          <w:rPr>
            <w:color w:val="000000"/>
            <w:szCs w:val="24"/>
          </w:rPr>
          <w:t>схемой</w:t>
        </w:r>
      </w:hyperlink>
      <w:r>
        <w:rPr>
          <w:color w:val="000000"/>
          <w:szCs w:val="24"/>
        </w:rPr>
        <w:t xml:space="preserve"> в области обращения с отходами производства и потребления, в том числе с твердыми коммунальными отходами, Челябинской области  (утверждена приказом Министерства экологии Челябинской области от 24.12.2018 № 1562);</w:t>
      </w:r>
    </w:p>
    <w:p>
      <w:pPr>
        <w:pStyle w:val="Normal"/>
        <w:numPr>
          <w:ilvl w:val="0"/>
          <w:numId w:val="27"/>
        </w:numPr>
        <w:tabs>
          <w:tab w:val="clear" w:pos="708"/>
          <w:tab w:val="left" w:pos="709" w:leader="none"/>
        </w:tabs>
        <w:spacing w:lineRule="auto" w:line="276" w:before="0" w:after="120"/>
        <w:ind w:left="0" w:firstLine="426"/>
        <w:contextualSpacing/>
        <w:rPr>
          <w:szCs w:val="24"/>
        </w:rPr>
      </w:pPr>
      <w:r>
        <w:rPr>
          <w:szCs w:val="24"/>
        </w:rPr>
        <w:t>регулярная деятельность по своевременному выявлению и ликвидации мест несанкционированного размещения отходов;</w:t>
      </w:r>
    </w:p>
    <w:p>
      <w:pPr>
        <w:pStyle w:val="ListParagraph"/>
        <w:numPr>
          <w:ilvl w:val="0"/>
          <w:numId w:val="27"/>
        </w:numPr>
        <w:tabs>
          <w:tab w:val="clear" w:pos="708"/>
          <w:tab w:val="left" w:pos="709" w:leader="none"/>
        </w:tabs>
        <w:spacing w:before="0" w:after="0"/>
        <w:ind w:left="0" w:firstLine="426"/>
        <w:contextualSpacing/>
        <w:jc w:val="both"/>
        <w:rPr>
          <w:rFonts w:ascii="Times New Roman" w:hAnsi="Times New Roman"/>
          <w:sz w:val="24"/>
          <w:szCs w:val="24"/>
        </w:rPr>
      </w:pPr>
      <w:r>
        <w:rPr>
          <w:sz w:val="24"/>
          <w:szCs w:val="24"/>
        </w:rPr>
        <w:t>сбор, транспортирование, обработка, утилизация, обезвреживание, размещение отходов I и II классов опасности в соответствии с Федеральным законом от 24.06.1998 № 89-ФЗ «Об отходах производства и потребления» осуществляется Федеральным оператором по обращению с отходами I и II классов опасности или с привлечением операторов по обращению с отходами I и II классов опасности на основании договоров оказания услуг по обращению с отходами I и II классов опасности и в соответствии с федеральной схемой обращения с отходами I и II классов опасности</w:t>
      </w:r>
    </w:p>
    <w:p>
      <w:pPr>
        <w:pStyle w:val="ListParagraph"/>
        <w:numPr>
          <w:ilvl w:val="0"/>
          <w:numId w:val="27"/>
        </w:numPr>
        <w:tabs>
          <w:tab w:val="clear" w:pos="708"/>
          <w:tab w:val="left" w:pos="709" w:leader="none"/>
        </w:tabs>
        <w:spacing w:before="0" w:after="0"/>
        <w:ind w:left="0" w:firstLine="426"/>
        <w:contextualSpacing/>
        <w:jc w:val="both"/>
        <w:rPr>
          <w:rFonts w:ascii="Times New Roman" w:hAnsi="Times New Roman"/>
          <w:sz w:val="24"/>
          <w:szCs w:val="24"/>
        </w:rPr>
      </w:pPr>
      <w:r>
        <w:rPr>
          <w:sz w:val="24"/>
          <w:szCs w:val="24"/>
        </w:rPr>
        <w:t>осуществление обращения с биологическими отходами в соответствии с приказом Минсельхоза России от 26.10.2020 № 626 «Об утверждении Ветеринарных правил перемещения, хранения, переработки и утилизации биологических отходов»;</w:t>
      </w:r>
    </w:p>
    <w:p>
      <w:pPr>
        <w:sectPr>
          <w:headerReference w:type="default" r:id="rId150"/>
          <w:footerReference w:type="default" r:id="rId151"/>
          <w:type w:val="nextPage"/>
          <w:pgSz w:w="11906" w:h="16838"/>
          <w:pgMar w:left="1418" w:right="567" w:header="567" w:top="1134" w:footer="567" w:bottom="1134" w:gutter="0"/>
          <w:pgNumType w:fmt="decimal"/>
          <w:formProt w:val="false"/>
          <w:textDirection w:val="lrTb"/>
          <w:docGrid w:type="default" w:linePitch="360" w:charSpace="0"/>
        </w:sectPr>
        <w:pStyle w:val="ListParagraph"/>
        <w:numPr>
          <w:ilvl w:val="0"/>
          <w:numId w:val="27"/>
        </w:numPr>
        <w:tabs>
          <w:tab w:val="clear" w:pos="708"/>
          <w:tab w:val="left" w:pos="709" w:leader="none"/>
        </w:tabs>
        <w:spacing w:before="0" w:after="0"/>
        <w:ind w:left="0" w:firstLine="426"/>
        <w:contextualSpacing/>
        <w:jc w:val="both"/>
        <w:rPr>
          <w:rFonts w:ascii="Times New Roman" w:hAnsi="Times New Roman"/>
          <w:sz w:val="24"/>
          <w:szCs w:val="24"/>
        </w:rPr>
      </w:pPr>
      <w:r>
        <w:rPr>
          <w:sz w:val="24"/>
          <w:szCs w:val="24"/>
        </w:rPr>
        <w:t>внедрение системы раздельного сбора ценных компонентов ТКО (бумага, стекло, текстиль, пищевые отходы, пластик и так далее).</w:t>
      </w:r>
    </w:p>
    <w:p>
      <w:pPr>
        <w:pStyle w:val="021216"/>
        <w:rPr>
          <w:rFonts w:eastAsia="Times New Roman"/>
          <w:b/>
          <w:b/>
          <w:szCs w:val="24"/>
        </w:rPr>
      </w:pPr>
      <w:bookmarkStart w:id="303" w:name="_Toc182210519"/>
      <w:r>
        <w:rPr/>
        <w:t>РАЗДЕЛ 4. МЕРОПРИЯТИЯ ПО УСТАНОВЛЕНИЮ ИЛИ ИЗМЕНЕНИЮ ГРАНИЦ НАСЕЛЕННЫХ ПУНКТОВ, ВХОДЯЩИХ В СОСТАВ ПОСЕЛЕНИЯ ИЛИ ГОРОДСКОГО ОКРУГА</w:t>
      </w:r>
      <w:bookmarkEnd w:id="303"/>
    </w:p>
    <w:p>
      <w:pPr>
        <w:pStyle w:val="0212164"/>
        <w:spacing w:before="120" w:after="0"/>
        <w:rPr>
          <w:rFonts w:eastAsia="Times New Roman"/>
          <w:b/>
          <w:b/>
          <w:szCs w:val="24"/>
        </w:rPr>
      </w:pPr>
      <w:bookmarkStart w:id="304" w:name="_Toc182210520"/>
      <w:bookmarkStart w:id="305" w:name="_Toc53143735"/>
      <w:bookmarkStart w:id="306" w:name="_Toc509825954"/>
      <w:bookmarkStart w:id="307" w:name="_Toc495491608"/>
      <w:r>
        <w:rPr/>
        <w:t>ГЛАВА 1. УСТАНОВЛЕНИЕ ИЛИ ИЗМЕНЕНИЕ ГРАНИЦ НАСЕЛЕННЫХ ПУНКТ</w:t>
      </w:r>
      <w:bookmarkEnd w:id="306"/>
      <w:bookmarkEnd w:id="307"/>
      <w:r>
        <w:rPr/>
        <w:t>ОВ</w:t>
      </w:r>
      <w:bookmarkEnd w:id="304"/>
      <w:bookmarkEnd w:id="305"/>
    </w:p>
    <w:p>
      <w:pPr>
        <w:pStyle w:val="Normal"/>
        <w:spacing w:lineRule="auto" w:line="276"/>
        <w:ind w:firstLine="709"/>
        <w:rPr>
          <w:rFonts w:eastAsia="Times New Roman"/>
          <w:b/>
          <w:b/>
          <w:szCs w:val="24"/>
        </w:rPr>
      </w:pPr>
      <w:bookmarkStart w:id="308" w:name="_Toc53143736"/>
      <w:bookmarkStart w:id="309" w:name="_Toc515624179"/>
      <w:bookmarkStart w:id="310" w:name="_Toc497399076"/>
      <w:r>
        <w:rPr>
          <w:szCs w:val="24"/>
        </w:rPr>
        <w:t>В настоящее время границы населенных пунктов Катенинского сельского поселения установлены в соответствии с генеральным планом (утвержден постановлением администрации Катенинского сельского поселения</w:t>
      </w:r>
      <w:r>
        <w:rPr/>
        <w:t>).</w:t>
      </w:r>
    </w:p>
    <w:p>
      <w:pPr>
        <w:pStyle w:val="Normal"/>
        <w:spacing w:lineRule="auto" w:line="276"/>
        <w:ind w:firstLine="709"/>
        <w:rPr>
          <w:rFonts w:eastAsia="Times New Roman"/>
          <w:b/>
          <w:b/>
          <w:szCs w:val="24"/>
        </w:rPr>
      </w:pPr>
      <w:r>
        <w:rPr/>
        <w:t xml:space="preserve">Границы населенного пункта внесены в ЕГРН: с. Катенино (реестровый номер </w:t>
        <w:br/>
        <w:t>74:05-4.36), п. Караоба (реестровый номер 74:05-4.8), п. Комсомольский (реестровый номер 74:05-4.27), п. Красноармейский (реестровый номер 74:05-4.21).</w:t>
      </w:r>
    </w:p>
    <w:p>
      <w:pPr>
        <w:pStyle w:val="Normal"/>
        <w:spacing w:lineRule="auto" w:line="276" w:before="120" w:after="200"/>
        <w:ind w:firstLine="709"/>
        <w:rPr>
          <w:rFonts w:eastAsia="Times New Roman"/>
          <w:b/>
          <w:b/>
          <w:szCs w:val="24"/>
        </w:rPr>
      </w:pPr>
      <w:r>
        <w:rPr>
          <w:szCs w:val="24"/>
        </w:rPr>
        <w:t xml:space="preserve">Проектом предлагается изменение границ населенных пунктов путем уточнения (привязка к земельным участкам, </w:t>
      </w:r>
      <w:r>
        <w:rPr/>
        <w:t>сведения о которых внесены в ЕГРН</w:t>
      </w:r>
      <w:r>
        <w:rPr>
          <w:szCs w:val="24"/>
        </w:rPr>
        <w:t>). В посёлке Комсомольский расположен объект капитального строительства, который не включен в границы населенного пункта, были внесены изменения. В село Катенино, поселок Караоба в границы населенных пунктов были включены участки под транспортную инфраструктуру для возможности дальнейшего обслуживания данной территории. </w:t>
      </w:r>
      <w:r>
        <w:rPr/>
        <w:t>Перечень изменяемых населенных пунктов представлен в таблице 3.1.2 и на рисунках 4.1.1–4.1.3.</w:t>
      </w:r>
    </w:p>
    <w:p>
      <w:pPr>
        <w:pStyle w:val="Normal"/>
        <w:spacing w:lineRule="auto" w:line="276"/>
        <w:ind w:firstLine="709"/>
        <w:jc w:val="right"/>
        <w:rPr>
          <w:rFonts w:eastAsia="Times New Roman"/>
          <w:b/>
          <w:b/>
          <w:szCs w:val="24"/>
        </w:rPr>
      </w:pPr>
      <w:r>
        <w:rPr/>
        <w:t>Таблица 3.1.2</w:t>
      </w:r>
    </w:p>
    <w:p>
      <w:pPr>
        <w:pStyle w:val="Normal"/>
        <w:spacing w:lineRule="auto" w:line="276"/>
        <w:jc w:val="center"/>
        <w:rPr>
          <w:rFonts w:eastAsia="Times New Roman"/>
          <w:b/>
          <w:b/>
          <w:szCs w:val="24"/>
        </w:rPr>
      </w:pPr>
      <w:r>
        <w:rPr/>
        <w:t>Перечень населенных пунктов, границы которых изменяются генеральным планом</w:t>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418"/>
        <w:gridCol w:w="2185"/>
        <w:gridCol w:w="5765"/>
        <w:gridCol w:w="1552"/>
      </w:tblGrid>
      <w:tr>
        <w:trPr>
          <w:trHeight w:val="906" w:hRule="atLeast"/>
        </w:trPr>
        <w:tc>
          <w:tcPr>
            <w:tcW w:w="418"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sz w:val="20"/>
                <w:szCs w:val="20"/>
              </w:rPr>
              <w:t>№</w:t>
            </w:r>
          </w:p>
        </w:tc>
        <w:tc>
          <w:tcPr>
            <w:tcW w:w="2185"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sz w:val="20"/>
                <w:szCs w:val="20"/>
              </w:rPr>
              <w:t>Наименование населенного пункта</w:t>
            </w:r>
          </w:p>
        </w:tc>
        <w:tc>
          <w:tcPr>
            <w:tcW w:w="5765"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sz w:val="20"/>
                <w:szCs w:val="20"/>
              </w:rPr>
              <w:t xml:space="preserve">Существующая площадь населенных пунктов в соответствии генеральным муниципального (утвержден постановлением администрации Катенинского сельского поселения) </w:t>
            </w:r>
          </w:p>
        </w:tc>
        <w:tc>
          <w:tcPr>
            <w:tcW w:w="1552"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sz w:val="20"/>
                <w:szCs w:val="20"/>
              </w:rPr>
              <w:t>Планируемая площадь населенных пунктов, га</w:t>
            </w:r>
          </w:p>
        </w:tc>
      </w:tr>
    </w:tbl>
    <w:p>
      <w:pPr>
        <w:pStyle w:val="Normal"/>
        <w:spacing w:lineRule="auto" w:line="9"/>
        <w:jc w:val="center"/>
        <w:rPr>
          <w:rFonts w:eastAsia="Times New Roman"/>
          <w:b/>
          <w:b/>
          <w:szCs w:val="24"/>
        </w:rPr>
      </w:pPr>
      <w:r>
        <w:rPr/>
        <w:t xml:space="preserve">                                                                                            </w:t>
      </w:r>
    </w:p>
    <w:p>
      <w:pPr>
        <w:pStyle w:val="Normal"/>
        <w:spacing w:lineRule="auto" w:line="12"/>
        <w:ind w:firstLine="709"/>
        <w:jc w:val="right"/>
        <w:rPr>
          <w:rFonts w:eastAsia="Times New Roman"/>
          <w:b/>
          <w:b/>
          <w:szCs w:val="24"/>
        </w:rPr>
      </w:pPr>
      <w:r>
        <w:rPr/>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424"/>
        <w:gridCol w:w="2179"/>
        <w:gridCol w:w="5766"/>
        <w:gridCol w:w="1551"/>
      </w:tblGrid>
      <w:tr>
        <w:trPr>
          <w:tblHeader w:val="true"/>
          <w:trHeight w:val="20" w:hRule="atLeast"/>
        </w:trPr>
        <w:tc>
          <w:tcPr>
            <w:tcW w:w="424" w:type="dxa"/>
            <w:tcBorders>
              <w:top w:val="single" w:sz="4" w:space="0" w:color="000000"/>
              <w:left w:val="single" w:sz="4" w:space="0" w:color="000000"/>
              <w:bottom w:val="single" w:sz="4" w:space="0" w:color="000000"/>
              <w:right w:val="single" w:sz="4" w:space="0" w:color="000000"/>
            </w:tcBorders>
          </w:tcPr>
          <w:p>
            <w:pPr>
              <w:pStyle w:val="Normal"/>
              <w:spacing w:lineRule="auto" w:line="240"/>
              <w:rPr>
                <w:b/>
                <w:b/>
                <w:sz w:val="20"/>
                <w:szCs w:val="20"/>
              </w:rPr>
            </w:pPr>
            <w:r>
              <w:rPr>
                <w:b/>
                <w:sz w:val="20"/>
                <w:szCs w:val="20"/>
              </w:rPr>
              <w:t>1</w:t>
            </w:r>
          </w:p>
        </w:tc>
        <w:tc>
          <w:tcPr>
            <w:tcW w:w="2179"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2</w:t>
            </w:r>
          </w:p>
        </w:tc>
        <w:tc>
          <w:tcPr>
            <w:tcW w:w="5766"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3</w:t>
            </w:r>
          </w:p>
        </w:tc>
        <w:tc>
          <w:tcPr>
            <w:tcW w:w="1551"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4</w:t>
            </w:r>
          </w:p>
        </w:tc>
      </w:tr>
      <w:tr>
        <w:trPr>
          <w:trHeight w:val="20" w:hRule="atLeast"/>
        </w:trPr>
        <w:tc>
          <w:tcPr>
            <w:tcW w:w="424"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36"/>
              </w:numPr>
              <w:tabs>
                <w:tab w:val="clear" w:pos="708"/>
                <w:tab w:val="center" w:pos="4677" w:leader="none"/>
                <w:tab w:val="right" w:pos="9355" w:leader="none"/>
              </w:tabs>
              <w:spacing w:lineRule="auto" w:line="240"/>
              <w:ind w:left="0" w:hanging="0"/>
              <w:jc w:val="center"/>
              <w:rPr>
                <w:sz w:val="20"/>
                <w:szCs w:val="20"/>
              </w:rPr>
            </w:pPr>
            <w:r>
              <w:rPr>
                <w:sz w:val="20"/>
                <w:szCs w:val="20"/>
              </w:rPr>
            </w:r>
          </w:p>
        </w:tc>
        <w:tc>
          <w:tcPr>
            <w:tcW w:w="217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rPr>
                <w:sz w:val="20"/>
                <w:szCs w:val="20"/>
              </w:rPr>
            </w:pPr>
            <w:r>
              <w:rPr>
                <w:sz w:val="20"/>
                <w:szCs w:val="20"/>
              </w:rPr>
              <w:t>с. Катенино</w:t>
            </w:r>
          </w:p>
        </w:tc>
        <w:tc>
          <w:tcPr>
            <w:tcW w:w="5766"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spacing w:lineRule="auto" w:line="240"/>
              <w:jc w:val="center"/>
              <w:rPr>
                <w:sz w:val="20"/>
                <w:szCs w:val="20"/>
              </w:rPr>
            </w:pPr>
            <w:r>
              <w:rPr>
                <w:sz w:val="20"/>
                <w:szCs w:val="20"/>
              </w:rPr>
              <w:t>103,17</w:t>
            </w:r>
          </w:p>
        </w:tc>
        <w:tc>
          <w:tcPr>
            <w:tcW w:w="1551" w:type="dxa"/>
            <w:tcBorders>
              <w:top w:val="single" w:sz="4" w:space="0" w:color="000000"/>
              <w:left w:val="single" w:sz="4" w:space="0" w:color="000000"/>
              <w:bottom w:val="single" w:sz="4" w:space="0" w:color="000000"/>
              <w:right w:val="single" w:sz="4" w:space="0" w:color="000000"/>
            </w:tcBorders>
            <w:shd w:color="auto" w:fill="auto" w:val="clear"/>
          </w:tcPr>
          <w:p>
            <w:pPr>
              <w:pStyle w:val="Normal"/>
              <w:tabs>
                <w:tab w:val="clear" w:pos="708"/>
                <w:tab w:val="left" w:pos="375" w:leader="none"/>
                <w:tab w:val="center" w:pos="685" w:leader="none"/>
              </w:tabs>
              <w:spacing w:lineRule="auto" w:line="240"/>
              <w:jc w:val="center"/>
              <w:rPr>
                <w:sz w:val="20"/>
                <w:szCs w:val="20"/>
              </w:rPr>
            </w:pPr>
            <w:r>
              <w:rPr>
                <w:sz w:val="20"/>
                <w:szCs w:val="20"/>
              </w:rPr>
              <w:t>112,60</w:t>
            </w:r>
          </w:p>
        </w:tc>
      </w:tr>
      <w:tr>
        <w:trPr>
          <w:trHeight w:val="20" w:hRule="atLeast"/>
        </w:trPr>
        <w:tc>
          <w:tcPr>
            <w:tcW w:w="424"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36"/>
              </w:numPr>
              <w:tabs>
                <w:tab w:val="clear" w:pos="708"/>
                <w:tab w:val="center" w:pos="4677" w:leader="none"/>
                <w:tab w:val="right" w:pos="9355" w:leader="none"/>
              </w:tabs>
              <w:spacing w:lineRule="auto" w:line="240"/>
              <w:ind w:left="0" w:hanging="0"/>
              <w:jc w:val="center"/>
              <w:rPr>
                <w:sz w:val="20"/>
                <w:szCs w:val="20"/>
              </w:rPr>
            </w:pPr>
            <w:r>
              <w:rPr>
                <w:sz w:val="20"/>
                <w:szCs w:val="20"/>
              </w:rPr>
            </w:r>
          </w:p>
        </w:tc>
        <w:tc>
          <w:tcPr>
            <w:tcW w:w="217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rPr>
                <w:sz w:val="20"/>
                <w:szCs w:val="20"/>
              </w:rPr>
            </w:pPr>
            <w:r>
              <w:rPr>
                <w:sz w:val="20"/>
                <w:szCs w:val="20"/>
              </w:rPr>
              <w:t>п. Комсомольский</w:t>
            </w:r>
          </w:p>
        </w:tc>
        <w:tc>
          <w:tcPr>
            <w:tcW w:w="5766"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spacing w:lineRule="auto" w:line="240"/>
              <w:jc w:val="center"/>
              <w:rPr>
                <w:sz w:val="20"/>
                <w:szCs w:val="20"/>
              </w:rPr>
            </w:pPr>
            <w:r>
              <w:rPr>
                <w:sz w:val="20"/>
                <w:szCs w:val="20"/>
              </w:rPr>
              <w:t>35,46</w:t>
            </w:r>
          </w:p>
        </w:tc>
        <w:tc>
          <w:tcPr>
            <w:tcW w:w="155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39,66</w:t>
            </w:r>
          </w:p>
        </w:tc>
      </w:tr>
      <w:tr>
        <w:trPr>
          <w:trHeight w:val="20" w:hRule="atLeast"/>
        </w:trPr>
        <w:tc>
          <w:tcPr>
            <w:tcW w:w="424" w:type="dxa"/>
            <w:tcBorders>
              <w:top w:val="single" w:sz="4" w:space="0" w:color="000000"/>
              <w:left w:val="single" w:sz="4" w:space="0" w:color="000000"/>
              <w:bottom w:val="single" w:sz="4" w:space="0" w:color="000000"/>
              <w:right w:val="single" w:sz="4" w:space="0" w:color="000000"/>
            </w:tcBorders>
            <w:shd w:color="auto" w:fill="auto" w:val="clear"/>
          </w:tcPr>
          <w:p>
            <w:pPr>
              <w:pStyle w:val="Normal"/>
              <w:numPr>
                <w:ilvl w:val="0"/>
                <w:numId w:val="36"/>
              </w:numPr>
              <w:tabs>
                <w:tab w:val="clear" w:pos="708"/>
                <w:tab w:val="center" w:pos="4677" w:leader="none"/>
                <w:tab w:val="right" w:pos="9355" w:leader="none"/>
              </w:tabs>
              <w:spacing w:lineRule="auto" w:line="240"/>
              <w:ind w:left="0" w:hanging="0"/>
              <w:jc w:val="center"/>
              <w:rPr>
                <w:sz w:val="20"/>
                <w:szCs w:val="20"/>
              </w:rPr>
            </w:pPr>
            <w:r>
              <w:rPr>
                <w:sz w:val="20"/>
                <w:szCs w:val="20"/>
              </w:rPr>
            </w:r>
          </w:p>
        </w:tc>
        <w:tc>
          <w:tcPr>
            <w:tcW w:w="217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rPr>
                <w:sz w:val="20"/>
                <w:szCs w:val="20"/>
              </w:rPr>
            </w:pPr>
            <w:r>
              <w:rPr>
                <w:sz w:val="20"/>
                <w:szCs w:val="20"/>
              </w:rPr>
              <w:t>п. Караоба</w:t>
            </w:r>
          </w:p>
        </w:tc>
        <w:tc>
          <w:tcPr>
            <w:tcW w:w="5766"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spacing w:lineRule="auto" w:line="240"/>
              <w:jc w:val="center"/>
              <w:rPr>
                <w:sz w:val="20"/>
                <w:szCs w:val="20"/>
              </w:rPr>
            </w:pPr>
            <w:r>
              <w:rPr>
                <w:sz w:val="20"/>
                <w:szCs w:val="20"/>
              </w:rPr>
              <w:t>29,39</w:t>
            </w:r>
          </w:p>
        </w:tc>
        <w:tc>
          <w:tcPr>
            <w:tcW w:w="1551" w:type="dxa"/>
            <w:tcBorders>
              <w:top w:val="single" w:sz="4" w:space="0" w:color="000000"/>
              <w:left w:val="single" w:sz="4" w:space="0" w:color="000000"/>
              <w:bottom w:val="single" w:sz="4" w:space="0" w:color="000000"/>
              <w:right w:val="single" w:sz="4" w:space="0" w:color="000000"/>
            </w:tcBorders>
            <w:shd w:color="auto" w:fill="auto" w:val="clear"/>
          </w:tcPr>
          <w:p>
            <w:pPr>
              <w:pStyle w:val="Normal"/>
              <w:tabs>
                <w:tab w:val="clear" w:pos="708"/>
                <w:tab w:val="left" w:pos="990" w:leader="none"/>
                <w:tab w:val="center" w:pos="1234" w:leader="none"/>
              </w:tabs>
              <w:spacing w:lineRule="auto" w:line="240"/>
              <w:jc w:val="center"/>
              <w:rPr>
                <w:sz w:val="20"/>
                <w:szCs w:val="20"/>
              </w:rPr>
            </w:pPr>
            <w:r>
              <w:rPr>
                <w:sz w:val="20"/>
                <w:szCs w:val="20"/>
              </w:rPr>
              <w:t>29,79</w:t>
            </w:r>
          </w:p>
        </w:tc>
      </w:tr>
    </w:tbl>
    <w:p>
      <w:pPr>
        <w:pStyle w:val="0212162"/>
        <w:rPr>
          <w:rFonts w:eastAsia="Times New Roman"/>
          <w:b/>
          <w:b/>
          <w:szCs w:val="24"/>
        </w:rPr>
      </w:pPr>
      <w:r>
        <w:rPr/>
      </w:r>
    </w:p>
    <w:p>
      <w:pPr>
        <w:pStyle w:val="0212162"/>
        <w:rPr>
          <w:rFonts w:eastAsia="Times New Roman"/>
          <w:b/>
          <w:b/>
          <w:szCs w:val="24"/>
        </w:rPr>
      </w:pPr>
      <w:r>
        <w:rPr/>
        <w:t>Рисунок 4.1.1</w:t>
      </w:r>
    </w:p>
    <w:p>
      <w:pPr>
        <w:pStyle w:val="0212163"/>
        <w:rPr>
          <w:rFonts w:eastAsia="Times New Roman"/>
          <w:b/>
          <w:b/>
          <w:szCs w:val="24"/>
        </w:rPr>
      </w:pPr>
      <w:r>
        <w:rPr/>
        <w:t>Существующие и планируемые границы с. Катенино</w:t>
      </w:r>
    </w:p>
    <w:p>
      <w:pPr>
        <w:pStyle w:val="0212163"/>
        <w:rPr>
          <w:lang w:eastAsia="en-US"/>
        </w:rPr>
      </w:pPr>
      <w:r>
        <w:rPr/>
        <w:drawing>
          <wp:inline distT="0" distB="0" distL="0" distR="0">
            <wp:extent cx="6299835" cy="3911600"/>
            <wp:effectExtent l="0" t="0" r="0" b="0"/>
            <wp:docPr id="9" name="Рисунок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4" descr=""/>
                    <pic:cNvPicPr>
                      <a:picLocks noChangeAspect="1" noChangeArrowheads="1"/>
                    </pic:cNvPicPr>
                  </pic:nvPicPr>
                  <pic:blipFill>
                    <a:blip r:embed="rId152"/>
                    <a:stretch>
                      <a:fillRect/>
                    </a:stretch>
                  </pic:blipFill>
                  <pic:spPr bwMode="auto">
                    <a:xfrm>
                      <a:off x="0" y="0"/>
                      <a:ext cx="6299835" cy="3911600"/>
                    </a:xfrm>
                    <a:prstGeom prst="rect">
                      <a:avLst/>
                    </a:prstGeom>
                  </pic:spPr>
                </pic:pic>
              </a:graphicData>
            </a:graphic>
          </wp:inline>
        </w:drawing>
      </w:r>
    </w:p>
    <w:p>
      <w:pPr>
        <w:pStyle w:val="0212162"/>
        <w:rPr>
          <w:rFonts w:eastAsia="Times New Roman"/>
          <w:b/>
          <w:b/>
          <w:szCs w:val="24"/>
        </w:rPr>
      </w:pPr>
      <w:r>
        <w:rPr/>
        <w:t>Условные обозначения:</w:t>
      </w:r>
    </w:p>
    <w:p>
      <w:pPr>
        <w:pStyle w:val="0212163"/>
        <w:rPr>
          <w:lang w:eastAsia="en-US"/>
        </w:rPr>
      </w:pPr>
      <w:r>
        <w:rPr/>
        <w:drawing>
          <wp:inline distT="0" distB="0" distL="0" distR="0">
            <wp:extent cx="3432175" cy="278130"/>
            <wp:effectExtent l="0" t="0" r="0" b="0"/>
            <wp:docPr id="10" name="Рисунок 3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37" descr=""/>
                    <pic:cNvPicPr>
                      <a:picLocks noChangeAspect="1" noChangeArrowheads="1"/>
                    </pic:cNvPicPr>
                  </pic:nvPicPr>
                  <pic:blipFill>
                    <a:blip r:embed="rId153"/>
                    <a:stretch>
                      <a:fillRect/>
                    </a:stretch>
                  </pic:blipFill>
                  <pic:spPr bwMode="auto">
                    <a:xfrm>
                      <a:off x="0" y="0"/>
                      <a:ext cx="3432175" cy="278130"/>
                    </a:xfrm>
                    <a:prstGeom prst="rect">
                      <a:avLst/>
                    </a:prstGeom>
                  </pic:spPr>
                </pic:pic>
              </a:graphicData>
            </a:graphic>
          </wp:inline>
        </w:drawing>
      </w:r>
    </w:p>
    <w:p>
      <w:pPr>
        <w:pStyle w:val="0212162"/>
        <w:rPr>
          <w:rFonts w:eastAsia="Times New Roman"/>
          <w:b/>
          <w:b/>
          <w:szCs w:val="24"/>
        </w:rPr>
      </w:pPr>
      <w:r>
        <w:rPr/>
      </w:r>
    </w:p>
    <w:p>
      <w:pPr>
        <w:pStyle w:val="0212162"/>
        <w:rPr>
          <w:rFonts w:eastAsia="Times New Roman"/>
          <w:b/>
          <w:b/>
          <w:szCs w:val="24"/>
        </w:rPr>
      </w:pPr>
      <w:r>
        <w:rPr/>
        <w:t>Рисунок 4.1.2</w:t>
      </w:r>
    </w:p>
    <w:p>
      <w:pPr>
        <w:pStyle w:val="0212163"/>
        <w:rPr>
          <w:rFonts w:eastAsia="Times New Roman"/>
          <w:b/>
          <w:b/>
          <w:szCs w:val="24"/>
        </w:rPr>
      </w:pPr>
      <w:r>
        <w:rPr/>
        <w:t>Существующие и планируемые границы п. Комсомольский</w:t>
      </w:r>
    </w:p>
    <w:p>
      <w:pPr>
        <w:pStyle w:val="0212163"/>
        <w:rPr>
          <w:rFonts w:eastAsia="Times New Roman"/>
          <w:b/>
          <w:b/>
          <w:szCs w:val="24"/>
        </w:rPr>
      </w:pPr>
      <w:r>
        <w:rPr/>
        <w:drawing>
          <wp:inline distT="0" distB="0" distL="0" distR="0">
            <wp:extent cx="4562475" cy="4998720"/>
            <wp:effectExtent l="0" t="0" r="0" b="0"/>
            <wp:docPr id="11" name="Рисунок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5" descr=""/>
                    <pic:cNvPicPr>
                      <a:picLocks noChangeAspect="1" noChangeArrowheads="1"/>
                    </pic:cNvPicPr>
                  </pic:nvPicPr>
                  <pic:blipFill>
                    <a:blip r:embed="rId154"/>
                    <a:stretch>
                      <a:fillRect/>
                    </a:stretch>
                  </pic:blipFill>
                  <pic:spPr bwMode="auto">
                    <a:xfrm>
                      <a:off x="0" y="0"/>
                      <a:ext cx="4562475" cy="4998720"/>
                    </a:xfrm>
                    <a:prstGeom prst="rect">
                      <a:avLst/>
                    </a:prstGeom>
                  </pic:spPr>
                </pic:pic>
              </a:graphicData>
            </a:graphic>
          </wp:inline>
        </w:drawing>
      </w:r>
    </w:p>
    <w:p>
      <w:pPr>
        <w:pStyle w:val="0212162"/>
        <w:rPr>
          <w:rFonts w:eastAsia="Times New Roman"/>
          <w:b/>
          <w:b/>
          <w:szCs w:val="24"/>
        </w:rPr>
      </w:pPr>
      <w:r>
        <w:rPr/>
      </w:r>
    </w:p>
    <w:p>
      <w:pPr>
        <w:pStyle w:val="0212162"/>
        <w:rPr>
          <w:rFonts w:eastAsia="Times New Roman"/>
          <w:b/>
          <w:b/>
          <w:szCs w:val="24"/>
        </w:rPr>
      </w:pPr>
      <w:r>
        <w:rPr/>
        <w:t>Условные обозначения:</w:t>
      </w:r>
    </w:p>
    <w:p>
      <w:pPr>
        <w:pStyle w:val="0212163"/>
        <w:rPr>
          <w:lang w:eastAsia="en-US"/>
        </w:rPr>
      </w:pPr>
      <w:r>
        <w:rPr/>
        <w:drawing>
          <wp:inline distT="0" distB="0" distL="0" distR="0">
            <wp:extent cx="3232150" cy="266700"/>
            <wp:effectExtent l="0" t="0" r="0" b="0"/>
            <wp:docPr id="12" name="Рисунок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6" descr=""/>
                    <pic:cNvPicPr>
                      <a:picLocks noChangeAspect="1" noChangeArrowheads="1"/>
                    </pic:cNvPicPr>
                  </pic:nvPicPr>
                  <pic:blipFill>
                    <a:blip r:embed="rId155"/>
                    <a:stretch>
                      <a:fillRect/>
                    </a:stretch>
                  </pic:blipFill>
                  <pic:spPr bwMode="auto">
                    <a:xfrm>
                      <a:off x="0" y="0"/>
                      <a:ext cx="3232150" cy="266700"/>
                    </a:xfrm>
                    <a:prstGeom prst="rect">
                      <a:avLst/>
                    </a:prstGeom>
                  </pic:spPr>
                </pic:pic>
              </a:graphicData>
            </a:graphic>
          </wp:inline>
        </w:drawing>
      </w:r>
    </w:p>
    <w:p>
      <w:pPr>
        <w:pStyle w:val="0212162"/>
        <w:rPr>
          <w:rFonts w:eastAsia="Times New Roman"/>
          <w:b/>
          <w:b/>
          <w:szCs w:val="24"/>
        </w:rPr>
      </w:pPr>
      <w:r>
        <w:rPr/>
      </w:r>
    </w:p>
    <w:p>
      <w:pPr>
        <w:pStyle w:val="0212162"/>
        <w:rPr>
          <w:rFonts w:eastAsia="Times New Roman"/>
          <w:b/>
          <w:b/>
          <w:szCs w:val="24"/>
        </w:rPr>
      </w:pPr>
      <w:r>
        <w:rPr/>
        <w:t>Рисунок 4.1.3</w:t>
      </w:r>
    </w:p>
    <w:p>
      <w:pPr>
        <w:pStyle w:val="0212163"/>
        <w:rPr>
          <w:rFonts w:eastAsia="Times New Roman"/>
          <w:b/>
          <w:b/>
          <w:szCs w:val="24"/>
        </w:rPr>
      </w:pPr>
      <w:r>
        <w:rPr/>
        <w:t>Существующие и планируемые границы п. Караоба</w:t>
      </w:r>
    </w:p>
    <w:p>
      <w:pPr>
        <w:pStyle w:val="0212163"/>
        <w:rPr>
          <w:lang w:eastAsia="en-US"/>
        </w:rPr>
      </w:pPr>
      <w:r>
        <w:rPr/>
        <w:drawing>
          <wp:inline distT="0" distB="0" distL="0" distR="0">
            <wp:extent cx="6000750" cy="4324350"/>
            <wp:effectExtent l="0" t="0" r="0" b="0"/>
            <wp:docPr id="13" name="Рисунок 1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8" descr=""/>
                    <pic:cNvPicPr>
                      <a:picLocks noChangeAspect="1" noChangeArrowheads="1"/>
                    </pic:cNvPicPr>
                  </pic:nvPicPr>
                  <pic:blipFill>
                    <a:blip r:embed="rId156"/>
                    <a:stretch>
                      <a:fillRect/>
                    </a:stretch>
                  </pic:blipFill>
                  <pic:spPr bwMode="auto">
                    <a:xfrm>
                      <a:off x="0" y="0"/>
                      <a:ext cx="6000750" cy="4324350"/>
                    </a:xfrm>
                    <a:prstGeom prst="rect">
                      <a:avLst/>
                    </a:prstGeom>
                  </pic:spPr>
                </pic:pic>
              </a:graphicData>
            </a:graphic>
          </wp:inline>
        </w:drawing>
      </w:r>
    </w:p>
    <w:p>
      <w:pPr>
        <w:pStyle w:val="0212163"/>
        <w:rPr>
          <w:lang w:eastAsia="en-US"/>
        </w:rPr>
      </w:pPr>
      <w:r>
        <w:rPr>
          <w:lang w:eastAsia="en-US"/>
        </w:rPr>
        <w:t>Условные обозначения:</w:t>
      </w:r>
    </w:p>
    <w:p>
      <w:pPr>
        <w:pStyle w:val="0212162"/>
        <w:rPr>
          <w:rFonts w:eastAsia="Times New Roman"/>
          <w:b/>
          <w:b/>
          <w:szCs w:val="24"/>
        </w:rPr>
      </w:pPr>
      <w:r>
        <w:rPr/>
        <w:drawing>
          <wp:inline distT="0" distB="0" distL="0" distR="0">
            <wp:extent cx="3856990" cy="318135"/>
            <wp:effectExtent l="0" t="0" r="0" b="0"/>
            <wp:docPr id="14" name="Рисунок 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2" descr=""/>
                    <pic:cNvPicPr>
                      <a:picLocks noChangeAspect="1" noChangeArrowheads="1"/>
                    </pic:cNvPicPr>
                  </pic:nvPicPr>
                  <pic:blipFill>
                    <a:blip r:embed="rId157"/>
                    <a:stretch>
                      <a:fillRect/>
                    </a:stretch>
                  </pic:blipFill>
                  <pic:spPr bwMode="auto">
                    <a:xfrm>
                      <a:off x="0" y="0"/>
                      <a:ext cx="3856990" cy="318135"/>
                    </a:xfrm>
                    <a:prstGeom prst="rect">
                      <a:avLst/>
                    </a:prstGeom>
                  </pic:spPr>
                </pic:pic>
              </a:graphicData>
            </a:graphic>
          </wp:inline>
        </w:drawing>
      </w:r>
    </w:p>
    <w:p>
      <w:pPr>
        <w:pStyle w:val="0212163"/>
        <w:rPr>
          <w:lang w:eastAsia="en-US"/>
        </w:rPr>
      </w:pPr>
      <w:r>
        <w:rPr>
          <w:lang w:eastAsia="en-US"/>
        </w:rPr>
      </w:r>
    </w:p>
    <w:p>
      <w:pPr>
        <w:pStyle w:val="0212162"/>
        <w:rPr>
          <w:rFonts w:eastAsia="Times New Roman"/>
          <w:b/>
          <w:b/>
          <w:szCs w:val="24"/>
        </w:rPr>
      </w:pPr>
      <w:r>
        <w:rPr/>
      </w:r>
      <w:r>
        <w:br w:type="page"/>
      </w:r>
    </w:p>
    <w:p>
      <w:pPr>
        <w:pStyle w:val="0212164"/>
        <w:spacing w:before="120" w:after="0"/>
        <w:rPr>
          <w:rFonts w:eastAsia="Times New Roman"/>
          <w:b/>
          <w:b/>
          <w:szCs w:val="24"/>
        </w:rPr>
      </w:pPr>
      <w:bookmarkStart w:id="311" w:name="_Toc53143736"/>
      <w:bookmarkStart w:id="312" w:name="_Toc515624179"/>
      <w:bookmarkStart w:id="313" w:name="_Toc497399076"/>
      <w:bookmarkStart w:id="314" w:name="_Toc182210521"/>
      <w:r>
        <w:rPr/>
        <w:t xml:space="preserve">ГЛАВА 2. </w:t>
      </w:r>
      <w:bookmarkEnd w:id="311"/>
      <w:bookmarkEnd w:id="312"/>
      <w:bookmarkEnd w:id="313"/>
      <w:r>
        <w:rPr/>
        <w:t>ПЕРЕЧЕНЬ ЗЕМЕЛЬНЫХ УЧАСТКОВ, КОТОРЫЕ ВКЛЮЧАЮТСЯ В ГРАНИЦЫ НАСЕЛЕННЫХ ПУНКТОВ, ВХОДЯЩИХ В СОСТАВ ПОСЕЛЕНИЯ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bookmarkEnd w:id="314"/>
    </w:p>
    <w:p>
      <w:pPr>
        <w:pStyle w:val="Normal"/>
        <w:spacing w:lineRule="auto" w:line="276"/>
        <w:ind w:firstLine="708"/>
        <w:rPr>
          <w:rFonts w:eastAsia="Times New Roman"/>
          <w:b/>
          <w:b/>
          <w:szCs w:val="24"/>
        </w:rPr>
      </w:pPr>
      <w:bookmarkStart w:id="315" w:name="_Toc80964133"/>
      <w:r>
        <w:rPr/>
        <w:t>На территории Катенинского сельского поселения отсутствуют земельные участки, исключаемые из границ населенных пунктов. Перечень земельных участков, включаемые в границы населенных пунктов, представлены в таблице 4.2.1.</w:t>
      </w:r>
    </w:p>
    <w:p>
      <w:pPr>
        <w:pStyle w:val="NormalWeb"/>
        <w:spacing w:lineRule="auto" w:line="276" w:before="0" w:after="0"/>
        <w:jc w:val="right"/>
        <w:rPr>
          <w:sz w:val="24"/>
          <w:szCs w:val="24"/>
        </w:rPr>
      </w:pPr>
      <w:r>
        <w:rPr>
          <w:sz w:val="24"/>
          <w:szCs w:val="24"/>
        </w:rPr>
        <w:t xml:space="preserve">Таблица 4.2.1 </w:t>
      </w:r>
    </w:p>
    <w:p>
      <w:pPr>
        <w:pStyle w:val="NormalWeb"/>
        <w:spacing w:lineRule="auto" w:line="276" w:before="0" w:after="0"/>
        <w:ind w:right="-2" w:hanging="0"/>
        <w:jc w:val="center"/>
        <w:rPr>
          <w:sz w:val="24"/>
          <w:szCs w:val="24"/>
        </w:rPr>
      </w:pPr>
      <w:r>
        <w:rPr>
          <w:sz w:val="24"/>
          <w:szCs w:val="24"/>
        </w:rPr>
        <w:t>Земельные участки, включаемые в границы населенных пунктов</w:t>
      </w:r>
    </w:p>
    <w:tbl>
      <w:tblPr>
        <w:tblW w:w="10173" w:type="dxa"/>
        <w:jc w:val="left"/>
        <w:tblInd w:w="-108" w:type="dxa"/>
        <w:tblCellMar>
          <w:top w:w="0" w:type="dxa"/>
          <w:left w:w="108" w:type="dxa"/>
          <w:bottom w:w="0" w:type="dxa"/>
          <w:right w:w="108" w:type="dxa"/>
        </w:tblCellMar>
        <w:tblLook w:firstRow="1" w:noVBand="1" w:lastRow="0" w:firstColumn="1" w:lastColumn="0" w:noHBand="0" w:val="04a0"/>
      </w:tblPr>
      <w:tblGrid>
        <w:gridCol w:w="421"/>
        <w:gridCol w:w="1983"/>
        <w:gridCol w:w="1844"/>
        <w:gridCol w:w="1843"/>
        <w:gridCol w:w="1559"/>
        <w:gridCol w:w="1701"/>
        <w:gridCol w:w="821"/>
      </w:tblGrid>
      <w:tr>
        <w:trPr>
          <w:tblHeader w:val="true"/>
          <w:trHeight w:val="1134" w:hRule="atLeast"/>
          <w:cantSplit w:val="true"/>
        </w:trPr>
        <w:tc>
          <w:tcPr>
            <w:tcW w:w="421"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bCs/>
                <w:sz w:val="20"/>
                <w:szCs w:val="20"/>
              </w:rPr>
            </w:pPr>
            <w:r>
              <w:rPr>
                <w:b/>
                <w:bCs/>
                <w:sz w:val="20"/>
                <w:szCs w:val="20"/>
              </w:rPr>
              <w:t>№</w:t>
            </w:r>
          </w:p>
        </w:tc>
        <w:tc>
          <w:tcPr>
            <w:tcW w:w="1983"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bCs/>
                <w:sz w:val="20"/>
                <w:szCs w:val="20"/>
              </w:rPr>
            </w:pPr>
            <w:r>
              <w:rPr>
                <w:b/>
                <w:bCs/>
                <w:sz w:val="20"/>
                <w:szCs w:val="20"/>
              </w:rPr>
              <w:t>Кадастровый номер земельного участка или кадастрового квартала</w:t>
            </w:r>
          </w:p>
        </w:tc>
        <w:tc>
          <w:tcPr>
            <w:tcW w:w="1844"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bCs/>
                <w:sz w:val="20"/>
                <w:szCs w:val="20"/>
              </w:rPr>
            </w:pPr>
            <w:r>
              <w:rPr>
                <w:b/>
                <w:bCs/>
                <w:sz w:val="20"/>
                <w:szCs w:val="20"/>
              </w:rPr>
              <w:t>Разрешенное использование</w:t>
            </w:r>
          </w:p>
        </w:tc>
        <w:tc>
          <w:tcPr>
            <w:tcW w:w="1843"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bCs/>
                <w:sz w:val="20"/>
                <w:szCs w:val="20"/>
              </w:rPr>
            </w:pPr>
            <w:r>
              <w:rPr>
                <w:b/>
                <w:bCs/>
                <w:sz w:val="20"/>
                <w:szCs w:val="20"/>
              </w:rPr>
              <w:t>Цель планируемого использования</w:t>
            </w:r>
          </w:p>
        </w:tc>
        <w:tc>
          <w:tcPr>
            <w:tcW w:w="1559"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ind w:left="-108" w:right="-108" w:hanging="0"/>
              <w:jc w:val="center"/>
              <w:rPr>
                <w:b/>
                <w:b/>
                <w:bCs/>
                <w:sz w:val="20"/>
                <w:szCs w:val="20"/>
              </w:rPr>
            </w:pPr>
            <w:r>
              <w:rPr>
                <w:b/>
                <w:bCs/>
                <w:sz w:val="20"/>
                <w:szCs w:val="20"/>
              </w:rPr>
              <w:t>Существующие категории земель</w:t>
            </w:r>
          </w:p>
        </w:tc>
        <w:tc>
          <w:tcPr>
            <w:tcW w:w="1701"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bCs/>
                <w:sz w:val="20"/>
                <w:szCs w:val="20"/>
              </w:rPr>
            </w:pPr>
            <w:r>
              <w:rPr>
                <w:b/>
                <w:bCs/>
                <w:sz w:val="20"/>
                <w:szCs w:val="20"/>
              </w:rPr>
              <w:t xml:space="preserve">Планируемые </w:t>
            </w:r>
          </w:p>
          <w:p>
            <w:pPr>
              <w:pStyle w:val="Normal"/>
              <w:spacing w:lineRule="auto" w:line="240"/>
              <w:jc w:val="center"/>
              <w:rPr>
                <w:b/>
                <w:b/>
                <w:bCs/>
                <w:sz w:val="20"/>
                <w:szCs w:val="20"/>
              </w:rPr>
            </w:pPr>
            <w:r>
              <w:rPr>
                <w:b/>
                <w:bCs/>
                <w:sz w:val="20"/>
                <w:szCs w:val="20"/>
              </w:rPr>
              <w:t>категории земель</w:t>
            </w:r>
          </w:p>
        </w:tc>
        <w:tc>
          <w:tcPr>
            <w:tcW w:w="821" w:type="dxa"/>
            <w:tcBorders>
              <w:top w:val="single" w:sz="4" w:space="0" w:color="000000"/>
              <w:left w:val="single" w:sz="4" w:space="0" w:color="000000"/>
              <w:right w:val="single" w:sz="4" w:space="0" w:color="000000"/>
            </w:tcBorders>
            <w:shd w:color="auto" w:fill="auto" w:val="clear"/>
            <w:textDirection w:val="btLr"/>
            <w:vAlign w:val="center"/>
          </w:tcPr>
          <w:p>
            <w:pPr>
              <w:pStyle w:val="Normal"/>
              <w:spacing w:lineRule="auto" w:line="240"/>
              <w:ind w:left="113" w:right="113" w:hanging="0"/>
              <w:jc w:val="center"/>
              <w:rPr>
                <w:b/>
                <w:b/>
                <w:bCs/>
                <w:sz w:val="20"/>
                <w:szCs w:val="20"/>
              </w:rPr>
            </w:pPr>
            <w:r>
              <w:rPr>
                <w:b/>
                <w:bCs/>
                <w:sz w:val="20"/>
                <w:szCs w:val="20"/>
              </w:rPr>
              <w:t>Площадь,</w:t>
            </w:r>
          </w:p>
          <w:p>
            <w:pPr>
              <w:pStyle w:val="Normal"/>
              <w:spacing w:lineRule="auto" w:line="240"/>
              <w:ind w:left="113" w:right="113" w:hanging="0"/>
              <w:jc w:val="center"/>
              <w:rPr>
                <w:b/>
                <w:b/>
                <w:bCs/>
                <w:sz w:val="20"/>
                <w:szCs w:val="20"/>
              </w:rPr>
            </w:pPr>
            <w:r>
              <w:rPr>
                <w:b/>
                <w:bCs/>
                <w:sz w:val="20"/>
                <w:szCs w:val="20"/>
              </w:rPr>
              <w:t>га</w:t>
            </w:r>
          </w:p>
        </w:tc>
      </w:tr>
    </w:tbl>
    <w:p>
      <w:pPr>
        <w:pStyle w:val="NormalWeb"/>
        <w:spacing w:lineRule="auto" w:line="12" w:before="0" w:after="0"/>
        <w:jc w:val="center"/>
        <w:rPr>
          <w:sz w:val="20"/>
          <w:szCs w:val="20"/>
        </w:rPr>
      </w:pPr>
      <w:r>
        <w:rPr>
          <w:sz w:val="20"/>
          <w:szCs w:val="20"/>
        </w:rPr>
      </w:r>
    </w:p>
    <w:tbl>
      <w:tblPr>
        <w:tblW w:w="5000" w:type="pct"/>
        <w:jc w:val="center"/>
        <w:tblInd w:w="0" w:type="dxa"/>
        <w:tblCellMar>
          <w:top w:w="0" w:type="dxa"/>
          <w:left w:w="108" w:type="dxa"/>
          <w:bottom w:w="0" w:type="dxa"/>
          <w:right w:w="108" w:type="dxa"/>
        </w:tblCellMar>
        <w:tblLook w:firstRow="1" w:noVBand="1" w:lastRow="0" w:firstColumn="1" w:lastColumn="0" w:noHBand="0" w:val="04a0"/>
      </w:tblPr>
      <w:tblGrid>
        <w:gridCol w:w="420"/>
        <w:gridCol w:w="1984"/>
        <w:gridCol w:w="1844"/>
        <w:gridCol w:w="1843"/>
        <w:gridCol w:w="1365"/>
        <w:gridCol w:w="1663"/>
        <w:gridCol w:w="801"/>
      </w:tblGrid>
      <w:tr>
        <w:trPr>
          <w:tblHeader w:val="true"/>
          <w:trHeight w:val="20" w:hRule="atLeast"/>
        </w:trPr>
        <w:tc>
          <w:tcPr>
            <w:tcW w:w="420"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bCs/>
                <w:sz w:val="20"/>
                <w:szCs w:val="20"/>
              </w:rPr>
            </w:pPr>
            <w:r>
              <w:rPr>
                <w:b/>
                <w:bCs/>
                <w:sz w:val="20"/>
                <w:szCs w:val="20"/>
              </w:rPr>
              <w:t>1</w:t>
            </w:r>
          </w:p>
        </w:tc>
        <w:tc>
          <w:tcPr>
            <w:tcW w:w="198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bCs/>
                <w:sz w:val="20"/>
                <w:szCs w:val="20"/>
              </w:rPr>
            </w:pPr>
            <w:r>
              <w:rPr>
                <w:b/>
                <w:bCs/>
                <w:sz w:val="20"/>
                <w:szCs w:val="20"/>
              </w:rPr>
              <w:t>2</w:t>
            </w:r>
          </w:p>
        </w:tc>
        <w:tc>
          <w:tcPr>
            <w:tcW w:w="184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bCs/>
                <w:sz w:val="20"/>
                <w:szCs w:val="20"/>
              </w:rPr>
            </w:pPr>
            <w:r>
              <w:rPr>
                <w:b/>
                <w:bCs/>
                <w:sz w:val="20"/>
                <w:szCs w:val="20"/>
              </w:rPr>
              <w:t>3</w:t>
            </w:r>
          </w:p>
        </w:tc>
        <w:tc>
          <w:tcPr>
            <w:tcW w:w="184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bCs/>
                <w:sz w:val="20"/>
                <w:szCs w:val="20"/>
              </w:rPr>
            </w:pPr>
            <w:r>
              <w:rPr>
                <w:b/>
                <w:bCs/>
                <w:sz w:val="20"/>
                <w:szCs w:val="20"/>
              </w:rPr>
              <w:t>4</w:t>
            </w:r>
          </w:p>
        </w:tc>
        <w:tc>
          <w:tcPr>
            <w:tcW w:w="136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bCs/>
                <w:sz w:val="20"/>
                <w:szCs w:val="20"/>
              </w:rPr>
            </w:pPr>
            <w:r>
              <w:rPr>
                <w:b/>
                <w:bCs/>
                <w:sz w:val="20"/>
                <w:szCs w:val="20"/>
              </w:rPr>
              <w:t>5</w:t>
            </w:r>
          </w:p>
        </w:tc>
        <w:tc>
          <w:tcPr>
            <w:tcW w:w="166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bCs/>
                <w:sz w:val="20"/>
                <w:szCs w:val="20"/>
              </w:rPr>
            </w:pPr>
            <w:r>
              <w:rPr>
                <w:b/>
                <w:bCs/>
                <w:sz w:val="20"/>
                <w:szCs w:val="20"/>
              </w:rPr>
              <w:t>6</w:t>
            </w:r>
          </w:p>
        </w:tc>
        <w:tc>
          <w:tcPr>
            <w:tcW w:w="80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b/>
                <w:b/>
                <w:bCs/>
                <w:sz w:val="20"/>
                <w:szCs w:val="20"/>
              </w:rPr>
            </w:pPr>
            <w:r>
              <w:rPr>
                <w:b/>
                <w:bCs/>
                <w:sz w:val="20"/>
                <w:szCs w:val="20"/>
              </w:rPr>
              <w:t>7</w:t>
            </w:r>
          </w:p>
        </w:tc>
      </w:tr>
      <w:tr>
        <w:trPr>
          <w:trHeight w:val="20" w:hRule="atLeast"/>
        </w:trPr>
        <w:tc>
          <w:tcPr>
            <w:tcW w:w="9920" w:type="dxa"/>
            <w:gridSpan w:val="7"/>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ind w:right="-107" w:hanging="0"/>
              <w:jc w:val="center"/>
              <w:rPr>
                <w:sz w:val="20"/>
                <w:szCs w:val="20"/>
              </w:rPr>
            </w:pPr>
            <w:r>
              <w:rPr>
                <w:sz w:val="20"/>
                <w:szCs w:val="20"/>
              </w:rPr>
              <w:t>п. Караоба</w:t>
            </w:r>
          </w:p>
        </w:tc>
      </w:tr>
      <w:tr>
        <w:trPr>
          <w:trHeight w:val="20" w:hRule="atLeast"/>
        </w:trPr>
        <w:tc>
          <w:tcPr>
            <w:tcW w:w="420"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1</w:t>
            </w:r>
          </w:p>
        </w:tc>
        <w:tc>
          <w:tcPr>
            <w:tcW w:w="1984"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74:05:4600006:386</w:t>
            </w:r>
          </w:p>
        </w:tc>
        <w:tc>
          <w:tcPr>
            <w:tcW w:w="1844"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Для выпаса скота и сенокошения</w:t>
            </w:r>
          </w:p>
        </w:tc>
        <w:tc>
          <w:tcPr>
            <w:tcW w:w="1843"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Под транспортную инфраструктуру</w:t>
            </w:r>
          </w:p>
        </w:tc>
        <w:tc>
          <w:tcPr>
            <w:tcW w:w="1365"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Земли сельскохозяйственного назначения</w:t>
            </w:r>
          </w:p>
        </w:tc>
        <w:tc>
          <w:tcPr>
            <w:tcW w:w="1663"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fldChar w:fldCharType="begin"/>
            </w:r>
            <w:r>
              <w:rPr>
                <w:sz w:val="20"/>
                <w:szCs w:val="20"/>
              </w:rPr>
              <w:instrText> HYPERLINK "https://www.consultant.ru/document/cons_doc_LAW_446195/533ee5fc98aee7416dbf5b5c15265ff54e020592/" \l "dst100705"</w:instrText>
            </w:r>
            <w:r>
              <w:rPr>
                <w:sz w:val="20"/>
                <w:szCs w:val="20"/>
              </w:rPr>
              <w:fldChar w:fldCharType="separate"/>
            </w:r>
            <w:r>
              <w:rPr>
                <w:sz w:val="20"/>
                <w:szCs w:val="20"/>
              </w:rPr>
              <w:t>Земли</w:t>
            </w:r>
            <w:r>
              <w:rPr>
                <w:sz w:val="20"/>
                <w:szCs w:val="20"/>
              </w:rPr>
              <w:fldChar w:fldCharType="end"/>
            </w:r>
            <w:r>
              <w:rPr>
                <w:sz w:val="20"/>
                <w:szCs w:val="20"/>
              </w:rPr>
              <w:t xml:space="preserve"> населенных пунктов</w:t>
            </w:r>
          </w:p>
        </w:tc>
        <w:tc>
          <w:tcPr>
            <w:tcW w:w="801"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0,32</w:t>
            </w:r>
          </w:p>
        </w:tc>
      </w:tr>
      <w:tr>
        <w:trPr>
          <w:trHeight w:val="20" w:hRule="atLeast"/>
        </w:trPr>
        <w:tc>
          <w:tcPr>
            <w:tcW w:w="9920" w:type="dxa"/>
            <w:gridSpan w:val="7"/>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ind w:right="-107" w:hanging="0"/>
              <w:jc w:val="center"/>
              <w:rPr>
                <w:sz w:val="20"/>
                <w:szCs w:val="20"/>
              </w:rPr>
            </w:pPr>
            <w:r>
              <w:rPr>
                <w:sz w:val="20"/>
                <w:szCs w:val="20"/>
              </w:rPr>
              <w:t>с. Катенино</w:t>
            </w:r>
          </w:p>
        </w:tc>
      </w:tr>
      <w:tr>
        <w:trPr>
          <w:trHeight w:val="20" w:hRule="atLeast"/>
        </w:trPr>
        <w:tc>
          <w:tcPr>
            <w:tcW w:w="420"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2</w:t>
            </w:r>
          </w:p>
        </w:tc>
        <w:tc>
          <w:tcPr>
            <w:tcW w:w="1984"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74:05:4600006:383</w:t>
            </w:r>
          </w:p>
        </w:tc>
        <w:tc>
          <w:tcPr>
            <w:tcW w:w="1844"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производство и использование племенной продукции (материала) размещение зданий, сооружений, используемых для содержания и разведение сельскохозяйственных животных, производства, хранения и первичной переработки сельскохозяйственной продукции</w:t>
            </w:r>
          </w:p>
        </w:tc>
        <w:tc>
          <w:tcPr>
            <w:tcW w:w="1843"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Под транспортную инфраструктуру</w:t>
            </w:r>
          </w:p>
        </w:tc>
        <w:tc>
          <w:tcPr>
            <w:tcW w:w="1365"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Земли сельскохозяйственного назначения</w:t>
            </w:r>
          </w:p>
        </w:tc>
        <w:tc>
          <w:tcPr>
            <w:tcW w:w="1663"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fldChar w:fldCharType="begin"/>
            </w:r>
            <w:r>
              <w:rPr>
                <w:sz w:val="20"/>
                <w:szCs w:val="20"/>
              </w:rPr>
              <w:instrText> HYPERLINK "https://www.consultant.ru/document/cons_doc_LAW_446195/533ee5fc98aee7416dbf5b5c15265ff54e020592/" \l "dst100705"</w:instrText>
            </w:r>
            <w:r>
              <w:rPr>
                <w:sz w:val="20"/>
                <w:szCs w:val="20"/>
              </w:rPr>
              <w:fldChar w:fldCharType="separate"/>
            </w:r>
            <w:r>
              <w:rPr>
                <w:sz w:val="20"/>
                <w:szCs w:val="20"/>
              </w:rPr>
              <w:t>Земли</w:t>
            </w:r>
            <w:r>
              <w:rPr>
                <w:sz w:val="20"/>
                <w:szCs w:val="20"/>
              </w:rPr>
              <w:fldChar w:fldCharType="end"/>
            </w:r>
            <w:r>
              <w:rPr>
                <w:sz w:val="20"/>
                <w:szCs w:val="20"/>
              </w:rPr>
              <w:t xml:space="preserve"> населенных пунктов</w:t>
            </w:r>
          </w:p>
        </w:tc>
        <w:tc>
          <w:tcPr>
            <w:tcW w:w="801"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0,23</w:t>
            </w:r>
          </w:p>
        </w:tc>
      </w:tr>
      <w:tr>
        <w:trPr>
          <w:trHeight w:val="20" w:hRule="atLeast"/>
        </w:trPr>
        <w:tc>
          <w:tcPr>
            <w:tcW w:w="420"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3</w:t>
            </w:r>
          </w:p>
        </w:tc>
        <w:tc>
          <w:tcPr>
            <w:tcW w:w="1984"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74:05:0000000:3337</w:t>
            </w:r>
          </w:p>
        </w:tc>
        <w:tc>
          <w:tcPr>
            <w:tcW w:w="1844"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Для выпаса скота и сенокошения</w:t>
            </w:r>
          </w:p>
        </w:tc>
        <w:tc>
          <w:tcPr>
            <w:tcW w:w="1843"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Под транспортную инфраструктуру</w:t>
            </w:r>
          </w:p>
        </w:tc>
        <w:tc>
          <w:tcPr>
            <w:tcW w:w="1365"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Земли сельскохозяйственного назначения</w:t>
            </w:r>
          </w:p>
        </w:tc>
        <w:tc>
          <w:tcPr>
            <w:tcW w:w="1663"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fldChar w:fldCharType="begin"/>
            </w:r>
            <w:r>
              <w:rPr>
                <w:sz w:val="20"/>
                <w:szCs w:val="20"/>
              </w:rPr>
              <w:instrText> HYPERLINK "https://www.consultant.ru/document/cons_doc_LAW_446195/533ee5fc98aee7416dbf5b5c15265ff54e020592/" \l "dst100705"</w:instrText>
            </w:r>
            <w:r>
              <w:rPr>
                <w:sz w:val="20"/>
                <w:szCs w:val="20"/>
              </w:rPr>
              <w:fldChar w:fldCharType="separate"/>
            </w:r>
            <w:r>
              <w:rPr>
                <w:sz w:val="20"/>
                <w:szCs w:val="20"/>
              </w:rPr>
              <w:t>Земли</w:t>
            </w:r>
            <w:r>
              <w:rPr>
                <w:sz w:val="20"/>
                <w:szCs w:val="20"/>
              </w:rPr>
              <w:fldChar w:fldCharType="end"/>
            </w:r>
            <w:r>
              <w:rPr>
                <w:sz w:val="20"/>
                <w:szCs w:val="20"/>
              </w:rPr>
              <w:t xml:space="preserve"> населенных пунктов</w:t>
            </w:r>
          </w:p>
        </w:tc>
        <w:tc>
          <w:tcPr>
            <w:tcW w:w="801"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1,65</w:t>
            </w:r>
          </w:p>
        </w:tc>
      </w:tr>
      <w:tr>
        <w:trPr>
          <w:trHeight w:val="20" w:hRule="atLeast"/>
        </w:trPr>
        <w:tc>
          <w:tcPr>
            <w:tcW w:w="420"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4</w:t>
            </w:r>
          </w:p>
        </w:tc>
        <w:tc>
          <w:tcPr>
            <w:tcW w:w="1984"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74:05:1700001:1211</w:t>
            </w:r>
          </w:p>
        </w:tc>
        <w:tc>
          <w:tcPr>
            <w:tcW w:w="1844"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улично-дорожная сеть</w:t>
            </w:r>
          </w:p>
        </w:tc>
        <w:tc>
          <w:tcPr>
            <w:tcW w:w="1843"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Под транспортную инфраструктуру</w:t>
            </w:r>
          </w:p>
        </w:tc>
        <w:tc>
          <w:tcPr>
            <w:tcW w:w="1365"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Земли населённых пунктов</w:t>
            </w:r>
          </w:p>
        </w:tc>
        <w:tc>
          <w:tcPr>
            <w:tcW w:w="1663"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fldChar w:fldCharType="begin"/>
            </w:r>
            <w:r>
              <w:rPr>
                <w:sz w:val="20"/>
                <w:szCs w:val="20"/>
              </w:rPr>
              <w:instrText> HYPERLINK "https://www.consultant.ru/document/cons_doc_LAW_446195/533ee5fc98aee7416dbf5b5c15265ff54e020592/" \l "dst100705"</w:instrText>
            </w:r>
            <w:r>
              <w:rPr>
                <w:sz w:val="20"/>
                <w:szCs w:val="20"/>
              </w:rPr>
              <w:fldChar w:fldCharType="separate"/>
            </w:r>
            <w:r>
              <w:rPr>
                <w:sz w:val="20"/>
                <w:szCs w:val="20"/>
              </w:rPr>
              <w:t>Земли</w:t>
            </w:r>
            <w:r>
              <w:rPr>
                <w:sz w:val="20"/>
                <w:szCs w:val="20"/>
              </w:rPr>
              <w:fldChar w:fldCharType="end"/>
            </w:r>
            <w:r>
              <w:rPr>
                <w:sz w:val="20"/>
                <w:szCs w:val="20"/>
              </w:rPr>
              <w:t xml:space="preserve"> населенных пунктов</w:t>
            </w:r>
          </w:p>
        </w:tc>
        <w:tc>
          <w:tcPr>
            <w:tcW w:w="801"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0,08</w:t>
            </w:r>
          </w:p>
        </w:tc>
      </w:tr>
      <w:tr>
        <w:trPr>
          <w:trHeight w:val="20" w:hRule="atLeast"/>
        </w:trPr>
        <w:tc>
          <w:tcPr>
            <w:tcW w:w="420"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5</w:t>
            </w:r>
          </w:p>
        </w:tc>
        <w:tc>
          <w:tcPr>
            <w:tcW w:w="1984"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74:05:4600005:1</w:t>
            </w:r>
          </w:p>
        </w:tc>
        <w:tc>
          <w:tcPr>
            <w:tcW w:w="1844"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в постоянное (бессрочное) пользование землей</w:t>
            </w:r>
          </w:p>
        </w:tc>
        <w:tc>
          <w:tcPr>
            <w:tcW w:w="1843"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Под транспортную инфраструктуру</w:t>
            </w:r>
          </w:p>
        </w:tc>
        <w:tc>
          <w:tcPr>
            <w:tcW w:w="1365"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1663"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fldChar w:fldCharType="begin"/>
            </w:r>
            <w:r>
              <w:rPr>
                <w:sz w:val="20"/>
                <w:szCs w:val="20"/>
              </w:rPr>
              <w:instrText> HYPERLINK "https://www.consultant.ru/document/cons_doc_LAW_446195/533ee5fc98aee7416dbf5b5c15265ff54e020592/" \l "dst100705"</w:instrText>
            </w:r>
            <w:r>
              <w:rPr>
                <w:sz w:val="20"/>
                <w:szCs w:val="20"/>
              </w:rPr>
              <w:fldChar w:fldCharType="separate"/>
            </w:r>
            <w:r>
              <w:rPr>
                <w:sz w:val="20"/>
                <w:szCs w:val="20"/>
              </w:rPr>
              <w:t>Земли</w:t>
            </w:r>
            <w:r>
              <w:rPr>
                <w:sz w:val="20"/>
                <w:szCs w:val="20"/>
              </w:rPr>
              <w:fldChar w:fldCharType="end"/>
            </w:r>
            <w:r>
              <w:rPr>
                <w:sz w:val="20"/>
                <w:szCs w:val="20"/>
              </w:rPr>
              <w:t xml:space="preserve"> населенных пунктов</w:t>
            </w:r>
          </w:p>
        </w:tc>
        <w:tc>
          <w:tcPr>
            <w:tcW w:w="801" w:type="dxa"/>
            <w:tcBorders>
              <w:top w:val="single" w:sz="4" w:space="0" w:color="000000"/>
              <w:bottom w:val="single" w:sz="4" w:space="0" w:color="000000"/>
              <w:right w:val="single" w:sz="4" w:space="0" w:color="000000"/>
            </w:tcBorders>
            <w:shd w:color="auto" w:fill="auto" w:val="clear"/>
          </w:tcPr>
          <w:p>
            <w:pPr>
              <w:pStyle w:val="Normal"/>
              <w:spacing w:lineRule="auto" w:line="240"/>
              <w:ind w:right="-107" w:hanging="0"/>
              <w:jc w:val="left"/>
              <w:rPr>
                <w:sz w:val="20"/>
                <w:szCs w:val="20"/>
              </w:rPr>
            </w:pPr>
            <w:r>
              <w:rPr>
                <w:sz w:val="20"/>
                <w:szCs w:val="20"/>
              </w:rPr>
              <w:t>0,47</w:t>
            </w:r>
          </w:p>
        </w:tc>
      </w:tr>
    </w:tbl>
    <w:p>
      <w:pPr>
        <w:pStyle w:val="021216"/>
        <w:rPr>
          <w:rFonts w:eastAsia="Times New Roman"/>
          <w:b/>
          <w:b/>
          <w:szCs w:val="24"/>
        </w:rPr>
      </w:pPr>
      <w:r>
        <w:rPr/>
      </w:r>
      <w:r>
        <w:br w:type="page"/>
      </w:r>
    </w:p>
    <w:p>
      <w:pPr>
        <w:pStyle w:val="021216"/>
        <w:rPr>
          <w:rFonts w:eastAsia="Times New Roman"/>
          <w:b/>
          <w:b/>
          <w:szCs w:val="24"/>
        </w:rPr>
      </w:pPr>
      <w:bookmarkStart w:id="316" w:name="_Toc80964133"/>
      <w:bookmarkStart w:id="317" w:name="_Toc182210522"/>
      <w:r>
        <w:rPr/>
        <w:t>РАЗДЕЛ 5. ПЕРЕЧЕНЬ И ХАРАКТЕРИСТИКА ОСНОВНЫХ ФАКТОРОВ РИСКА ВОЗНИКНОВЕНИЯ ЧРЕЗВЫЧАЙНЫХ СИТУАЦИЙ ПРИРОДНОГО И ТЕХНОГЕННОГО ХАРАКТЕРА</w:t>
      </w:r>
      <w:bookmarkEnd w:id="316"/>
      <w:bookmarkEnd w:id="317"/>
    </w:p>
    <w:p>
      <w:pPr>
        <w:pStyle w:val="Normal"/>
        <w:spacing w:lineRule="auto" w:line="276"/>
        <w:ind w:firstLine="709"/>
        <w:rPr>
          <w:rFonts w:eastAsia="Times New Roman"/>
          <w:bCs/>
          <w:iCs/>
          <w:szCs w:val="24"/>
        </w:rPr>
      </w:pPr>
      <w:r>
        <w:rPr>
          <w:rFonts w:eastAsia="Times New Roman"/>
          <w:bCs/>
          <w:iCs/>
          <w:szCs w:val="24"/>
        </w:rPr>
        <w:t>Информация, описанная в данной главе, представлена графически на Карте территорий, подверженных риску возникновения чрезвычайных ситуаций природного и техногенного характера.</w:t>
      </w:r>
    </w:p>
    <w:p>
      <w:pPr>
        <w:pStyle w:val="Normal"/>
        <w:spacing w:lineRule="auto" w:line="276"/>
        <w:ind w:firstLine="709"/>
        <w:rPr>
          <w:rFonts w:eastAsia="Times New Roman"/>
          <w:b/>
          <w:b/>
          <w:szCs w:val="24"/>
        </w:rPr>
      </w:pPr>
      <w:r>
        <w:rPr/>
        <w:t>Согласно ГОСТ Р 22.0.02-94 «Безопасность в чрезвычайных ситуациях. Термины и определения основных понятий», чрезвычайная ситуация (ЧС) — это обстановка на определенной территории или акватории,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нарушение условий жизнедеятельности людей.</w:t>
      </w:r>
    </w:p>
    <w:p>
      <w:pPr>
        <w:pStyle w:val="Normal"/>
        <w:spacing w:lineRule="auto" w:line="276"/>
        <w:ind w:firstLine="709"/>
        <w:rPr>
          <w:rFonts w:eastAsia="Times New Roman"/>
          <w:b/>
          <w:b/>
          <w:szCs w:val="24"/>
        </w:rPr>
      </w:pPr>
      <w:r>
        <w:rPr/>
        <w:t xml:space="preserve">Различают чрезвычайные ситуации по характеру источника (природные, техногенные, биолого-социальные и военные). </w:t>
      </w:r>
    </w:p>
    <w:p>
      <w:pPr>
        <w:pStyle w:val="Normal"/>
        <w:suppressAutoHyphens w:val="true"/>
        <w:spacing w:lineRule="auto" w:line="276" w:before="0" w:after="200"/>
        <w:ind w:firstLine="709"/>
        <w:contextualSpacing/>
        <w:rPr>
          <w:szCs w:val="24"/>
        </w:rPr>
      </w:pPr>
      <w:r>
        <w:rPr>
          <w:szCs w:val="24"/>
        </w:rPr>
        <w:t>Постановлением Правительства от 21.05.2007 № 304 «О классификации чрезвычайных ситуаций природного и техногенного характера» установлена классификация чрезвычайных ситуаций природного и техногенного характера (таблица 5.1).</w:t>
      </w:r>
    </w:p>
    <w:p>
      <w:pPr>
        <w:pStyle w:val="Normal"/>
        <w:suppressAutoHyphens w:val="true"/>
        <w:spacing w:lineRule="auto" w:line="276" w:before="0" w:after="200"/>
        <w:ind w:firstLine="709"/>
        <w:contextualSpacing/>
        <w:jc w:val="right"/>
        <w:rPr>
          <w:szCs w:val="24"/>
        </w:rPr>
      </w:pPr>
      <w:r>
        <w:rPr>
          <w:szCs w:val="24"/>
        </w:rPr>
        <w:t>Таблица 5.1</w:t>
      </w:r>
    </w:p>
    <w:p>
      <w:pPr>
        <w:pStyle w:val="Normal"/>
        <w:suppressAutoHyphens w:val="true"/>
        <w:spacing w:lineRule="auto" w:line="276" w:before="0" w:after="200"/>
        <w:contextualSpacing/>
        <w:jc w:val="center"/>
        <w:rPr>
          <w:szCs w:val="24"/>
        </w:rPr>
      </w:pPr>
      <w:r>
        <w:rPr>
          <w:szCs w:val="24"/>
        </w:rPr>
        <w:t>Классификация чрезвычайных ситуаций природного и техногенного характера</w:t>
      </w:r>
    </w:p>
    <w:tbl>
      <w:tblPr>
        <w:tblW w:w="5000" w:type="pct"/>
        <w:jc w:val="center"/>
        <w:tblInd w:w="0" w:type="dxa"/>
        <w:tblCellMar>
          <w:top w:w="0" w:type="dxa"/>
          <w:left w:w="108" w:type="dxa"/>
          <w:bottom w:w="0" w:type="dxa"/>
          <w:right w:w="108" w:type="dxa"/>
        </w:tblCellMar>
        <w:tblLook w:firstRow="1" w:noVBand="0" w:lastRow="1" w:firstColumn="1" w:lastColumn="1" w:noHBand="0" w:val="01e0"/>
      </w:tblPr>
      <w:tblGrid>
        <w:gridCol w:w="548"/>
        <w:gridCol w:w="2037"/>
        <w:gridCol w:w="2091"/>
        <w:gridCol w:w="1988"/>
        <w:gridCol w:w="3257"/>
      </w:tblGrid>
      <w:tr>
        <w:trPr/>
        <w:tc>
          <w:tcPr>
            <w:tcW w:w="548"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sz w:val="20"/>
                <w:szCs w:val="20"/>
              </w:rPr>
              <w:t>№</w:t>
            </w:r>
          </w:p>
        </w:tc>
        <w:tc>
          <w:tcPr>
            <w:tcW w:w="2037"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sz w:val="20"/>
                <w:szCs w:val="20"/>
              </w:rPr>
              <w:t>Масштаб чрезвычайной ситуации</w:t>
            </w:r>
          </w:p>
        </w:tc>
        <w:tc>
          <w:tcPr>
            <w:tcW w:w="2091"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sz w:val="20"/>
                <w:szCs w:val="20"/>
              </w:rPr>
              <w:t>Количество пострадавших (погибших или получивших ущерб здоровью), чел.</w:t>
            </w:r>
          </w:p>
        </w:tc>
        <w:tc>
          <w:tcPr>
            <w:tcW w:w="1988"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sz w:val="20"/>
                <w:szCs w:val="20"/>
              </w:rPr>
              <w:t>Размер материального ущерба</w:t>
            </w:r>
          </w:p>
        </w:tc>
        <w:tc>
          <w:tcPr>
            <w:tcW w:w="3257"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sz w:val="20"/>
                <w:szCs w:val="20"/>
              </w:rPr>
              <w:t>Граница зон распространения поражающих факторов чрезвычайной ситуации</w:t>
            </w:r>
          </w:p>
        </w:tc>
      </w:tr>
    </w:tbl>
    <w:p>
      <w:pPr>
        <w:pStyle w:val="Normal"/>
        <w:spacing w:lineRule="auto" w:line="12"/>
        <w:rPr>
          <w:rFonts w:eastAsia="Times New Roman"/>
          <w:b/>
          <w:b/>
          <w:szCs w:val="24"/>
        </w:rPr>
      </w:pPr>
      <w:r>
        <w:rPr/>
      </w:r>
    </w:p>
    <w:tbl>
      <w:tblPr>
        <w:tblW w:w="5000" w:type="pct"/>
        <w:jc w:val="left"/>
        <w:tblInd w:w="-108" w:type="dxa"/>
        <w:tblCellMar>
          <w:top w:w="0" w:type="dxa"/>
          <w:left w:w="108" w:type="dxa"/>
          <w:bottom w:w="0" w:type="dxa"/>
          <w:right w:w="108" w:type="dxa"/>
        </w:tblCellMar>
        <w:tblLook w:firstRow="1" w:noVBand="0" w:lastRow="1" w:firstColumn="1" w:lastColumn="1" w:noHBand="0" w:val="01e0"/>
      </w:tblPr>
      <w:tblGrid>
        <w:gridCol w:w="548"/>
        <w:gridCol w:w="2037"/>
        <w:gridCol w:w="2091"/>
        <w:gridCol w:w="1988"/>
        <w:gridCol w:w="3257"/>
      </w:tblGrid>
      <w:tr>
        <w:trPr>
          <w:trHeight w:val="20" w:hRule="atLeast"/>
        </w:trPr>
        <w:tc>
          <w:tcPr>
            <w:tcW w:w="54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1</w:t>
            </w:r>
          </w:p>
        </w:tc>
        <w:tc>
          <w:tcPr>
            <w:tcW w:w="203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2</w:t>
            </w:r>
          </w:p>
        </w:tc>
        <w:tc>
          <w:tcPr>
            <w:tcW w:w="2091" w:type="dxa"/>
            <w:tcBorders>
              <w:top w:val="single" w:sz="4" w:space="0" w:color="000000"/>
              <w:left w:val="single" w:sz="4" w:space="0" w:color="000000"/>
              <w:bottom w:val="single" w:sz="4" w:space="0" w:color="000000"/>
              <w:right w:val="single" w:sz="4" w:space="0" w:color="000000"/>
            </w:tcBorders>
          </w:tcPr>
          <w:p>
            <w:pPr>
              <w:pStyle w:val="Normal"/>
              <w:suppressAutoHyphens w:val="true"/>
              <w:spacing w:lineRule="auto" w:line="240"/>
              <w:jc w:val="center"/>
              <w:rPr>
                <w:b/>
                <w:b/>
                <w:sz w:val="20"/>
                <w:szCs w:val="20"/>
              </w:rPr>
            </w:pPr>
            <w:r>
              <w:rPr>
                <w:b/>
                <w:sz w:val="20"/>
                <w:szCs w:val="20"/>
              </w:rPr>
              <w:t>3</w:t>
            </w:r>
          </w:p>
        </w:tc>
        <w:tc>
          <w:tcPr>
            <w:tcW w:w="1988" w:type="dxa"/>
            <w:tcBorders>
              <w:top w:val="single" w:sz="4" w:space="0" w:color="000000"/>
              <w:left w:val="single" w:sz="4" w:space="0" w:color="000000"/>
              <w:bottom w:val="single" w:sz="4" w:space="0" w:color="000000"/>
              <w:right w:val="single" w:sz="4" w:space="0" w:color="000000"/>
            </w:tcBorders>
          </w:tcPr>
          <w:p>
            <w:pPr>
              <w:pStyle w:val="Normal"/>
              <w:suppressAutoHyphens w:val="true"/>
              <w:spacing w:lineRule="auto" w:line="240"/>
              <w:jc w:val="center"/>
              <w:rPr>
                <w:b/>
                <w:b/>
                <w:sz w:val="20"/>
                <w:szCs w:val="20"/>
              </w:rPr>
            </w:pPr>
            <w:r>
              <w:rPr>
                <w:b/>
                <w:sz w:val="20"/>
                <w:szCs w:val="20"/>
              </w:rPr>
              <w:t>4</w:t>
            </w:r>
          </w:p>
        </w:tc>
        <w:tc>
          <w:tcPr>
            <w:tcW w:w="325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rPr>
            </w:pPr>
            <w:r>
              <w:rPr>
                <w:b/>
                <w:sz w:val="20"/>
                <w:szCs w:val="20"/>
              </w:rPr>
              <w:t>5</w:t>
            </w:r>
          </w:p>
        </w:tc>
      </w:tr>
      <w:tr>
        <w:trPr>
          <w:trHeight w:val="20" w:hRule="atLeast"/>
        </w:trPr>
        <w:tc>
          <w:tcPr>
            <w:tcW w:w="54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1</w:t>
            </w:r>
          </w:p>
        </w:tc>
        <w:tc>
          <w:tcPr>
            <w:tcW w:w="203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Локальная</w:t>
            </w:r>
          </w:p>
        </w:tc>
        <w:tc>
          <w:tcPr>
            <w:tcW w:w="2091" w:type="dxa"/>
            <w:tcBorders>
              <w:top w:val="single" w:sz="4" w:space="0" w:color="000000"/>
              <w:left w:val="single" w:sz="4" w:space="0" w:color="000000"/>
              <w:bottom w:val="single" w:sz="4" w:space="0" w:color="000000"/>
              <w:right w:val="single" w:sz="4" w:space="0" w:color="000000"/>
            </w:tcBorders>
          </w:tcPr>
          <w:p>
            <w:pPr>
              <w:pStyle w:val="Normal"/>
              <w:suppressAutoHyphens w:val="true"/>
              <w:spacing w:lineRule="auto" w:line="240"/>
              <w:jc w:val="left"/>
              <w:rPr>
                <w:sz w:val="20"/>
                <w:szCs w:val="20"/>
              </w:rPr>
            </w:pPr>
            <w:r>
              <w:rPr>
                <w:sz w:val="20"/>
                <w:szCs w:val="20"/>
              </w:rPr>
              <w:t>Не более 10</w:t>
            </w:r>
          </w:p>
        </w:tc>
        <w:tc>
          <w:tcPr>
            <w:tcW w:w="1988" w:type="dxa"/>
            <w:tcBorders>
              <w:top w:val="single" w:sz="4" w:space="0" w:color="000000"/>
              <w:left w:val="single" w:sz="4" w:space="0" w:color="000000"/>
              <w:bottom w:val="single" w:sz="4" w:space="0" w:color="000000"/>
              <w:right w:val="single" w:sz="4" w:space="0" w:color="000000"/>
            </w:tcBorders>
          </w:tcPr>
          <w:p>
            <w:pPr>
              <w:pStyle w:val="Normal"/>
              <w:suppressAutoHyphens w:val="true"/>
              <w:spacing w:lineRule="auto" w:line="240"/>
              <w:jc w:val="left"/>
              <w:rPr>
                <w:sz w:val="20"/>
                <w:szCs w:val="20"/>
              </w:rPr>
            </w:pPr>
            <w:r>
              <w:rPr>
                <w:sz w:val="20"/>
                <w:szCs w:val="20"/>
              </w:rPr>
              <w:t>Не более 100 000 рублей</w:t>
            </w:r>
          </w:p>
        </w:tc>
        <w:tc>
          <w:tcPr>
            <w:tcW w:w="325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Не выходят за пределы территории объекта</w:t>
            </w:r>
          </w:p>
        </w:tc>
      </w:tr>
      <w:tr>
        <w:trPr>
          <w:trHeight w:val="20" w:hRule="atLeast"/>
        </w:trPr>
        <w:tc>
          <w:tcPr>
            <w:tcW w:w="54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2</w:t>
            </w:r>
          </w:p>
        </w:tc>
        <w:tc>
          <w:tcPr>
            <w:tcW w:w="203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Муниципальная</w:t>
            </w:r>
          </w:p>
        </w:tc>
        <w:tc>
          <w:tcPr>
            <w:tcW w:w="2091" w:type="dxa"/>
            <w:tcBorders>
              <w:top w:val="single" w:sz="4" w:space="0" w:color="000000"/>
              <w:left w:val="single" w:sz="4" w:space="0" w:color="000000"/>
              <w:bottom w:val="single" w:sz="4" w:space="0" w:color="000000"/>
              <w:right w:val="single" w:sz="4" w:space="0" w:color="000000"/>
            </w:tcBorders>
          </w:tcPr>
          <w:p>
            <w:pPr>
              <w:pStyle w:val="Normal"/>
              <w:suppressAutoHyphens w:val="true"/>
              <w:spacing w:lineRule="auto" w:line="240"/>
              <w:jc w:val="left"/>
              <w:rPr>
                <w:sz w:val="20"/>
                <w:szCs w:val="20"/>
              </w:rPr>
            </w:pPr>
            <w:r>
              <w:rPr>
                <w:sz w:val="20"/>
                <w:szCs w:val="20"/>
              </w:rPr>
              <w:t>Свыше 10, но не более 50</w:t>
            </w:r>
          </w:p>
        </w:tc>
        <w:tc>
          <w:tcPr>
            <w:tcW w:w="1988" w:type="dxa"/>
            <w:tcBorders>
              <w:top w:val="single" w:sz="4" w:space="0" w:color="000000"/>
              <w:left w:val="single" w:sz="4" w:space="0" w:color="000000"/>
              <w:bottom w:val="single" w:sz="4" w:space="0" w:color="000000"/>
              <w:right w:val="single" w:sz="4" w:space="0" w:color="000000"/>
            </w:tcBorders>
          </w:tcPr>
          <w:p>
            <w:pPr>
              <w:pStyle w:val="Normal"/>
              <w:suppressAutoHyphens w:val="true"/>
              <w:spacing w:lineRule="auto" w:line="240"/>
              <w:jc w:val="left"/>
              <w:rPr>
                <w:sz w:val="20"/>
                <w:szCs w:val="20"/>
              </w:rPr>
            </w:pPr>
            <w:r>
              <w:rPr>
                <w:sz w:val="20"/>
                <w:szCs w:val="20"/>
              </w:rPr>
              <w:t>Свыше 100 000 рублей, но не более 5 000 000 рублей</w:t>
            </w:r>
          </w:p>
        </w:tc>
        <w:tc>
          <w:tcPr>
            <w:tcW w:w="325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Не выходят за пределы территории одного поселения или внутригородской территории города федерального значения</w:t>
            </w:r>
          </w:p>
        </w:tc>
      </w:tr>
      <w:tr>
        <w:trPr>
          <w:trHeight w:val="20" w:hRule="atLeast"/>
        </w:trPr>
        <w:tc>
          <w:tcPr>
            <w:tcW w:w="54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3</w:t>
            </w:r>
          </w:p>
        </w:tc>
        <w:tc>
          <w:tcPr>
            <w:tcW w:w="203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Межмуниципальная</w:t>
            </w:r>
          </w:p>
        </w:tc>
        <w:tc>
          <w:tcPr>
            <w:tcW w:w="2091" w:type="dxa"/>
            <w:tcBorders>
              <w:top w:val="single" w:sz="4" w:space="0" w:color="000000"/>
              <w:left w:val="single" w:sz="4" w:space="0" w:color="000000"/>
              <w:bottom w:val="single" w:sz="4" w:space="0" w:color="000000"/>
              <w:right w:val="single" w:sz="4" w:space="0" w:color="000000"/>
            </w:tcBorders>
          </w:tcPr>
          <w:p>
            <w:pPr>
              <w:pStyle w:val="Normal"/>
              <w:suppressAutoHyphens w:val="true"/>
              <w:spacing w:lineRule="auto" w:line="240"/>
              <w:jc w:val="left"/>
              <w:rPr>
                <w:sz w:val="20"/>
                <w:szCs w:val="20"/>
              </w:rPr>
            </w:pPr>
            <w:r>
              <w:rPr>
                <w:sz w:val="20"/>
                <w:szCs w:val="20"/>
              </w:rPr>
              <w:t>Свыше 10, но не более 50</w:t>
            </w:r>
          </w:p>
        </w:tc>
        <w:tc>
          <w:tcPr>
            <w:tcW w:w="1988" w:type="dxa"/>
            <w:tcBorders>
              <w:top w:val="single" w:sz="4" w:space="0" w:color="000000"/>
              <w:left w:val="single" w:sz="4" w:space="0" w:color="000000"/>
              <w:bottom w:val="single" w:sz="4" w:space="0" w:color="000000"/>
              <w:right w:val="single" w:sz="4" w:space="0" w:color="000000"/>
            </w:tcBorders>
          </w:tcPr>
          <w:p>
            <w:pPr>
              <w:pStyle w:val="Normal"/>
              <w:suppressAutoHyphens w:val="true"/>
              <w:spacing w:lineRule="auto" w:line="240"/>
              <w:jc w:val="left"/>
              <w:rPr>
                <w:sz w:val="20"/>
                <w:szCs w:val="20"/>
              </w:rPr>
            </w:pPr>
            <w:r>
              <w:rPr>
                <w:sz w:val="20"/>
                <w:szCs w:val="20"/>
              </w:rPr>
              <w:t>Свыше 100 000 рублей, но не более 5 000 000 рублей</w:t>
            </w:r>
          </w:p>
        </w:tc>
        <w:tc>
          <w:tcPr>
            <w:tcW w:w="325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Затрагивает территорию двух и более поселений, внутригородских территорий города федерального значения или межселенную территорию</w:t>
            </w:r>
          </w:p>
        </w:tc>
      </w:tr>
      <w:tr>
        <w:trPr>
          <w:trHeight w:val="20" w:hRule="atLeast"/>
        </w:trPr>
        <w:tc>
          <w:tcPr>
            <w:tcW w:w="54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4</w:t>
            </w:r>
          </w:p>
        </w:tc>
        <w:tc>
          <w:tcPr>
            <w:tcW w:w="203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Региональная</w:t>
            </w:r>
          </w:p>
        </w:tc>
        <w:tc>
          <w:tcPr>
            <w:tcW w:w="2091" w:type="dxa"/>
            <w:tcBorders>
              <w:top w:val="single" w:sz="4" w:space="0" w:color="000000"/>
              <w:left w:val="single" w:sz="4" w:space="0" w:color="000000"/>
              <w:bottom w:val="single" w:sz="4" w:space="0" w:color="000000"/>
              <w:right w:val="single" w:sz="4" w:space="0" w:color="000000"/>
            </w:tcBorders>
          </w:tcPr>
          <w:p>
            <w:pPr>
              <w:pStyle w:val="Normal"/>
              <w:suppressAutoHyphens w:val="true"/>
              <w:spacing w:lineRule="auto" w:line="240"/>
              <w:jc w:val="left"/>
              <w:rPr>
                <w:sz w:val="20"/>
                <w:szCs w:val="20"/>
              </w:rPr>
            </w:pPr>
            <w:r>
              <w:rPr>
                <w:sz w:val="20"/>
                <w:szCs w:val="20"/>
              </w:rPr>
              <w:t>Свыше 50, но не более 500</w:t>
            </w:r>
          </w:p>
        </w:tc>
        <w:tc>
          <w:tcPr>
            <w:tcW w:w="1988" w:type="dxa"/>
            <w:tcBorders>
              <w:top w:val="single" w:sz="4" w:space="0" w:color="000000"/>
              <w:left w:val="single" w:sz="4" w:space="0" w:color="000000"/>
              <w:bottom w:val="single" w:sz="4" w:space="0" w:color="000000"/>
              <w:right w:val="single" w:sz="4" w:space="0" w:color="000000"/>
            </w:tcBorders>
          </w:tcPr>
          <w:p>
            <w:pPr>
              <w:pStyle w:val="Normal"/>
              <w:suppressAutoHyphens w:val="true"/>
              <w:spacing w:lineRule="auto" w:line="240"/>
              <w:jc w:val="left"/>
              <w:rPr>
                <w:sz w:val="20"/>
                <w:szCs w:val="20"/>
              </w:rPr>
            </w:pPr>
            <w:r>
              <w:rPr>
                <w:sz w:val="20"/>
                <w:szCs w:val="20"/>
              </w:rPr>
              <w:t>Свыше 5 000 000 рублей, но не более 500 000 000 рублей</w:t>
            </w:r>
          </w:p>
        </w:tc>
        <w:tc>
          <w:tcPr>
            <w:tcW w:w="325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Не выходит за пределы территории одного субъекта Российской Федерации</w:t>
            </w:r>
          </w:p>
        </w:tc>
      </w:tr>
      <w:tr>
        <w:trPr>
          <w:trHeight w:val="20" w:hRule="atLeast"/>
        </w:trPr>
        <w:tc>
          <w:tcPr>
            <w:tcW w:w="54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5</w:t>
            </w:r>
          </w:p>
        </w:tc>
        <w:tc>
          <w:tcPr>
            <w:tcW w:w="203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Межрегиональная</w:t>
            </w:r>
          </w:p>
        </w:tc>
        <w:tc>
          <w:tcPr>
            <w:tcW w:w="2091" w:type="dxa"/>
            <w:tcBorders>
              <w:top w:val="single" w:sz="4" w:space="0" w:color="000000"/>
              <w:left w:val="single" w:sz="4" w:space="0" w:color="000000"/>
              <w:bottom w:val="single" w:sz="4" w:space="0" w:color="000000"/>
              <w:right w:val="single" w:sz="4" w:space="0" w:color="000000"/>
            </w:tcBorders>
          </w:tcPr>
          <w:p>
            <w:pPr>
              <w:pStyle w:val="Normal"/>
              <w:suppressAutoHyphens w:val="true"/>
              <w:spacing w:lineRule="auto" w:line="240"/>
              <w:jc w:val="left"/>
              <w:rPr>
                <w:sz w:val="20"/>
                <w:szCs w:val="20"/>
              </w:rPr>
            </w:pPr>
            <w:r>
              <w:rPr>
                <w:sz w:val="20"/>
                <w:szCs w:val="20"/>
              </w:rPr>
              <w:t>Свыше 50, но не более 500</w:t>
            </w:r>
          </w:p>
        </w:tc>
        <w:tc>
          <w:tcPr>
            <w:tcW w:w="1988" w:type="dxa"/>
            <w:tcBorders>
              <w:top w:val="single" w:sz="4" w:space="0" w:color="000000"/>
              <w:left w:val="single" w:sz="4" w:space="0" w:color="000000"/>
              <w:bottom w:val="single" w:sz="4" w:space="0" w:color="000000"/>
              <w:right w:val="single" w:sz="4" w:space="0" w:color="000000"/>
            </w:tcBorders>
          </w:tcPr>
          <w:p>
            <w:pPr>
              <w:pStyle w:val="Normal"/>
              <w:suppressAutoHyphens w:val="true"/>
              <w:spacing w:lineRule="auto" w:line="240"/>
              <w:jc w:val="left"/>
              <w:rPr>
                <w:sz w:val="20"/>
                <w:szCs w:val="20"/>
              </w:rPr>
            </w:pPr>
            <w:r>
              <w:rPr>
                <w:sz w:val="20"/>
                <w:szCs w:val="20"/>
              </w:rPr>
              <w:t>Свыше 5 000 000 рублей, но не более 500 000 000 рублей</w:t>
            </w:r>
          </w:p>
        </w:tc>
        <w:tc>
          <w:tcPr>
            <w:tcW w:w="325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Затрагивает территорию двух и более субъектов Российской Федерации</w:t>
            </w:r>
          </w:p>
        </w:tc>
      </w:tr>
      <w:tr>
        <w:trPr>
          <w:trHeight w:val="20" w:hRule="atLeast"/>
        </w:trPr>
        <w:tc>
          <w:tcPr>
            <w:tcW w:w="548"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sz w:val="20"/>
                <w:szCs w:val="20"/>
              </w:rPr>
            </w:pPr>
            <w:r>
              <w:rPr>
                <w:sz w:val="20"/>
                <w:szCs w:val="20"/>
              </w:rPr>
              <w:t>6</w:t>
            </w:r>
          </w:p>
        </w:tc>
        <w:tc>
          <w:tcPr>
            <w:tcW w:w="2037"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Федеральная</w:t>
            </w:r>
          </w:p>
        </w:tc>
        <w:tc>
          <w:tcPr>
            <w:tcW w:w="2091" w:type="dxa"/>
            <w:tcBorders>
              <w:top w:val="single" w:sz="4" w:space="0" w:color="000000"/>
              <w:left w:val="single" w:sz="4" w:space="0" w:color="000000"/>
              <w:bottom w:val="single" w:sz="4" w:space="0" w:color="000000"/>
              <w:right w:val="single" w:sz="4" w:space="0" w:color="000000"/>
            </w:tcBorders>
          </w:tcPr>
          <w:p>
            <w:pPr>
              <w:pStyle w:val="Normal"/>
              <w:suppressAutoHyphens w:val="true"/>
              <w:spacing w:lineRule="auto" w:line="240"/>
              <w:jc w:val="left"/>
              <w:rPr>
                <w:sz w:val="20"/>
                <w:szCs w:val="20"/>
              </w:rPr>
            </w:pPr>
            <w:r>
              <w:rPr>
                <w:sz w:val="20"/>
                <w:szCs w:val="20"/>
              </w:rPr>
              <w:t>Свыше 500</w:t>
            </w:r>
          </w:p>
        </w:tc>
        <w:tc>
          <w:tcPr>
            <w:tcW w:w="1988" w:type="dxa"/>
            <w:tcBorders>
              <w:top w:val="single" w:sz="4" w:space="0" w:color="000000"/>
              <w:left w:val="single" w:sz="4" w:space="0" w:color="000000"/>
              <w:bottom w:val="single" w:sz="4" w:space="0" w:color="000000"/>
              <w:right w:val="single" w:sz="4" w:space="0" w:color="000000"/>
            </w:tcBorders>
          </w:tcPr>
          <w:p>
            <w:pPr>
              <w:pStyle w:val="Normal"/>
              <w:suppressAutoHyphens w:val="true"/>
              <w:spacing w:lineRule="auto" w:line="240"/>
              <w:jc w:val="left"/>
              <w:rPr>
                <w:sz w:val="20"/>
                <w:szCs w:val="20"/>
              </w:rPr>
            </w:pPr>
            <w:r>
              <w:rPr>
                <w:sz w:val="20"/>
                <w:szCs w:val="20"/>
              </w:rPr>
              <w:t>Свыше 500 000 000 рублей</w:t>
            </w:r>
          </w:p>
        </w:tc>
        <w:tc>
          <w:tcPr>
            <w:tcW w:w="325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w:t>
            </w:r>
          </w:p>
        </w:tc>
      </w:tr>
    </w:tbl>
    <w:p>
      <w:pPr>
        <w:pStyle w:val="Normal"/>
        <w:spacing w:lineRule="auto" w:line="276" w:before="120" w:after="200"/>
        <w:ind w:firstLine="709"/>
        <w:rPr>
          <w:rFonts w:eastAsia="Times New Roman"/>
          <w:b/>
          <w:b/>
          <w:szCs w:val="24"/>
        </w:rPr>
      </w:pPr>
      <w:r>
        <w:rPr/>
        <w:t>Источниками чрезвычайных ситуаций являются: опасное природное явление, авария или опасное техногенное происшествие, широко распространенная инфекционная болезнь людей, сельскохозяйственных животных и растений, а также применение современных средств поражения, в результате чего произошла или может возникнуть чрезвычайная ситуация.</w:t>
      </w:r>
    </w:p>
    <w:p>
      <w:pPr>
        <w:pStyle w:val="Normal"/>
        <w:spacing w:lineRule="auto" w:line="276"/>
        <w:ind w:firstLine="709"/>
        <w:rPr>
          <w:rFonts w:eastAsia="Times New Roman"/>
          <w:b/>
          <w:b/>
          <w:szCs w:val="24"/>
        </w:rPr>
      </w:pPr>
      <w:r>
        <w:rPr/>
        <w:t>В соответствии с Федеральным законом от 21.12.1994 № 68-ФЗ «О защите населения и территорий от чрезвычайных ситуаций природного и техногенного характера» мероприятия, направленные на предупреждение чрезвычайных ситуаций, а также на максимально возможное снижение размеров ущерба и потерь в случае их возникновения, проводятся заблаговременно. Планирование и осуществление мероприятий по защите населения и территорий от чрезвычайных ситуаций проводятся с учетом экономических, природных и иных характеристик, особенностей территорий и степени реальной опасности возникновения чрезвычайных ситуаций.</w:t>
      </w:r>
    </w:p>
    <w:p>
      <w:pPr>
        <w:pStyle w:val="Normal"/>
        <w:spacing w:lineRule="auto" w:line="276"/>
        <w:ind w:firstLine="709"/>
        <w:rPr>
          <w:rFonts w:eastAsia="Times New Roman"/>
          <w:b/>
          <w:b/>
          <w:szCs w:val="24"/>
        </w:rPr>
      </w:pPr>
      <w:r>
        <w:rPr/>
        <w:t>Данный раздел разработан в соответствии с Паспортом Безопасности территории Катенинского сельского поселения.</w:t>
      </w:r>
    </w:p>
    <w:p>
      <w:pPr>
        <w:pStyle w:val="Normal"/>
        <w:keepNext w:val="true"/>
        <w:numPr>
          <w:ilvl w:val="0"/>
          <w:numId w:val="0"/>
        </w:numPr>
        <w:tabs>
          <w:tab w:val="clear" w:pos="708"/>
          <w:tab w:val="left" w:pos="709" w:leader="none"/>
        </w:tabs>
        <w:spacing w:lineRule="auto" w:line="276" w:before="120" w:after="200"/>
        <w:ind w:firstLine="709"/>
        <w:outlineLvl w:val="2"/>
        <w:rPr>
          <w:rFonts w:eastAsia="Times New Roman"/>
          <w:b/>
          <w:b/>
          <w:bCs/>
          <w:iCs/>
          <w:szCs w:val="24"/>
          <w:lang w:eastAsia="ru-RU"/>
        </w:rPr>
      </w:pPr>
      <w:bookmarkStart w:id="318" w:name="_Toc461448742"/>
      <w:bookmarkStart w:id="319" w:name="_Toc286845513"/>
      <w:bookmarkStart w:id="320" w:name="_Toc182210523"/>
      <w:bookmarkStart w:id="321" w:name="_Toc80964134"/>
      <w:bookmarkStart w:id="322" w:name="_Toc524627394"/>
      <w:bookmarkStart w:id="323" w:name="_Toc500672119"/>
      <w:bookmarkStart w:id="324" w:name="_Toc404855097"/>
      <w:bookmarkEnd w:id="318"/>
      <w:bookmarkEnd w:id="319"/>
      <w:r>
        <w:rPr>
          <w:rFonts w:eastAsia="Times New Roman"/>
          <w:b/>
          <w:bCs/>
          <w:iCs/>
          <w:szCs w:val="24"/>
          <w:lang w:eastAsia="ru-RU"/>
        </w:rPr>
        <w:t xml:space="preserve">5.1 </w:t>
      </w:r>
      <w:r>
        <w:rPr>
          <w:rFonts w:eastAsia="Times New Roman"/>
          <w:b/>
        </w:rPr>
        <w:t>Перечень</w:t>
      </w:r>
      <w:r>
        <w:rPr>
          <w:rFonts w:eastAsia="Times New Roman"/>
          <w:b/>
          <w:bCs/>
          <w:iCs/>
          <w:szCs w:val="24"/>
          <w:lang w:eastAsia="ru-RU"/>
        </w:rPr>
        <w:t xml:space="preserve"> возможных источников чрезвычайных ситуаций природного характера</w:t>
      </w:r>
      <w:bookmarkEnd w:id="320"/>
      <w:bookmarkEnd w:id="321"/>
      <w:bookmarkEnd w:id="322"/>
      <w:bookmarkEnd w:id="323"/>
      <w:bookmarkEnd w:id="324"/>
    </w:p>
    <w:p>
      <w:pPr>
        <w:pStyle w:val="Normal"/>
        <w:spacing w:lineRule="auto" w:line="276"/>
        <w:ind w:firstLine="709"/>
        <w:rPr>
          <w:rFonts w:eastAsia="Times New Roman"/>
          <w:b/>
          <w:b/>
          <w:szCs w:val="24"/>
        </w:rPr>
      </w:pPr>
      <w:r>
        <w:rPr/>
        <w:t>ЧС природного характера — обстановка на определенной территории или акватории, сложившаяся в результате возникновения источника природной чрезвычайной ситуации, который может повлечь или повлек за собой человеческие жертвы, ущерб здоровью и окружающей природной среде, значительные материальные потери и нарушение условий жизнедеятельности людей.</w:t>
      </w:r>
    </w:p>
    <w:p>
      <w:pPr>
        <w:pStyle w:val="Normal"/>
        <w:spacing w:lineRule="auto" w:line="276"/>
        <w:ind w:firstLine="709"/>
        <w:rPr>
          <w:rFonts w:eastAsia="Times New Roman"/>
          <w:b/>
          <w:b/>
          <w:szCs w:val="24"/>
        </w:rPr>
      </w:pPr>
      <w:r>
        <w:rPr/>
        <w:t xml:space="preserve">Классификация основных факторов природных ЧС, их зоны влияния и степень риска различных опасных природных явлений, последствия от которых могут привести к возникновению ЧС и осложнению хозяйственной деятельности поселения, установлен </w:t>
        <w:br/>
        <w:t>ГОСТ Р 22.0.06-95 «Источники природных чрезвычайных ситуаций. Поражающие факторы. Номенклатура параметров поражающих воздействий», принятым и введенным в действие постановлением Госстандарта России от 20.06.1995 № 308.</w:t>
      </w:r>
      <w:bookmarkStart w:id="325" w:name="_Ref364686977"/>
      <w:bookmarkStart w:id="326" w:name="_Ref318476565"/>
      <w:bookmarkEnd w:id="325"/>
      <w:bookmarkEnd w:id="326"/>
    </w:p>
    <w:p>
      <w:pPr>
        <w:pStyle w:val="Normal"/>
        <w:spacing w:lineRule="auto" w:line="276"/>
        <w:ind w:firstLine="709"/>
        <w:rPr>
          <w:szCs w:val="24"/>
        </w:rPr>
      </w:pPr>
      <w:r>
        <w:rPr>
          <w:szCs w:val="24"/>
        </w:rPr>
        <w:t>На территории Катенинского сельского поселения наблюдается несколько видов опасностей природного характера. К ним относятся:</w:t>
      </w:r>
    </w:p>
    <w:p>
      <w:pPr>
        <w:pStyle w:val="Normal"/>
        <w:numPr>
          <w:ilvl w:val="0"/>
          <w:numId w:val="37"/>
        </w:numPr>
        <w:spacing w:lineRule="auto" w:line="276"/>
        <w:ind w:left="0" w:firstLine="426"/>
        <w:rPr>
          <w:szCs w:val="24"/>
        </w:rPr>
      </w:pPr>
      <w:r>
        <w:rPr>
          <w:szCs w:val="24"/>
        </w:rPr>
        <w:t>Опасные метеорологические явления и процессы;</w:t>
      </w:r>
    </w:p>
    <w:p>
      <w:pPr>
        <w:pStyle w:val="Normal"/>
        <w:numPr>
          <w:ilvl w:val="0"/>
          <w:numId w:val="37"/>
        </w:numPr>
        <w:spacing w:lineRule="auto" w:line="276" w:before="0" w:after="200"/>
        <w:ind w:left="0" w:firstLine="426"/>
        <w:contextualSpacing/>
        <w:rPr>
          <w:szCs w:val="24"/>
          <w:lang w:eastAsia="ru-RU"/>
        </w:rPr>
      </w:pPr>
      <w:r>
        <w:rPr>
          <w:szCs w:val="24"/>
          <w:lang w:eastAsia="ru-RU"/>
        </w:rPr>
        <w:t>Опасные гидрологические явления и процессы;</w:t>
      </w:r>
    </w:p>
    <w:p>
      <w:pPr>
        <w:pStyle w:val="Normal"/>
        <w:numPr>
          <w:ilvl w:val="0"/>
          <w:numId w:val="37"/>
        </w:numPr>
        <w:spacing w:lineRule="auto" w:line="276" w:before="0" w:after="200"/>
        <w:ind w:left="0" w:firstLine="426"/>
        <w:contextualSpacing/>
        <w:rPr>
          <w:szCs w:val="24"/>
          <w:lang w:eastAsia="ru-RU"/>
        </w:rPr>
      </w:pPr>
      <w:r>
        <w:rPr>
          <w:szCs w:val="24"/>
          <w:lang w:eastAsia="ru-RU"/>
        </w:rPr>
        <w:t>Природные пожары.</w:t>
      </w:r>
    </w:p>
    <w:p>
      <w:pPr>
        <w:pStyle w:val="Normal"/>
        <w:spacing w:lineRule="auto" w:line="276"/>
        <w:ind w:firstLine="709"/>
        <w:rPr>
          <w:b/>
          <w:b/>
          <w:szCs w:val="24"/>
        </w:rPr>
      </w:pPr>
      <w:r>
        <w:rPr>
          <w:b/>
          <w:szCs w:val="24"/>
        </w:rPr>
        <w:t>Опасные метеорологические явления и процессы</w:t>
      </w:r>
    </w:p>
    <w:p>
      <w:pPr>
        <w:pStyle w:val="Normal"/>
        <w:spacing w:lineRule="auto" w:line="276"/>
        <w:ind w:firstLine="709"/>
        <w:rPr>
          <w:szCs w:val="24"/>
        </w:rPr>
      </w:pPr>
      <w:r>
        <w:rPr>
          <w:szCs w:val="24"/>
        </w:rPr>
        <w:t>В целом для Варненского муниципального района характерны следующие неблагоприятные для человека свойства климата:</w:t>
      </w:r>
    </w:p>
    <w:p>
      <w:pPr>
        <w:pStyle w:val="Normal"/>
        <w:numPr>
          <w:ilvl w:val="0"/>
          <w:numId w:val="38"/>
        </w:numPr>
        <w:spacing w:lineRule="auto" w:line="276"/>
        <w:ind w:left="720" w:hanging="294"/>
        <w:rPr>
          <w:szCs w:val="24"/>
        </w:rPr>
      </w:pPr>
      <w:r>
        <w:rPr>
          <w:szCs w:val="24"/>
        </w:rPr>
        <w:t>значительные годовые перепады температур;</w:t>
      </w:r>
    </w:p>
    <w:p>
      <w:pPr>
        <w:pStyle w:val="Normal"/>
        <w:numPr>
          <w:ilvl w:val="0"/>
          <w:numId w:val="38"/>
        </w:numPr>
        <w:spacing w:lineRule="auto" w:line="276"/>
        <w:ind w:left="720" w:hanging="294"/>
        <w:rPr>
          <w:szCs w:val="24"/>
        </w:rPr>
      </w:pPr>
      <w:r>
        <w:rPr>
          <w:szCs w:val="24"/>
        </w:rPr>
        <w:t>холодная зима;</w:t>
      </w:r>
    </w:p>
    <w:p>
      <w:pPr>
        <w:pStyle w:val="Normal"/>
        <w:numPr>
          <w:ilvl w:val="0"/>
          <w:numId w:val="38"/>
        </w:numPr>
        <w:spacing w:lineRule="auto" w:line="276"/>
        <w:ind w:left="720" w:hanging="294"/>
        <w:rPr>
          <w:szCs w:val="24"/>
        </w:rPr>
      </w:pPr>
      <w:r>
        <w:rPr>
          <w:szCs w:val="24"/>
        </w:rPr>
        <w:t>сильная метель;</w:t>
      </w:r>
    </w:p>
    <w:p>
      <w:pPr>
        <w:pStyle w:val="Normal"/>
        <w:numPr>
          <w:ilvl w:val="0"/>
          <w:numId w:val="38"/>
        </w:numPr>
        <w:spacing w:lineRule="auto" w:line="276"/>
        <w:ind w:left="720" w:hanging="294"/>
        <w:rPr>
          <w:szCs w:val="24"/>
        </w:rPr>
      </w:pPr>
      <w:r>
        <w:rPr>
          <w:szCs w:val="24"/>
        </w:rPr>
        <w:t>сильный ветер, шквал, смерч.</w:t>
      </w:r>
    </w:p>
    <w:p>
      <w:pPr>
        <w:pStyle w:val="Normal"/>
        <w:spacing w:lineRule="auto" w:line="276"/>
        <w:ind w:firstLine="709"/>
        <w:rPr>
          <w:szCs w:val="24"/>
        </w:rPr>
      </w:pPr>
      <w:r>
        <w:rPr>
          <w:szCs w:val="24"/>
        </w:rPr>
        <w:t>В качестве наиболее опасных метеорологических явлений и процессов на территории Варненского муниципального района можно рассматривать:</w:t>
      </w:r>
    </w:p>
    <w:p>
      <w:pPr>
        <w:pStyle w:val="Normal"/>
        <w:widowControl w:val="false"/>
        <w:numPr>
          <w:ilvl w:val="0"/>
          <w:numId w:val="39"/>
        </w:numPr>
        <w:tabs>
          <w:tab w:val="clear" w:pos="708"/>
          <w:tab w:val="left" w:pos="426" w:leader="none"/>
        </w:tabs>
        <w:spacing w:lineRule="auto" w:line="276" w:before="0" w:after="200"/>
        <w:ind w:left="0" w:firstLine="426"/>
        <w:contextualSpacing/>
        <w:rPr>
          <w:rFonts w:eastAsia="Times New Roman"/>
          <w:szCs w:val="24"/>
        </w:rPr>
      </w:pPr>
      <w:r>
        <w:rPr>
          <w:rFonts w:eastAsia="Times New Roman"/>
          <w:szCs w:val="24"/>
        </w:rPr>
        <w:t>суровые холодные и продолжительные зимы с минимальной температурой -30° C;</w:t>
      </w:r>
    </w:p>
    <w:p>
      <w:pPr>
        <w:pStyle w:val="Normal"/>
        <w:widowControl w:val="false"/>
        <w:numPr>
          <w:ilvl w:val="0"/>
          <w:numId w:val="39"/>
        </w:numPr>
        <w:tabs>
          <w:tab w:val="clear" w:pos="708"/>
          <w:tab w:val="left" w:pos="426" w:leader="none"/>
        </w:tabs>
        <w:spacing w:lineRule="auto" w:line="276" w:before="0" w:after="200"/>
        <w:ind w:left="0" w:firstLine="426"/>
        <w:contextualSpacing/>
        <w:rPr>
          <w:rFonts w:eastAsia="Times New Roman"/>
          <w:szCs w:val="24"/>
        </w:rPr>
      </w:pPr>
      <w:r>
        <w:rPr>
          <w:rFonts w:eastAsia="Times New Roman"/>
          <w:szCs w:val="24"/>
        </w:rPr>
        <w:t>сильные похолодания до -40° С, которые могут привести к нарушению движения транспорта, серьезным затруднениям по обогреву мест проживания и работы населения. В этих условиях особо сложной (чрезвычайной) может оказаться обстановка при неисправности источников подачи тепла и магистралей теплоснабжения. Кроме того, в этот период возможно резкое увеличение случаев пожаров в жилых домах с печным отоплением;</w:t>
      </w:r>
    </w:p>
    <w:p>
      <w:pPr>
        <w:pStyle w:val="Normal"/>
        <w:widowControl w:val="false"/>
        <w:numPr>
          <w:ilvl w:val="0"/>
          <w:numId w:val="39"/>
        </w:numPr>
        <w:tabs>
          <w:tab w:val="clear" w:pos="708"/>
          <w:tab w:val="left" w:pos="426" w:leader="none"/>
        </w:tabs>
        <w:spacing w:lineRule="auto" w:line="276" w:before="0" w:after="200"/>
        <w:ind w:left="0" w:firstLine="426"/>
        <w:contextualSpacing/>
        <w:rPr>
          <w:rFonts w:eastAsia="Times New Roman"/>
          <w:szCs w:val="24"/>
        </w:rPr>
      </w:pPr>
      <w:r>
        <w:rPr>
          <w:rFonts w:eastAsia="Times New Roman"/>
          <w:szCs w:val="24"/>
        </w:rPr>
        <w:t xml:space="preserve">заморозки на почве в мае и сентябре, отмечающиеся на всей территории </w:t>
      </w:r>
      <w:r>
        <w:rPr>
          <w:szCs w:val="24"/>
        </w:rPr>
        <w:t xml:space="preserve">Варненского </w:t>
      </w:r>
      <w:r>
        <w:rPr>
          <w:rFonts w:eastAsia="Times New Roman"/>
          <w:szCs w:val="24"/>
        </w:rPr>
        <w:t>района. Вероятность лет с заморозками на поверхности почвы интенсивностью -3° С и ниже в мае составляет более 80 %. Ранние заморозки наблюдаются в начале сентября;</w:t>
      </w:r>
    </w:p>
    <w:p>
      <w:pPr>
        <w:pStyle w:val="Normal"/>
        <w:widowControl w:val="false"/>
        <w:numPr>
          <w:ilvl w:val="0"/>
          <w:numId w:val="39"/>
        </w:numPr>
        <w:tabs>
          <w:tab w:val="clear" w:pos="708"/>
          <w:tab w:val="left" w:pos="426" w:leader="none"/>
        </w:tabs>
        <w:spacing w:lineRule="auto" w:line="276" w:before="0" w:after="200"/>
        <w:ind w:left="0" w:firstLine="426"/>
        <w:contextualSpacing/>
        <w:rPr>
          <w:rFonts w:eastAsia="Times New Roman"/>
          <w:szCs w:val="24"/>
        </w:rPr>
      </w:pPr>
      <w:r>
        <w:rPr>
          <w:rFonts w:eastAsia="Times New Roman"/>
          <w:szCs w:val="24"/>
        </w:rPr>
        <w:t>сильные ветры и ливни (скорость ветра 25 м/сек и больше). Кратковременное шквалистое усиление ветра отмечается при грозах, продолжается не больше 5–10 минут. Несмотря на кратковременность, последствия от действия шквалов бывают весьма значительные, происходящие обычно в мае-июне и сентябре-октябре;</w:t>
      </w:r>
    </w:p>
    <w:p>
      <w:pPr>
        <w:pStyle w:val="Normal"/>
        <w:widowControl w:val="false"/>
        <w:numPr>
          <w:ilvl w:val="0"/>
          <w:numId w:val="39"/>
        </w:numPr>
        <w:tabs>
          <w:tab w:val="clear" w:pos="708"/>
          <w:tab w:val="left" w:pos="426" w:leader="none"/>
        </w:tabs>
        <w:spacing w:lineRule="auto" w:line="276" w:before="0" w:after="200"/>
        <w:ind w:left="0" w:firstLine="426"/>
        <w:contextualSpacing/>
        <w:rPr>
          <w:rFonts w:eastAsia="Times New Roman"/>
          <w:szCs w:val="24"/>
        </w:rPr>
      </w:pPr>
      <w:r>
        <w:rPr>
          <w:rFonts w:eastAsia="Times New Roman"/>
          <w:szCs w:val="24"/>
        </w:rPr>
        <w:t>сильная метель (метель с ветром в 15 м/сек и больше, при которой происходит ухудшение дальности видимости менее 500 м). Метели вероятны в течение всего холодного периода года и весной;</w:t>
      </w:r>
    </w:p>
    <w:p>
      <w:pPr>
        <w:pStyle w:val="Normal"/>
        <w:widowControl w:val="false"/>
        <w:numPr>
          <w:ilvl w:val="0"/>
          <w:numId w:val="39"/>
        </w:numPr>
        <w:tabs>
          <w:tab w:val="clear" w:pos="708"/>
          <w:tab w:val="left" w:pos="426" w:leader="none"/>
        </w:tabs>
        <w:spacing w:lineRule="auto" w:line="276" w:before="0" w:after="200"/>
        <w:ind w:left="0" w:firstLine="426"/>
        <w:contextualSpacing/>
        <w:rPr>
          <w:rFonts w:eastAsia="Times New Roman"/>
          <w:szCs w:val="24"/>
        </w:rPr>
      </w:pPr>
      <w:r>
        <w:rPr>
          <w:rFonts w:eastAsia="Times New Roman"/>
          <w:szCs w:val="24"/>
        </w:rPr>
        <w:t>сильный туман (дальность видимости менее 50 метров). Туманы характерны для осеннего периода, но сильные туманы могут отмечаться в ночные и утренние часы и зимой.</w:t>
      </w:r>
    </w:p>
    <w:p>
      <w:pPr>
        <w:pStyle w:val="Normal"/>
        <w:spacing w:lineRule="auto" w:line="276"/>
        <w:ind w:firstLine="709"/>
        <w:rPr>
          <w:b/>
          <w:b/>
          <w:szCs w:val="24"/>
        </w:rPr>
      </w:pPr>
      <w:r>
        <w:rPr>
          <w:b/>
          <w:szCs w:val="24"/>
        </w:rPr>
        <w:t>Природные пожары</w:t>
      </w:r>
    </w:p>
    <w:p>
      <w:pPr>
        <w:pStyle w:val="Normal"/>
        <w:spacing w:lineRule="auto" w:line="276"/>
        <w:ind w:firstLine="709"/>
        <w:rPr>
          <w:szCs w:val="24"/>
        </w:rPr>
      </w:pPr>
      <w:r>
        <w:rPr>
          <w:i/>
          <w:szCs w:val="24"/>
        </w:rPr>
        <w:t>Природный пожар</w:t>
      </w:r>
      <w:r>
        <w:rPr>
          <w:szCs w:val="24"/>
        </w:rPr>
        <w:t xml:space="preserve"> — неконтролируемый процесс горения, стихийно возникающий и распространяющийся в природной среде (ГОСТ Р 22.0.03-95</w:t>
      </w:r>
      <w:r>
        <w:rPr/>
        <w:t xml:space="preserve"> «</w:t>
      </w:r>
      <w:r>
        <w:rPr>
          <w:szCs w:val="24"/>
        </w:rPr>
        <w:t xml:space="preserve">Безопасность в чрезвычайных ситуациях. Природные чрезвычайные ситуации. Термины и определения»). </w:t>
      </w:r>
    </w:p>
    <w:p>
      <w:pPr>
        <w:pStyle w:val="Normal"/>
        <w:spacing w:lineRule="auto" w:line="276"/>
        <w:ind w:firstLine="709"/>
        <w:rPr>
          <w:szCs w:val="24"/>
        </w:rPr>
      </w:pPr>
      <w:r>
        <w:rPr>
          <w:szCs w:val="24"/>
        </w:rPr>
        <w:t xml:space="preserve">Под </w:t>
      </w:r>
      <w:r>
        <w:rPr>
          <w:i/>
          <w:szCs w:val="24"/>
        </w:rPr>
        <w:t>лесным пожаром</w:t>
      </w:r>
      <w:r>
        <w:rPr>
          <w:szCs w:val="24"/>
        </w:rPr>
        <w:t xml:space="preserve"> понимается пожар, распространяющийся по лесной площади (по ГОСТ 17.6.1.01-83</w:t>
      </w:r>
      <w:r>
        <w:rPr/>
        <w:t xml:space="preserve"> «</w:t>
      </w:r>
      <w:r>
        <w:rPr>
          <w:szCs w:val="24"/>
        </w:rPr>
        <w:t xml:space="preserve">Охрана природы (ССОП). Охрана и защита лесов. Термины и определения»). </w:t>
      </w:r>
    </w:p>
    <w:p>
      <w:pPr>
        <w:pStyle w:val="Normal"/>
        <w:spacing w:lineRule="auto" w:line="276"/>
        <w:ind w:firstLine="709"/>
        <w:rPr>
          <w:szCs w:val="24"/>
        </w:rPr>
      </w:pPr>
      <w:r>
        <w:rPr>
          <w:i/>
          <w:szCs w:val="24"/>
        </w:rPr>
        <w:t>Горимость лесов</w:t>
      </w:r>
      <w:r>
        <w:rPr>
          <w:szCs w:val="24"/>
        </w:rPr>
        <w:t xml:space="preserve"> — комплексное, обобщающее понятие, показывающее, как часто в конкретном районе бывают лесные пожары и какую площадь лесов они охватывают. Исходными данными для характеристики горимости лесов служат число и площади лесных пожаров в конкретном районе за отдельный сезон (год) или средние многолетние. На основе этих данных вычисляются: частота лесных пожаров, средняя площадь одного пожара, а также доля (в %) площади лесного фонда, пройденной огнем. </w:t>
      </w:r>
    </w:p>
    <w:p>
      <w:pPr>
        <w:pStyle w:val="Normal"/>
        <w:spacing w:lineRule="auto" w:line="276"/>
        <w:ind w:firstLine="709"/>
        <w:rPr>
          <w:szCs w:val="24"/>
        </w:rPr>
      </w:pPr>
      <w:r>
        <w:rPr>
          <w:szCs w:val="24"/>
        </w:rPr>
        <w:t xml:space="preserve">Под </w:t>
      </w:r>
      <w:r>
        <w:rPr>
          <w:i/>
          <w:szCs w:val="24"/>
        </w:rPr>
        <w:t>пожарной опасностью</w:t>
      </w:r>
      <w:r>
        <w:rPr>
          <w:szCs w:val="24"/>
        </w:rPr>
        <w:t xml:space="preserve"> понимается возможность возникновения и (или) развития пожара (по ГОСТ 12.1.033-81</w:t>
      </w:r>
      <w:r>
        <w:rPr/>
        <w:t xml:space="preserve"> «</w:t>
      </w:r>
      <w:r>
        <w:rPr>
          <w:szCs w:val="24"/>
        </w:rPr>
        <w:t>Система стандартов безопасности труда. Пожарная безопасность. Термины и определения»).</w:t>
      </w:r>
    </w:p>
    <w:p>
      <w:pPr>
        <w:pStyle w:val="Normal"/>
        <w:spacing w:lineRule="auto" w:line="276"/>
        <w:ind w:firstLine="709"/>
        <w:rPr>
          <w:szCs w:val="24"/>
        </w:rPr>
      </w:pPr>
      <w:r>
        <w:rPr>
          <w:szCs w:val="24"/>
        </w:rPr>
        <w:t xml:space="preserve">Лесные пожары возникают по ряду причин. Основной из них является антропогенный фактор — пребывание и производственная деятельность людей на лесной площади. </w:t>
      </w:r>
    </w:p>
    <w:p>
      <w:pPr>
        <w:pStyle w:val="Normal"/>
        <w:spacing w:lineRule="auto" w:line="276"/>
        <w:ind w:firstLine="709"/>
        <w:rPr>
          <w:szCs w:val="24"/>
        </w:rPr>
      </w:pPr>
      <w:r>
        <w:rPr>
          <w:szCs w:val="24"/>
        </w:rPr>
        <w:t>Возникновение и развитие лесных пожаров может приводить к созданию угрозы жизни и здоровью людей, нанесению ущерба окружающей природной среде и народно-хозяйственным объектам, то есть к чрезвычайным лесопожарным ситуациям различного уровня.</w:t>
      </w:r>
    </w:p>
    <w:p>
      <w:pPr>
        <w:pStyle w:val="Normal"/>
        <w:spacing w:lineRule="auto" w:line="276"/>
        <w:ind w:firstLine="709"/>
        <w:rPr>
          <w:szCs w:val="24"/>
        </w:rPr>
      </w:pPr>
      <w:r>
        <w:rPr>
          <w:szCs w:val="24"/>
        </w:rPr>
        <w:t>Лесные пожары начинаются непосредственно после весеннего схода снежного покрова и продолжаются до начала осенних дождей. Нередко, в случае сухой осени, пожары наблюдаются в сентябре и октябре, вплоть до образования снежного покрова. Пик лесных пожаров приходится на июль, начало августа.</w:t>
      </w:r>
    </w:p>
    <w:p>
      <w:pPr>
        <w:pStyle w:val="Normal"/>
        <w:spacing w:lineRule="auto" w:line="276"/>
        <w:ind w:firstLine="709"/>
        <w:rPr>
          <w:b/>
          <w:b/>
          <w:szCs w:val="24"/>
        </w:rPr>
      </w:pPr>
      <w:r>
        <w:rPr>
          <w:b/>
          <w:szCs w:val="24"/>
        </w:rPr>
        <w:t>Опасные гидрологические явления и процессы</w:t>
      </w:r>
    </w:p>
    <w:p>
      <w:pPr>
        <w:pStyle w:val="Normal"/>
        <w:spacing w:lineRule="auto" w:line="276"/>
        <w:ind w:firstLine="709"/>
        <w:rPr>
          <w:rFonts w:eastAsia="SimSun"/>
          <w:b/>
          <w:b/>
          <w:bCs/>
          <w:szCs w:val="24"/>
          <w:lang w:eastAsia="zh-CN"/>
        </w:rPr>
      </w:pPr>
      <w:r>
        <w:rPr/>
        <w:t>Гидрологические опасные явления — события гидрологического происхождения или результат гидрологических процессов, возникающих под действием различных природных или гидродинамических факторов, или их сочетаний, оказывающих поражающее воздействие на людей, сельскохозяйственных животных и растения, объекты экономики и окружающую природную среду.</w:t>
      </w:r>
      <w:r>
        <w:rPr>
          <w:szCs w:val="24"/>
        </w:rPr>
        <w:t xml:space="preserve"> Медленное таяние снега в лесах, обилие болот делают озера полноводными в течение длительного времени, весеннее половодье растягивается до 1 месяца. Высокий уровень воды в последние два года поддерживается и обильными дождями.</w:t>
      </w:r>
    </w:p>
    <w:p>
      <w:pPr>
        <w:pStyle w:val="Normal"/>
        <w:spacing w:lineRule="auto" w:line="276"/>
        <w:ind w:firstLine="709"/>
        <w:rPr>
          <w:rFonts w:eastAsia="SimSun"/>
          <w:bCs/>
          <w:szCs w:val="24"/>
          <w:lang w:eastAsia="zh-CN"/>
        </w:rPr>
      </w:pPr>
      <w:r>
        <w:rPr>
          <w:rFonts w:eastAsia="SimSun"/>
          <w:bCs/>
          <w:szCs w:val="24"/>
          <w:lang w:eastAsia="zh-CN"/>
        </w:rPr>
        <w:t>По степени опасности наводнений выделены пять типов районов:</w:t>
      </w:r>
    </w:p>
    <w:p>
      <w:pPr>
        <w:pStyle w:val="Normal"/>
        <w:numPr>
          <w:ilvl w:val="0"/>
          <w:numId w:val="40"/>
        </w:numPr>
        <w:tabs>
          <w:tab w:val="clear" w:pos="708"/>
          <w:tab w:val="left" w:pos="567" w:leader="none"/>
        </w:tabs>
        <w:spacing w:lineRule="auto" w:line="276"/>
        <w:ind w:left="0" w:firstLine="426"/>
        <w:rPr>
          <w:rFonts w:eastAsia="SimSun"/>
          <w:bCs/>
          <w:szCs w:val="24"/>
          <w:lang w:eastAsia="zh-CN"/>
        </w:rPr>
      </w:pPr>
      <w:r>
        <w:rPr>
          <w:rFonts w:eastAsia="SimSun"/>
          <w:bCs/>
          <w:i/>
          <w:szCs w:val="24"/>
          <w:lang w:eastAsia="zh-CN"/>
        </w:rPr>
        <w:t>чрезвычайно опасных наводнений</w:t>
      </w:r>
      <w:r>
        <w:rPr>
          <w:rFonts w:eastAsia="SimSun"/>
          <w:bCs/>
          <w:szCs w:val="24"/>
          <w:lang w:eastAsia="zh-CN"/>
        </w:rPr>
        <w:t>, где максимальные уровни более чем на 3,2 метра превышают уровни начала затопления прибрежных территорий (ЧС федерального уровня);</w:t>
      </w:r>
    </w:p>
    <w:p>
      <w:pPr>
        <w:pStyle w:val="Normal"/>
        <w:numPr>
          <w:ilvl w:val="0"/>
          <w:numId w:val="40"/>
        </w:numPr>
        <w:tabs>
          <w:tab w:val="clear" w:pos="708"/>
          <w:tab w:val="left" w:pos="567" w:leader="none"/>
        </w:tabs>
        <w:spacing w:lineRule="auto" w:line="276"/>
        <w:ind w:left="0" w:firstLine="426"/>
        <w:rPr>
          <w:rFonts w:eastAsia="SimSun"/>
          <w:bCs/>
          <w:szCs w:val="24"/>
          <w:lang w:eastAsia="zh-CN"/>
        </w:rPr>
      </w:pPr>
      <w:r>
        <w:rPr>
          <w:rFonts w:eastAsia="SimSun"/>
          <w:bCs/>
          <w:i/>
          <w:szCs w:val="24"/>
          <w:lang w:eastAsia="zh-CN"/>
        </w:rPr>
        <w:t>весьма опасных наводнений</w:t>
      </w:r>
      <w:r>
        <w:rPr>
          <w:rFonts w:eastAsia="SimSun"/>
          <w:bCs/>
          <w:szCs w:val="24"/>
          <w:lang w:eastAsia="zh-CN"/>
        </w:rPr>
        <w:t>, где максимальные уровни на 2,1–3,2 метра превышают уровни начала затопления (ЧС межрегионального уровня);</w:t>
      </w:r>
    </w:p>
    <w:p>
      <w:pPr>
        <w:pStyle w:val="Normal"/>
        <w:numPr>
          <w:ilvl w:val="0"/>
          <w:numId w:val="40"/>
        </w:numPr>
        <w:tabs>
          <w:tab w:val="clear" w:pos="708"/>
          <w:tab w:val="left" w:pos="567" w:leader="none"/>
        </w:tabs>
        <w:spacing w:lineRule="auto" w:line="276"/>
        <w:ind w:left="0" w:firstLine="426"/>
        <w:rPr>
          <w:rFonts w:eastAsia="SimSun"/>
          <w:bCs/>
          <w:szCs w:val="24"/>
          <w:lang w:eastAsia="zh-CN"/>
        </w:rPr>
      </w:pPr>
      <w:r>
        <w:rPr>
          <w:rFonts w:eastAsia="SimSun"/>
          <w:bCs/>
          <w:i/>
          <w:szCs w:val="24"/>
          <w:lang w:eastAsia="zh-CN"/>
        </w:rPr>
        <w:t>опасных наводнений</w:t>
      </w:r>
      <w:r>
        <w:rPr>
          <w:rFonts w:eastAsia="SimSun"/>
          <w:bCs/>
          <w:szCs w:val="24"/>
          <w:lang w:eastAsia="zh-CN"/>
        </w:rPr>
        <w:t>, где максимальные уровни на 1,5–2,0 метра превышают уровни начала затопления (ЧС регионального уровня);</w:t>
      </w:r>
    </w:p>
    <w:p>
      <w:pPr>
        <w:pStyle w:val="Normal"/>
        <w:numPr>
          <w:ilvl w:val="0"/>
          <w:numId w:val="40"/>
        </w:numPr>
        <w:tabs>
          <w:tab w:val="clear" w:pos="708"/>
          <w:tab w:val="left" w:pos="567" w:leader="none"/>
        </w:tabs>
        <w:spacing w:lineRule="auto" w:line="276"/>
        <w:ind w:left="0" w:firstLine="426"/>
        <w:rPr>
          <w:rFonts w:eastAsia="SimSun"/>
          <w:bCs/>
          <w:szCs w:val="24"/>
          <w:lang w:eastAsia="zh-CN"/>
        </w:rPr>
      </w:pPr>
      <w:r>
        <w:rPr>
          <w:rFonts w:eastAsia="SimSun"/>
          <w:bCs/>
          <w:i/>
          <w:szCs w:val="24"/>
          <w:lang w:eastAsia="zh-CN"/>
        </w:rPr>
        <w:t>умеренно опасных наводнений</w:t>
      </w:r>
      <w:r>
        <w:rPr>
          <w:rFonts w:eastAsia="SimSun"/>
          <w:bCs/>
          <w:szCs w:val="24"/>
          <w:lang w:eastAsia="zh-CN"/>
        </w:rPr>
        <w:t>, где максимальные уровни на 0,8–1,4 метра превышают уровни начала затопления (ЧС муниципального уровня);</w:t>
      </w:r>
    </w:p>
    <w:p>
      <w:pPr>
        <w:pStyle w:val="Normal"/>
        <w:numPr>
          <w:ilvl w:val="0"/>
          <w:numId w:val="40"/>
        </w:numPr>
        <w:tabs>
          <w:tab w:val="clear" w:pos="708"/>
          <w:tab w:val="left" w:pos="567" w:leader="none"/>
        </w:tabs>
        <w:spacing w:lineRule="auto" w:line="276"/>
        <w:ind w:left="0" w:firstLine="426"/>
        <w:rPr>
          <w:rFonts w:eastAsia="SimSun"/>
          <w:bCs/>
          <w:szCs w:val="24"/>
          <w:lang w:eastAsia="zh-CN"/>
        </w:rPr>
      </w:pPr>
      <w:r>
        <w:rPr>
          <w:rFonts w:eastAsia="SimSun"/>
          <w:bCs/>
          <w:i/>
          <w:szCs w:val="24"/>
          <w:lang w:eastAsia="zh-CN"/>
        </w:rPr>
        <w:t>мало опасных и незначительно опасных наводнений</w:t>
      </w:r>
      <w:r>
        <w:rPr>
          <w:rFonts w:eastAsia="SimSun"/>
          <w:bCs/>
          <w:szCs w:val="24"/>
          <w:lang w:eastAsia="zh-CN"/>
        </w:rPr>
        <w:t xml:space="preserve">, где максимальные уровни на </w:t>
        <w:br/>
        <w:t>0,3–0,7 метра превышают уровни начала затопления (ЧС локального уровня).</w:t>
      </w:r>
    </w:p>
    <w:p>
      <w:pPr>
        <w:pStyle w:val="Normal"/>
        <w:spacing w:lineRule="auto" w:line="276"/>
        <w:ind w:firstLine="709"/>
        <w:rPr>
          <w:rFonts w:eastAsia="SimSun"/>
          <w:bCs/>
          <w:szCs w:val="24"/>
          <w:lang w:eastAsia="zh-CN"/>
        </w:rPr>
      </w:pPr>
      <w:r>
        <w:rPr>
          <w:rFonts w:eastAsia="SimSun"/>
          <w:bCs/>
          <w:szCs w:val="24"/>
          <w:lang w:eastAsia="zh-CN"/>
        </w:rPr>
        <w:t xml:space="preserve">Территория </w:t>
      </w:r>
      <w:r>
        <w:rPr/>
        <w:t>Катенинского сельского поселения</w:t>
      </w:r>
      <w:r>
        <w:rPr>
          <w:rFonts w:eastAsia="SimSun"/>
          <w:bCs/>
          <w:szCs w:val="24"/>
          <w:lang w:eastAsia="zh-CN"/>
        </w:rPr>
        <w:t xml:space="preserve"> относится к 5 степени опасности наводнений в период весеннего половодья. </w:t>
      </w:r>
    </w:p>
    <w:p>
      <w:pPr>
        <w:pStyle w:val="Normal"/>
        <w:widowControl w:val="false"/>
        <w:spacing w:lineRule="auto" w:line="276" w:before="0" w:after="200"/>
        <w:ind w:firstLine="709"/>
        <w:contextualSpacing/>
        <w:rPr>
          <w:rFonts w:eastAsia="Times New Roman"/>
          <w:szCs w:val="24"/>
        </w:rPr>
      </w:pPr>
      <w:r>
        <w:rPr>
          <w:rFonts w:eastAsia="Times New Roman"/>
          <w:szCs w:val="24"/>
        </w:rPr>
        <w:t>Объекты жилого фонда, производственного и социального назначения в зону подтопления (затопления) при воздействии различных гидрологических и гидродинамических процессов и явлений не попадают.</w:t>
      </w:r>
    </w:p>
    <w:p>
      <w:pPr>
        <w:pStyle w:val="Normal"/>
        <w:spacing w:lineRule="auto" w:line="276"/>
        <w:ind w:firstLine="709"/>
        <w:rPr>
          <w:rFonts w:eastAsia="SimSun"/>
          <w:b/>
          <w:b/>
          <w:szCs w:val="24"/>
          <w:lang w:eastAsia="zh-CN"/>
        </w:rPr>
      </w:pPr>
      <w:r>
        <w:rPr>
          <w:b/>
          <w:lang w:eastAsia="ar-SA"/>
        </w:rPr>
        <w:t>Мероприятия по предотвращению чрезвычайных ситуаций природного</w:t>
      </w:r>
      <w:r>
        <w:rPr>
          <w:rFonts w:eastAsia="SimSun"/>
          <w:b/>
          <w:szCs w:val="24"/>
          <w:lang w:eastAsia="zh-CN"/>
        </w:rPr>
        <w:t xml:space="preserve"> </w:t>
      </w:r>
      <w:r>
        <w:rPr>
          <w:b/>
          <w:lang w:eastAsia="ar-SA"/>
        </w:rPr>
        <w:t>характера</w:t>
      </w:r>
    </w:p>
    <w:p>
      <w:pPr>
        <w:pStyle w:val="Normal"/>
        <w:spacing w:lineRule="auto" w:line="276"/>
        <w:ind w:firstLine="709"/>
        <w:rPr>
          <w:rFonts w:eastAsia="SimSun"/>
          <w:szCs w:val="24"/>
          <w:lang w:eastAsia="zh-CN"/>
        </w:rPr>
      </w:pPr>
      <w:r>
        <w:rPr>
          <w:rFonts w:eastAsia="SimSun"/>
          <w:szCs w:val="24"/>
          <w:lang w:eastAsia="zh-CN"/>
        </w:rPr>
        <w:t>Для минимизации ущерба, причиняемого неблагоприятными метеорологическими явлениями, определены следующие организационные мероприятия:</w:t>
      </w:r>
    </w:p>
    <w:p>
      <w:pPr>
        <w:pStyle w:val="Normal"/>
        <w:numPr>
          <w:ilvl w:val="0"/>
          <w:numId w:val="41"/>
        </w:numPr>
        <w:overflowPunct w:val="true"/>
        <w:spacing w:lineRule="auto" w:line="276" w:before="0" w:after="200"/>
        <w:ind w:left="0" w:firstLine="425"/>
        <w:contextualSpacing/>
        <w:textAlignment w:val="baseline"/>
        <w:rPr>
          <w:rFonts w:eastAsia="SimSun"/>
          <w:szCs w:val="24"/>
          <w:lang w:eastAsia="zh-CN"/>
        </w:rPr>
      </w:pPr>
      <w:r>
        <w:rPr>
          <w:rFonts w:eastAsia="SimSun"/>
          <w:szCs w:val="24"/>
          <w:lang w:eastAsia="zh-CN"/>
        </w:rPr>
        <w:t>организация круглосуточного дежурства на районных узлах связи, приведение в готовность средств оповещения населения, информирование населения о действиях во время ЧС;</w:t>
      </w:r>
    </w:p>
    <w:p>
      <w:pPr>
        <w:pStyle w:val="Normal"/>
        <w:numPr>
          <w:ilvl w:val="0"/>
          <w:numId w:val="41"/>
        </w:numPr>
        <w:overflowPunct w:val="true"/>
        <w:spacing w:lineRule="auto" w:line="276" w:before="0" w:after="200"/>
        <w:ind w:left="0" w:firstLine="425"/>
        <w:contextualSpacing/>
        <w:textAlignment w:val="baseline"/>
        <w:rPr>
          <w:rFonts w:eastAsia="SimSun"/>
          <w:szCs w:val="24"/>
          <w:lang w:eastAsia="zh-CN"/>
        </w:rPr>
      </w:pPr>
      <w:r>
        <w:rPr>
          <w:rFonts w:eastAsia="SimSun"/>
          <w:szCs w:val="24"/>
          <w:lang w:eastAsia="zh-CN"/>
        </w:rPr>
        <w:t>контроль над состоянием и своевременное восстановление деятельности жизнеобеспечивающих объектов энерго-, тепло- и водоснабжения, инженерных коммуникаций, линий электропередач, связи;</w:t>
      </w:r>
    </w:p>
    <w:p>
      <w:pPr>
        <w:pStyle w:val="Normal"/>
        <w:numPr>
          <w:ilvl w:val="0"/>
          <w:numId w:val="41"/>
        </w:numPr>
        <w:overflowPunct w:val="true"/>
        <w:spacing w:lineRule="auto" w:line="276" w:before="0" w:after="200"/>
        <w:ind w:left="0" w:firstLine="425"/>
        <w:contextualSpacing/>
        <w:textAlignment w:val="baseline"/>
        <w:rPr>
          <w:rFonts w:eastAsia="SimSun"/>
          <w:szCs w:val="24"/>
          <w:lang w:eastAsia="zh-CN"/>
        </w:rPr>
      </w:pPr>
      <w:r>
        <w:rPr>
          <w:rFonts w:eastAsia="SimSun"/>
          <w:szCs w:val="24"/>
          <w:lang w:eastAsia="zh-CN"/>
        </w:rPr>
        <w:t>обеспечение нормативного функционирования транспортных путей: организация метелезащиты и ветрозащиты путей сообщения и наземных инженерно-коммуникационных систем от ветров; подсыпка песка на проезжей части для предотвращения дорожно-транспортных происшествий, происходящих вследствие гололеда; своевременная организация контроля над транспортными потоками.</w:t>
      </w:r>
    </w:p>
    <w:p>
      <w:pPr>
        <w:pStyle w:val="Normal"/>
        <w:spacing w:lineRule="auto" w:line="276"/>
        <w:ind w:firstLine="709"/>
        <w:rPr>
          <w:rFonts w:eastAsia="SimSun"/>
          <w:szCs w:val="24"/>
          <w:lang w:eastAsia="zh-CN"/>
        </w:rPr>
      </w:pPr>
      <w:r>
        <w:rPr>
          <w:rFonts w:eastAsia="SimSun"/>
          <w:szCs w:val="24"/>
          <w:lang w:eastAsia="zh-CN"/>
        </w:rPr>
        <w:t xml:space="preserve">Для борьбы с </w:t>
      </w:r>
      <w:r>
        <w:rPr>
          <w:szCs w:val="24"/>
        </w:rPr>
        <w:t>опасными гидрологическими явлениями и процессами</w:t>
      </w:r>
      <w:r>
        <w:rPr>
          <w:rFonts w:eastAsia="SimSun"/>
          <w:szCs w:val="24"/>
          <w:lang w:eastAsia="zh-CN"/>
        </w:rPr>
        <w:t xml:space="preserve"> или их предотвращения производят следующие мероприятия:</w:t>
      </w:r>
    </w:p>
    <w:p>
      <w:pPr>
        <w:pStyle w:val="Normal"/>
        <w:numPr>
          <w:ilvl w:val="0"/>
          <w:numId w:val="42"/>
        </w:numPr>
        <w:spacing w:lineRule="auto" w:line="276" w:before="0" w:after="200"/>
        <w:ind w:left="709" w:hanging="283"/>
        <w:contextualSpacing/>
        <w:rPr>
          <w:rFonts w:eastAsia="SimSun"/>
          <w:szCs w:val="24"/>
          <w:lang w:eastAsia="zh-CN"/>
        </w:rPr>
      </w:pPr>
      <w:r>
        <w:rPr>
          <w:rFonts w:eastAsia="SimSun"/>
          <w:szCs w:val="24"/>
          <w:lang w:eastAsia="zh-CN"/>
        </w:rPr>
        <w:t xml:space="preserve">регулирование стока в русле рек; </w:t>
      </w:r>
    </w:p>
    <w:p>
      <w:pPr>
        <w:pStyle w:val="Normal"/>
        <w:numPr>
          <w:ilvl w:val="0"/>
          <w:numId w:val="42"/>
        </w:numPr>
        <w:spacing w:lineRule="auto" w:line="276" w:before="0" w:after="200"/>
        <w:ind w:left="709" w:hanging="283"/>
        <w:contextualSpacing/>
        <w:rPr>
          <w:rFonts w:eastAsia="SimSun"/>
          <w:szCs w:val="24"/>
          <w:lang w:eastAsia="zh-CN"/>
        </w:rPr>
      </w:pPr>
      <w:r>
        <w:rPr>
          <w:rFonts w:eastAsia="SimSun"/>
          <w:szCs w:val="24"/>
          <w:lang w:eastAsia="zh-CN"/>
        </w:rPr>
        <w:t xml:space="preserve">отвод паводковых вод; </w:t>
      </w:r>
    </w:p>
    <w:p>
      <w:pPr>
        <w:pStyle w:val="Normal"/>
        <w:numPr>
          <w:ilvl w:val="0"/>
          <w:numId w:val="42"/>
        </w:numPr>
        <w:spacing w:lineRule="auto" w:line="276" w:before="0" w:after="200"/>
        <w:ind w:left="709" w:hanging="283"/>
        <w:contextualSpacing/>
        <w:rPr>
          <w:rFonts w:eastAsia="SimSun"/>
          <w:szCs w:val="24"/>
          <w:lang w:eastAsia="zh-CN"/>
        </w:rPr>
      </w:pPr>
      <w:r>
        <w:rPr>
          <w:rFonts w:eastAsia="SimSun"/>
          <w:szCs w:val="24"/>
          <w:lang w:eastAsia="zh-CN"/>
        </w:rPr>
        <w:t xml:space="preserve">регулирование поверхностного стока на водосборах; </w:t>
      </w:r>
    </w:p>
    <w:p>
      <w:pPr>
        <w:pStyle w:val="Normal"/>
        <w:numPr>
          <w:ilvl w:val="0"/>
          <w:numId w:val="42"/>
        </w:numPr>
        <w:spacing w:lineRule="auto" w:line="276" w:before="0" w:after="200"/>
        <w:ind w:left="709" w:hanging="283"/>
        <w:contextualSpacing/>
        <w:rPr>
          <w:rFonts w:eastAsia="SimSun"/>
          <w:szCs w:val="24"/>
          <w:lang w:eastAsia="zh-CN"/>
        </w:rPr>
      </w:pPr>
      <w:r>
        <w:rPr>
          <w:rFonts w:eastAsia="SimSun"/>
          <w:szCs w:val="24"/>
          <w:lang w:eastAsia="zh-CN"/>
        </w:rPr>
        <w:t>заблаговременное разрушение ледяного покрова рек;</w:t>
      </w:r>
    </w:p>
    <w:p>
      <w:pPr>
        <w:pStyle w:val="Normal"/>
        <w:numPr>
          <w:ilvl w:val="0"/>
          <w:numId w:val="42"/>
        </w:numPr>
        <w:spacing w:lineRule="auto" w:line="276" w:before="0" w:after="200"/>
        <w:ind w:left="709" w:hanging="283"/>
        <w:contextualSpacing/>
        <w:rPr>
          <w:rFonts w:eastAsia="SimSun"/>
          <w:szCs w:val="24"/>
          <w:lang w:eastAsia="zh-CN"/>
        </w:rPr>
      </w:pPr>
      <w:r>
        <w:rPr>
          <w:rFonts w:eastAsia="SimSun"/>
          <w:szCs w:val="24"/>
          <w:lang w:eastAsia="zh-CN"/>
        </w:rPr>
        <w:t xml:space="preserve">ограждение территорий дамбами (системами обвалования); </w:t>
      </w:r>
    </w:p>
    <w:p>
      <w:pPr>
        <w:pStyle w:val="Normal"/>
        <w:numPr>
          <w:ilvl w:val="0"/>
          <w:numId w:val="42"/>
        </w:numPr>
        <w:spacing w:lineRule="auto" w:line="276" w:before="0" w:after="200"/>
        <w:ind w:left="709" w:hanging="283"/>
        <w:contextualSpacing/>
        <w:rPr>
          <w:rFonts w:eastAsia="SimSun"/>
          <w:szCs w:val="24"/>
          <w:lang w:eastAsia="zh-CN"/>
        </w:rPr>
      </w:pPr>
      <w:r>
        <w:rPr>
          <w:rFonts w:eastAsia="SimSun"/>
          <w:szCs w:val="24"/>
          <w:lang w:eastAsia="zh-CN"/>
        </w:rPr>
        <w:t xml:space="preserve">увеличение пропускной способности речного русла; </w:t>
      </w:r>
    </w:p>
    <w:p>
      <w:pPr>
        <w:pStyle w:val="Normal"/>
        <w:numPr>
          <w:ilvl w:val="0"/>
          <w:numId w:val="42"/>
        </w:numPr>
        <w:spacing w:lineRule="auto" w:line="276" w:before="0" w:after="200"/>
        <w:ind w:left="709" w:hanging="283"/>
        <w:contextualSpacing/>
        <w:rPr>
          <w:rFonts w:eastAsia="SimSun"/>
          <w:szCs w:val="24"/>
          <w:lang w:eastAsia="zh-CN"/>
        </w:rPr>
      </w:pPr>
      <w:r>
        <w:rPr>
          <w:rFonts w:eastAsia="SimSun"/>
          <w:szCs w:val="24"/>
          <w:lang w:eastAsia="zh-CN"/>
        </w:rPr>
        <w:t xml:space="preserve">повышение отметок защищаемой территории; </w:t>
      </w:r>
    </w:p>
    <w:p>
      <w:pPr>
        <w:pStyle w:val="Normal"/>
        <w:numPr>
          <w:ilvl w:val="0"/>
          <w:numId w:val="42"/>
        </w:numPr>
        <w:spacing w:lineRule="auto" w:line="276" w:before="0" w:after="200"/>
        <w:ind w:left="709" w:hanging="283"/>
        <w:contextualSpacing/>
        <w:rPr>
          <w:rFonts w:eastAsia="SimSun"/>
          <w:szCs w:val="24"/>
          <w:lang w:eastAsia="zh-CN"/>
        </w:rPr>
      </w:pPr>
      <w:r>
        <w:rPr>
          <w:rFonts w:eastAsia="SimSun"/>
          <w:szCs w:val="24"/>
          <w:lang w:eastAsia="zh-CN"/>
        </w:rPr>
        <w:t>агролесомелиорация.</w:t>
      </w:r>
    </w:p>
    <w:p>
      <w:pPr>
        <w:pStyle w:val="Normal"/>
        <w:spacing w:lineRule="auto" w:line="276"/>
        <w:ind w:firstLine="709"/>
        <w:rPr>
          <w:szCs w:val="24"/>
        </w:rPr>
      </w:pPr>
      <w:r>
        <w:rPr>
          <w:szCs w:val="24"/>
        </w:rPr>
        <w:t>Для успешного тушения пожаров разработана и реализуется единая система государственных и общественных мероприятий.</w:t>
      </w:r>
    </w:p>
    <w:p>
      <w:pPr>
        <w:pStyle w:val="Normal"/>
        <w:spacing w:lineRule="auto" w:line="276"/>
        <w:ind w:firstLine="709"/>
        <w:rPr>
          <w:rFonts w:eastAsia="Times New Roman"/>
          <w:szCs w:val="24"/>
          <w:lang w:eastAsia="ru-RU"/>
        </w:rPr>
      </w:pPr>
      <w:r>
        <w:rPr>
          <w:rFonts w:eastAsia="Times New Roman"/>
          <w:szCs w:val="24"/>
          <w:lang w:eastAsia="ru-RU"/>
        </w:rPr>
        <w:t>Для прогноза опасных природных воздействий следует применять структурно-геоморфологические, геологические, геофизические, сейсмологические, инженерно-геологические и гидрогеологические, инженерно-экологические, инженерно-гидрометеорологические и инженерно-геодезические методы исследования, а также их комплексирование с учетом сложности природной и природно-техногенной обстановки территории.</w:t>
      </w:r>
    </w:p>
    <w:p>
      <w:pPr>
        <w:pStyle w:val="Normal"/>
        <w:keepNext w:val="true"/>
        <w:numPr>
          <w:ilvl w:val="0"/>
          <w:numId w:val="0"/>
        </w:numPr>
        <w:tabs>
          <w:tab w:val="clear" w:pos="708"/>
          <w:tab w:val="left" w:pos="709" w:leader="none"/>
        </w:tabs>
        <w:spacing w:lineRule="auto" w:line="276" w:before="120" w:after="200"/>
        <w:jc w:val="left"/>
        <w:outlineLvl w:val="2"/>
        <w:rPr>
          <w:rFonts w:eastAsia="Times New Roman"/>
          <w:b/>
          <w:b/>
          <w:iCs/>
          <w:szCs w:val="24"/>
          <w:lang w:eastAsia="ru-RU"/>
        </w:rPr>
      </w:pPr>
      <w:bookmarkStart w:id="327" w:name="_Toc461448742"/>
      <w:bookmarkStart w:id="328" w:name="_Toc286845513"/>
      <w:bookmarkStart w:id="329" w:name="_Toc182210524"/>
      <w:bookmarkStart w:id="330" w:name="_Toc80964135"/>
      <w:bookmarkStart w:id="331" w:name="_Toc524627395"/>
      <w:bookmarkStart w:id="332" w:name="_Toc500672120"/>
      <w:bookmarkEnd w:id="327"/>
      <w:bookmarkEnd w:id="328"/>
      <w:r>
        <w:rPr>
          <w:rFonts w:eastAsia="Times New Roman"/>
          <w:b/>
          <w:bCs/>
          <w:iCs/>
          <w:szCs w:val="24"/>
          <w:lang w:eastAsia="ru-RU"/>
        </w:rPr>
        <w:t>5.2 Перечень возможных источников чрезвычайных ситуаций техногенного характера</w:t>
      </w:r>
      <w:bookmarkEnd w:id="329"/>
      <w:bookmarkEnd w:id="330"/>
      <w:bookmarkEnd w:id="331"/>
      <w:bookmarkEnd w:id="332"/>
    </w:p>
    <w:p>
      <w:pPr>
        <w:pStyle w:val="Normal"/>
        <w:spacing w:lineRule="auto" w:line="276"/>
        <w:ind w:firstLine="709"/>
        <w:rPr>
          <w:szCs w:val="24"/>
        </w:rPr>
      </w:pPr>
      <w:r>
        <w:rPr>
          <w:szCs w:val="24"/>
        </w:rPr>
        <w:t>ЧС техногенного характера — 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 К опасным техногенным происшествиям относят аварии на промышленных объектах или на транспорте, пожары, взрывы или высвобождение различных видов энергии.</w:t>
      </w:r>
    </w:p>
    <w:p>
      <w:pPr>
        <w:pStyle w:val="Normal"/>
        <w:spacing w:lineRule="auto" w:line="276"/>
        <w:ind w:firstLine="709"/>
        <w:rPr>
          <w:szCs w:val="24"/>
        </w:rPr>
      </w:pPr>
      <w:r>
        <w:rPr>
          <w:szCs w:val="24"/>
        </w:rPr>
        <w:t>Основными причинами возникновения техногенных опасностей являются:</w:t>
      </w:r>
    </w:p>
    <w:p>
      <w:pPr>
        <w:pStyle w:val="Normal"/>
        <w:numPr>
          <w:ilvl w:val="0"/>
          <w:numId w:val="43"/>
        </w:numPr>
        <w:spacing w:lineRule="auto" w:line="276" w:before="0" w:after="200"/>
        <w:ind w:left="0" w:firstLine="426"/>
        <w:contextualSpacing/>
        <w:rPr>
          <w:szCs w:val="24"/>
        </w:rPr>
      </w:pPr>
      <w:r>
        <w:rPr>
          <w:szCs w:val="24"/>
        </w:rPr>
        <w:t>нерациональное размещение потенциально опасных объектов производственного назначения и объектов хозяйственной и социальной инфраструктуры;</w:t>
      </w:r>
    </w:p>
    <w:p>
      <w:pPr>
        <w:pStyle w:val="Normal"/>
        <w:numPr>
          <w:ilvl w:val="0"/>
          <w:numId w:val="43"/>
        </w:numPr>
        <w:spacing w:lineRule="auto" w:line="276" w:before="0" w:after="200"/>
        <w:ind w:left="0" w:firstLine="426"/>
        <w:contextualSpacing/>
        <w:rPr>
          <w:szCs w:val="24"/>
        </w:rPr>
      </w:pPr>
      <w:r>
        <w:rPr>
          <w:szCs w:val="24"/>
        </w:rPr>
        <w:t>технологическая отсталость производства, низкие темпы внедрения ресурсо-, энергосберегающих и других технически совершенных и безопасных технологий;</w:t>
      </w:r>
    </w:p>
    <w:p>
      <w:pPr>
        <w:pStyle w:val="Normal"/>
        <w:numPr>
          <w:ilvl w:val="0"/>
          <w:numId w:val="43"/>
        </w:numPr>
        <w:spacing w:lineRule="auto" w:line="276" w:before="0" w:after="200"/>
        <w:ind w:left="0" w:firstLine="426"/>
        <w:contextualSpacing/>
        <w:rPr>
          <w:szCs w:val="24"/>
        </w:rPr>
      </w:pPr>
      <w:r>
        <w:rPr>
          <w:szCs w:val="24"/>
        </w:rPr>
        <w:t>износ средств производства, достигающий в ряде случаев предаварийного уровня;</w:t>
      </w:r>
    </w:p>
    <w:p>
      <w:pPr>
        <w:pStyle w:val="Normal"/>
        <w:numPr>
          <w:ilvl w:val="0"/>
          <w:numId w:val="43"/>
        </w:numPr>
        <w:spacing w:lineRule="auto" w:line="276" w:before="0" w:after="200"/>
        <w:ind w:left="0" w:firstLine="426"/>
        <w:contextualSpacing/>
        <w:rPr>
          <w:szCs w:val="24"/>
        </w:rPr>
      </w:pPr>
      <w:r>
        <w:rPr>
          <w:szCs w:val="24"/>
        </w:rPr>
        <w:t>увеличение объемов транспортировки, хранения, использования опасных или вредных веществ и материалов;</w:t>
      </w:r>
    </w:p>
    <w:p>
      <w:pPr>
        <w:pStyle w:val="Normal"/>
        <w:numPr>
          <w:ilvl w:val="0"/>
          <w:numId w:val="43"/>
        </w:numPr>
        <w:spacing w:lineRule="auto" w:line="276" w:before="0" w:after="200"/>
        <w:ind w:left="0" w:firstLine="426"/>
        <w:contextualSpacing/>
        <w:rPr>
          <w:szCs w:val="24"/>
        </w:rPr>
      </w:pPr>
      <w:r>
        <w:rPr>
          <w:szCs w:val="24"/>
        </w:rPr>
        <w:t>снижение профессионального уровня работников;</w:t>
      </w:r>
    </w:p>
    <w:p>
      <w:pPr>
        <w:pStyle w:val="Normal"/>
        <w:numPr>
          <w:ilvl w:val="0"/>
          <w:numId w:val="43"/>
        </w:numPr>
        <w:spacing w:lineRule="auto" w:line="276" w:before="0" w:after="200"/>
        <w:ind w:left="0" w:firstLine="426"/>
        <w:contextualSpacing/>
        <w:rPr>
          <w:szCs w:val="24"/>
        </w:rPr>
      </w:pPr>
      <w:r>
        <w:rPr>
          <w:szCs w:val="24"/>
        </w:rPr>
        <w:t>низкая ответственность должностных лиц, снижение уровня производственной и технологической дисциплины;</w:t>
      </w:r>
    </w:p>
    <w:p>
      <w:pPr>
        <w:pStyle w:val="Normal"/>
        <w:numPr>
          <w:ilvl w:val="0"/>
          <w:numId w:val="43"/>
        </w:numPr>
        <w:spacing w:lineRule="auto" w:line="276" w:before="0" w:after="200"/>
        <w:ind w:left="0" w:firstLine="426"/>
        <w:contextualSpacing/>
        <w:rPr>
          <w:szCs w:val="24"/>
        </w:rPr>
      </w:pPr>
      <w:r>
        <w:rPr>
          <w:szCs w:val="24"/>
        </w:rPr>
        <w:t>недостаточность контроля над состоянием потенциально опасных объектов; ненадежность системы контроля за опасными или вредными факторами;</w:t>
      </w:r>
    </w:p>
    <w:p>
      <w:pPr>
        <w:pStyle w:val="Normal"/>
        <w:numPr>
          <w:ilvl w:val="0"/>
          <w:numId w:val="43"/>
        </w:numPr>
        <w:spacing w:lineRule="auto" w:line="276" w:before="0" w:after="200"/>
        <w:ind w:left="0" w:firstLine="426"/>
        <w:contextualSpacing/>
        <w:rPr>
          <w:szCs w:val="24"/>
        </w:rPr>
      </w:pPr>
      <w:r>
        <w:rPr>
          <w:szCs w:val="24"/>
        </w:rPr>
        <w:t>снижение уровня техники безопасности на производстве, транспорте, в энергетике, сельском хозяйстве.</w:t>
      </w:r>
    </w:p>
    <w:p>
      <w:pPr>
        <w:pStyle w:val="Normal"/>
        <w:spacing w:lineRule="auto" w:line="276"/>
        <w:ind w:firstLine="709"/>
        <w:rPr>
          <w:szCs w:val="24"/>
        </w:rPr>
      </w:pPr>
      <w:r>
        <w:rPr>
          <w:szCs w:val="24"/>
        </w:rPr>
        <w:t>Пожары на объектах экономики и в жилом секторе приводят к гибели и травмированию людей и уничтожению имущества. С ними связано наибольшее число техногенных чрезвычайных ситуаций.</w:t>
      </w:r>
    </w:p>
    <w:p>
      <w:pPr>
        <w:pStyle w:val="Normal"/>
        <w:spacing w:lineRule="auto" w:line="276"/>
        <w:ind w:firstLine="709"/>
        <w:rPr>
          <w:szCs w:val="24"/>
        </w:rPr>
      </w:pPr>
      <w:r>
        <w:rPr>
          <w:szCs w:val="24"/>
        </w:rPr>
        <w:t>Большой ущерб наносят аварии на системах жилищно-коммунального хозяйства, связанные с нарушением тепло- и энергоснабжения и изношенностью основных фондов. Аварии на тепловых сетях в холодное время года обусловливают возникновение большого числа чрезвычайных ситуаций.</w:t>
      </w:r>
    </w:p>
    <w:p>
      <w:pPr>
        <w:pStyle w:val="Normal"/>
        <w:spacing w:lineRule="auto" w:line="276"/>
        <w:ind w:firstLine="709"/>
        <w:rPr>
          <w:szCs w:val="24"/>
        </w:rPr>
      </w:pPr>
      <w:r>
        <w:rPr>
          <w:szCs w:val="24"/>
        </w:rPr>
        <w:t>Источниками возникновения чрезвычайных ситуаций техногенного характера на планируемой территории могут стать следующие потенциально опасные объекты и объекты транспорта:</w:t>
      </w:r>
    </w:p>
    <w:p>
      <w:pPr>
        <w:pStyle w:val="ListParagraph"/>
        <w:numPr>
          <w:ilvl w:val="0"/>
          <w:numId w:val="44"/>
        </w:numPr>
        <w:spacing w:before="0" w:after="0"/>
        <w:ind w:left="0" w:firstLine="426"/>
        <w:contextualSpacing/>
        <w:jc w:val="both"/>
        <w:rPr>
          <w:rFonts w:ascii="Times New Roman" w:hAnsi="Times New Roman"/>
          <w:sz w:val="24"/>
          <w:szCs w:val="24"/>
        </w:rPr>
      </w:pPr>
      <w:r>
        <w:rPr>
          <w:sz w:val="24"/>
          <w:szCs w:val="24"/>
        </w:rPr>
        <w:t>пожаровзрывоопасные объекты — пожары и взрывы;</w:t>
      </w:r>
    </w:p>
    <w:p>
      <w:pPr>
        <w:pStyle w:val="ListParagraph"/>
        <w:numPr>
          <w:ilvl w:val="0"/>
          <w:numId w:val="44"/>
        </w:numPr>
        <w:spacing w:before="0" w:after="0"/>
        <w:ind w:left="0" w:firstLine="426"/>
        <w:contextualSpacing/>
        <w:jc w:val="both"/>
        <w:rPr>
          <w:rFonts w:ascii="Times New Roman" w:hAnsi="Times New Roman"/>
          <w:sz w:val="24"/>
          <w:szCs w:val="24"/>
        </w:rPr>
      </w:pPr>
      <w:r>
        <w:rPr>
          <w:sz w:val="24"/>
          <w:szCs w:val="24"/>
        </w:rPr>
        <w:t>опасные происшествия на транспорте при перевозке опасных грузов, в том числе:</w:t>
      </w:r>
    </w:p>
    <w:p>
      <w:pPr>
        <w:pStyle w:val="ListParagraph"/>
        <w:numPr>
          <w:ilvl w:val="0"/>
          <w:numId w:val="45"/>
        </w:numPr>
        <w:tabs>
          <w:tab w:val="clear" w:pos="708"/>
          <w:tab w:val="left" w:pos="851" w:leader="none"/>
        </w:tabs>
        <w:spacing w:before="0" w:after="0"/>
        <w:ind w:left="0" w:firstLine="567"/>
        <w:contextualSpacing/>
        <w:jc w:val="both"/>
        <w:rPr>
          <w:rFonts w:ascii="Times New Roman" w:hAnsi="Times New Roman"/>
          <w:sz w:val="24"/>
          <w:szCs w:val="24"/>
        </w:rPr>
      </w:pPr>
      <w:r>
        <w:rPr>
          <w:sz w:val="24"/>
          <w:szCs w:val="24"/>
        </w:rPr>
        <w:t>Аварии на автомобильном транспорте при перевозке опасных грузов;</w:t>
      </w:r>
    </w:p>
    <w:p>
      <w:pPr>
        <w:pStyle w:val="ListParagraph"/>
        <w:numPr>
          <w:ilvl w:val="0"/>
          <w:numId w:val="45"/>
        </w:numPr>
        <w:tabs>
          <w:tab w:val="clear" w:pos="708"/>
          <w:tab w:val="left" w:pos="851" w:leader="none"/>
        </w:tabs>
        <w:spacing w:before="0" w:after="0"/>
        <w:ind w:left="0" w:firstLine="567"/>
        <w:contextualSpacing/>
        <w:jc w:val="both"/>
        <w:rPr>
          <w:rFonts w:ascii="Times New Roman" w:hAnsi="Times New Roman"/>
          <w:sz w:val="24"/>
          <w:szCs w:val="24"/>
        </w:rPr>
      </w:pPr>
      <w:r>
        <w:rPr>
          <w:sz w:val="24"/>
          <w:szCs w:val="24"/>
        </w:rPr>
        <w:t>Аварии на трубопроводном транспорте при транспортировке опасных веществ.</w:t>
      </w:r>
    </w:p>
    <w:p>
      <w:pPr>
        <w:pStyle w:val="Normal"/>
        <w:spacing w:lineRule="auto" w:line="276"/>
        <w:ind w:firstLine="709"/>
        <w:rPr>
          <w:szCs w:val="24"/>
        </w:rPr>
      </w:pPr>
      <w:r>
        <w:rPr>
          <w:szCs w:val="24"/>
        </w:rPr>
        <w:t>Химически опасные объекты; радиационно-опасные объекты; гидродинамически опасные объекты отсутствуют.</w:t>
      </w:r>
    </w:p>
    <w:p>
      <w:pPr>
        <w:pStyle w:val="Normal"/>
        <w:spacing w:lineRule="auto" w:line="276"/>
        <w:ind w:firstLine="709"/>
        <w:rPr>
          <w:b/>
          <w:b/>
          <w:szCs w:val="24"/>
        </w:rPr>
      </w:pPr>
      <w:r>
        <w:rPr>
          <w:b/>
          <w:szCs w:val="24"/>
        </w:rPr>
        <w:t xml:space="preserve">Риски возникновения техногенных пожаров и взрывов </w:t>
      </w:r>
    </w:p>
    <w:p>
      <w:pPr>
        <w:pStyle w:val="Normal"/>
        <w:spacing w:lineRule="auto" w:line="276"/>
        <w:ind w:firstLine="709"/>
        <w:rPr>
          <w:szCs w:val="24"/>
        </w:rPr>
      </w:pPr>
      <w:r>
        <w:rPr>
          <w:szCs w:val="24"/>
        </w:rPr>
        <w:t>Прогнозируется до трех чрезвычайных ситуаций техногенного характера, связанных с пожарами. Наибольший риск возникновения ЧС в сельском поселении, обусловленный нарушениями правил противопожарной безопасности, низкой пожарной защищенностью, неосторожным обращением с огнем, курением, нарушением правил эксплуатации транспортных средств, нарушением правил противопожарной безопасности при проведении электрогазосварочных работ.</w:t>
      </w:r>
    </w:p>
    <w:p>
      <w:pPr>
        <w:pStyle w:val="Normal"/>
        <w:suppressAutoHyphens w:val="true"/>
        <w:spacing w:lineRule="auto" w:line="276"/>
        <w:ind w:firstLine="709"/>
        <w:rPr>
          <w:b/>
          <w:b/>
          <w:i/>
          <w:i/>
          <w:lang w:eastAsia="ar-SA"/>
        </w:rPr>
      </w:pPr>
      <w:r>
        <w:rPr>
          <w:b/>
          <w:lang w:eastAsia="ar-SA"/>
        </w:rPr>
        <w:t>Риски возникновения ЧС транспорте</w:t>
      </w:r>
    </w:p>
    <w:p>
      <w:pPr>
        <w:pStyle w:val="Normal"/>
        <w:suppressAutoHyphens w:val="true"/>
        <w:spacing w:lineRule="auto" w:line="276"/>
        <w:ind w:firstLine="709"/>
        <w:rPr>
          <w:lang w:eastAsia="ar-SA"/>
        </w:rPr>
      </w:pPr>
      <w:r>
        <w:rPr>
          <w:lang w:eastAsia="ar-SA"/>
        </w:rPr>
        <w:t xml:space="preserve">Чрезвычайные ситуации связаны с дорожными авариями при транспортировке опасных грузов по дорогам. Непосредственно к опасным маршрутам относятся дороги, используемые для доставки нефтепродуктов. </w:t>
      </w:r>
    </w:p>
    <w:p>
      <w:pPr>
        <w:pStyle w:val="Normal"/>
        <w:suppressAutoHyphens w:val="true"/>
        <w:spacing w:lineRule="auto" w:line="276"/>
        <w:ind w:firstLine="709"/>
        <w:rPr>
          <w:lang w:eastAsia="ar-SA"/>
        </w:rPr>
      </w:pPr>
      <w:r>
        <w:rPr>
          <w:lang w:eastAsia="ar-SA"/>
        </w:rPr>
        <w:t>По автомобильным дорогам возможна перевозка</w:t>
      </w:r>
      <w:r>
        <w:rPr>
          <w:rFonts w:cs="Arial" w:ascii="Arial" w:hAnsi="Arial"/>
          <w:b/>
          <w:bCs/>
          <w:color w:val="5F6368"/>
          <w:sz w:val="21"/>
          <w:szCs w:val="21"/>
          <w:shd w:fill="FFFFFF" w:val="clear"/>
        </w:rPr>
        <w:t xml:space="preserve"> </w:t>
      </w:r>
      <w:r>
        <w:rPr>
          <w:bCs/>
          <w:lang w:eastAsia="ar-SA"/>
        </w:rPr>
        <w:t>горюче-смазочные материалы</w:t>
      </w:r>
      <w:r>
        <w:rPr>
          <w:lang w:eastAsia="ar-SA"/>
        </w:rPr>
        <w:t xml:space="preserve"> (далее — ГСМ) в автоцистернах — 16300 литров, сжиженные углеводородные газы (далее — СУГ) в автоцистернах емкостью 8, 10, 11, 20 м</w:t>
      </w:r>
      <w:r>
        <w:rPr>
          <w:vertAlign w:val="superscript"/>
          <w:lang w:eastAsia="ar-SA"/>
        </w:rPr>
        <w:t>3</w:t>
      </w:r>
      <w:r>
        <w:rPr>
          <w:lang w:eastAsia="ar-SA"/>
        </w:rPr>
        <w:t xml:space="preserve"> и другие вещества.</w:t>
      </w:r>
    </w:p>
    <w:p>
      <w:pPr>
        <w:pStyle w:val="Normal"/>
        <w:suppressAutoHyphens w:val="true"/>
        <w:spacing w:lineRule="auto" w:line="276"/>
        <w:ind w:firstLine="709"/>
        <w:rPr>
          <w:lang w:eastAsia="ar-SA"/>
        </w:rPr>
      </w:pPr>
      <w:r>
        <w:rPr>
          <w:lang w:eastAsia="ar-SA"/>
        </w:rPr>
        <w:t>При разливе (выбросе, взрыве) опасных веществ в результате аварии транспортного средства возможно образование зон разрушения (граница зоны средних разрушений при авариях с ГСМ может составить до 63 м, с СУГ может составить до 247 м) и пожаров.</w:t>
      </w:r>
    </w:p>
    <w:p>
      <w:pPr>
        <w:pStyle w:val="Normal"/>
        <w:suppressAutoHyphens w:val="true"/>
        <w:spacing w:lineRule="auto" w:line="276"/>
        <w:ind w:firstLine="709"/>
        <w:rPr>
          <w:lang w:eastAsia="ar-SA"/>
        </w:rPr>
      </w:pPr>
      <w:r>
        <w:rPr>
          <w:lang w:eastAsia="ar-SA"/>
        </w:rPr>
        <w:t>Для рассматриваемого воздействия подготавливаются законы поражения людей. По каждому из типов взрывоопасных объектов готовится информация.</w:t>
      </w:r>
    </w:p>
    <w:p>
      <w:pPr>
        <w:pStyle w:val="Normal"/>
        <w:suppressAutoHyphens w:val="true"/>
        <w:spacing w:lineRule="auto" w:line="276"/>
        <w:ind w:firstLine="709"/>
        <w:rPr>
          <w:lang w:eastAsia="ar-SA"/>
        </w:rPr>
      </w:pPr>
      <w:r>
        <w:rPr>
          <w:lang w:eastAsia="ar-SA"/>
        </w:rPr>
        <w:t xml:space="preserve">Первоочередной задачей защиты населения и рабочего персонала предприятий пожароопасных объектов являются мероприятия по защите от последствий возможных ЧС на пожароопасных объектах: организация системы пожаротушения, а также оповещения соответствующих служб и сигнализации. </w:t>
      </w:r>
    </w:p>
    <w:p>
      <w:pPr>
        <w:pStyle w:val="Normal"/>
        <w:suppressAutoHyphens w:val="true"/>
        <w:spacing w:lineRule="auto" w:line="276"/>
        <w:ind w:firstLine="709"/>
        <w:rPr>
          <w:lang w:eastAsia="ar-SA"/>
        </w:rPr>
      </w:pPr>
      <w:r>
        <w:rPr>
          <w:lang w:eastAsia="ar-SA"/>
        </w:rPr>
        <w:t>Превентивные мероприятия: восстанавливаются и содержатся в исправном состоянии источники противопожарного водоснабжения, в зимнее время расчищаются дороги, подъезды к источникам водоснабжения. В летний период производится выкос травы перед объектами, производится разборка ветхих и заброшенных строений.</w:t>
      </w:r>
    </w:p>
    <w:p>
      <w:pPr>
        <w:pStyle w:val="Normal"/>
        <w:suppressAutoHyphens w:val="true"/>
        <w:spacing w:lineRule="auto" w:line="276"/>
        <w:ind w:firstLine="709"/>
        <w:rPr>
          <w:lang w:eastAsia="ar-SA"/>
        </w:rPr>
      </w:pPr>
      <w:r>
        <w:rPr>
          <w:lang w:eastAsia="ar-SA"/>
        </w:rPr>
        <w:t>Особое внимание уделяется системе предотвращения и ликвидации чрезвычайных ситуаций на предприятиях оборонного комплекса.</w:t>
      </w:r>
    </w:p>
    <w:p>
      <w:pPr>
        <w:pStyle w:val="Normal"/>
        <w:suppressAutoHyphens w:val="true"/>
        <w:spacing w:lineRule="auto" w:line="276"/>
        <w:ind w:firstLine="709"/>
        <w:rPr>
          <w:lang w:eastAsia="ar-SA"/>
        </w:rPr>
      </w:pPr>
      <w:r>
        <w:rPr>
          <w:lang w:eastAsia="ar-SA"/>
        </w:rPr>
        <w:t>В качестве вероятных чрезвычайных ситуаций техногенного характера при авариях на автодороге рассматриваются:</w:t>
      </w:r>
    </w:p>
    <w:p>
      <w:pPr>
        <w:pStyle w:val="Normal"/>
        <w:numPr>
          <w:ilvl w:val="0"/>
          <w:numId w:val="46"/>
        </w:numPr>
        <w:suppressAutoHyphens w:val="true"/>
        <w:spacing w:lineRule="auto" w:line="276" w:before="0" w:after="200"/>
        <w:ind w:left="0" w:firstLine="426"/>
        <w:contextualSpacing/>
        <w:rPr>
          <w:lang w:eastAsia="ar-SA"/>
        </w:rPr>
      </w:pPr>
      <w:r>
        <w:rPr>
          <w:lang w:eastAsia="ar-SA"/>
        </w:rPr>
        <w:t xml:space="preserve">воспламенение (взрыв) паров </w:t>
      </w:r>
      <w:r>
        <w:rPr>
          <w:bCs/>
          <w:lang w:eastAsia="ar-SA"/>
        </w:rPr>
        <w:t xml:space="preserve">легковоспламеняющихся жидкостей (горючих жидкостей) (далее </w:t>
      </w:r>
      <w:r>
        <w:rPr>
          <w:lang w:eastAsia="ar-SA"/>
        </w:rPr>
        <w:t>ЛВЖ (ГЖ)) в результате воздействия статического электричества или разгерметизации емкости транспортировки;</w:t>
      </w:r>
    </w:p>
    <w:p>
      <w:pPr>
        <w:pStyle w:val="Normal"/>
        <w:numPr>
          <w:ilvl w:val="0"/>
          <w:numId w:val="46"/>
        </w:numPr>
        <w:suppressAutoHyphens w:val="true"/>
        <w:spacing w:lineRule="auto" w:line="276" w:before="0" w:after="200"/>
        <w:ind w:left="0" w:firstLine="426"/>
        <w:contextualSpacing/>
        <w:rPr>
          <w:lang w:eastAsia="ar-SA"/>
        </w:rPr>
      </w:pPr>
      <w:r>
        <w:rPr>
          <w:lang w:eastAsia="ar-SA"/>
        </w:rPr>
        <w:t>горение пролива ЛВЖ (ГЖ) при разгерметизации емкости транспортировки.</w:t>
      </w:r>
    </w:p>
    <w:p>
      <w:pPr>
        <w:pStyle w:val="Normal"/>
        <w:suppressAutoHyphens w:val="true"/>
        <w:spacing w:lineRule="auto" w:line="276"/>
        <w:ind w:firstLine="709"/>
        <w:rPr>
          <w:lang w:eastAsia="ar-SA"/>
        </w:rPr>
      </w:pPr>
      <w:r>
        <w:rPr>
          <w:lang w:eastAsia="ar-SA"/>
        </w:rPr>
        <w:t xml:space="preserve">Сценарий 1 (С1) — горение пролива: разгерметизация емкости транспортировки </w:t>
      </w:r>
      <w:r>
        <w:rPr>
          <w:rFonts w:eastAsia="Symbol" w:cs="Symbol" w:ascii="Symbol" w:hAnsi="Symbol"/>
          <w:lang w:eastAsia="ar-SA"/>
        </w:rPr>
        <w:t></w:t>
      </w:r>
      <w:r>
        <w:rPr>
          <w:lang w:eastAsia="ar-SA"/>
        </w:rPr>
        <w:t xml:space="preserve"> выброс ЛВЖ (ГЖ) или СУГ </w:t>
      </w:r>
      <w:r>
        <w:rPr>
          <w:rFonts w:eastAsia="Symbol" w:cs="Symbol" w:ascii="Symbol" w:hAnsi="Symbol"/>
          <w:lang w:eastAsia="ar-SA"/>
        </w:rPr>
        <w:t></w:t>
      </w:r>
      <w:r>
        <w:rPr>
          <w:lang w:eastAsia="ar-SA"/>
        </w:rPr>
        <w:t xml:space="preserve"> возгорание пролива при наличии источника инициирования </w:t>
      </w:r>
      <w:r>
        <w:rPr>
          <w:rFonts w:eastAsia="Symbol" w:cs="Symbol" w:ascii="Symbol" w:hAnsi="Symbol"/>
          <w:lang w:eastAsia="ar-SA"/>
        </w:rPr>
        <w:t></w:t>
      </w:r>
      <w:r>
        <w:rPr>
          <w:lang w:eastAsia="ar-SA"/>
        </w:rPr>
        <w:t xml:space="preserve"> горение пролива </w:t>
      </w:r>
      <w:r>
        <w:rPr>
          <w:rFonts w:eastAsia="Symbol" w:cs="Symbol" w:ascii="Symbol" w:hAnsi="Symbol"/>
          <w:lang w:eastAsia="ar-SA"/>
        </w:rPr>
        <w:t></w:t>
      </w:r>
      <w:r>
        <w:rPr>
          <w:lang w:eastAsia="ar-SA"/>
        </w:rPr>
        <w:t xml:space="preserve"> поражение объектов и людей тепловым излучением.</w:t>
      </w:r>
    </w:p>
    <w:p>
      <w:pPr>
        <w:pStyle w:val="Normal"/>
        <w:suppressAutoHyphens w:val="true"/>
        <w:spacing w:lineRule="auto" w:line="276"/>
        <w:ind w:firstLine="709"/>
        <w:rPr>
          <w:lang w:eastAsia="ar-SA"/>
        </w:rPr>
      </w:pPr>
      <w:r>
        <w:rPr>
          <w:lang w:eastAsia="ar-SA"/>
        </w:rPr>
        <w:t xml:space="preserve">Сценарий 2 (С2) — взрыв облака топливно-воздушных смесей (ТВС): разгерметизация емкости транспортировки </w:t>
      </w:r>
      <w:r>
        <w:rPr>
          <w:rFonts w:eastAsia="Symbol" w:cs="Symbol" w:ascii="Symbol" w:hAnsi="Symbol"/>
          <w:lang w:eastAsia="ar-SA"/>
        </w:rPr>
        <w:t></w:t>
      </w:r>
      <w:r>
        <w:rPr>
          <w:lang w:eastAsia="ar-SA"/>
        </w:rPr>
        <w:t xml:space="preserve"> выброс (пролив) ЛВЖ (ГЖ) </w:t>
      </w:r>
      <w:r>
        <w:rPr>
          <w:rFonts w:eastAsia="Symbol" w:cs="Symbol" w:ascii="Symbol" w:hAnsi="Symbol"/>
          <w:lang w:eastAsia="ar-SA"/>
        </w:rPr>
        <w:t></w:t>
      </w:r>
      <w:r>
        <w:rPr>
          <w:lang w:eastAsia="ar-SA"/>
        </w:rPr>
        <w:t xml:space="preserve"> образование облака ТВС </w:t>
      </w:r>
      <w:r>
        <w:rPr>
          <w:rFonts w:eastAsia="Symbol" w:cs="Symbol" w:ascii="Symbol" w:hAnsi="Symbol"/>
          <w:lang w:eastAsia="ar-SA"/>
        </w:rPr>
        <w:t></w:t>
      </w:r>
      <w:r>
        <w:rPr>
          <w:lang w:eastAsia="ar-SA"/>
        </w:rPr>
        <w:t xml:space="preserve"> взрыв облака ТВС при наличии источника инициирования </w:t>
      </w:r>
      <w:r>
        <w:rPr>
          <w:rFonts w:eastAsia="Symbol" w:cs="Symbol" w:ascii="Symbol" w:hAnsi="Symbol"/>
          <w:lang w:eastAsia="ar-SA"/>
        </w:rPr>
        <w:t></w:t>
      </w:r>
      <w:r>
        <w:rPr>
          <w:lang w:eastAsia="ar-SA"/>
        </w:rPr>
        <w:t xml:space="preserve"> поражение объектов и людей воздушной ударной волной.</w:t>
      </w:r>
    </w:p>
    <w:p>
      <w:pPr>
        <w:pStyle w:val="Normal"/>
        <w:suppressAutoHyphens w:val="true"/>
        <w:spacing w:lineRule="auto" w:line="276"/>
        <w:ind w:firstLine="709"/>
        <w:rPr>
          <w:lang w:eastAsia="ar-SA"/>
        </w:rPr>
      </w:pPr>
      <w:r>
        <w:rPr>
          <w:lang w:eastAsia="ar-SA"/>
        </w:rPr>
        <w:t>При расчетах приняты следующие допущения:</w:t>
      </w:r>
    </w:p>
    <w:p>
      <w:pPr>
        <w:pStyle w:val="Normal"/>
        <w:suppressAutoHyphens w:val="true"/>
        <w:spacing w:lineRule="auto" w:line="276"/>
        <w:ind w:firstLine="426"/>
        <w:rPr>
          <w:lang w:eastAsia="ar-SA"/>
        </w:rPr>
      </w:pPr>
      <w:r>
        <w:rPr>
          <w:lang w:eastAsia="ar-SA"/>
        </w:rPr>
        <w:t>I. Разгерметизация емкостей транспортировки ЛВЖ (ГЖ)</w:t>
      </w:r>
    </w:p>
    <w:p>
      <w:pPr>
        <w:pStyle w:val="Normal"/>
        <w:suppressAutoHyphens w:val="true"/>
        <w:spacing w:lineRule="auto" w:line="276"/>
        <w:ind w:firstLine="567"/>
        <w:rPr>
          <w:lang w:eastAsia="ar-SA"/>
        </w:rPr>
      </w:pPr>
      <w:r>
        <w:rPr>
          <w:lang w:eastAsia="ar-SA"/>
        </w:rPr>
        <w:t>С1. Пожар пролива — из разрушенной емкости вытекает и участвует в горении 100 % опасного вещества. Сброс ЛВЖ (ГЖ) происходит при свободном растекании на проезжей части, ограниченной бордюрным камнем. Толщина слоя пролившейся жидкости принимается равной 0,05 м.</w:t>
      </w:r>
    </w:p>
    <w:p>
      <w:pPr>
        <w:pStyle w:val="Normal"/>
        <w:suppressAutoHyphens w:val="true"/>
        <w:spacing w:lineRule="auto" w:line="276"/>
        <w:ind w:firstLine="567"/>
        <w:rPr>
          <w:lang w:eastAsia="ar-SA"/>
        </w:rPr>
      </w:pPr>
      <w:r>
        <w:rPr>
          <w:lang w:eastAsia="ar-SA"/>
        </w:rPr>
        <w:t>С2. Взрыв ТВС из разрушенной емкости вытекает 100 % опасного вещества. В формировании облака ТВС участвует 80 % массы вытекшего нефтепродукта.</w:t>
      </w:r>
    </w:p>
    <w:p>
      <w:pPr>
        <w:pStyle w:val="Normal"/>
        <w:suppressAutoHyphens w:val="true"/>
        <w:spacing w:lineRule="auto" w:line="276"/>
        <w:ind w:firstLine="709"/>
        <w:rPr>
          <w:lang w:eastAsia="ar-SA"/>
        </w:rPr>
      </w:pPr>
      <w:r>
        <w:rPr>
          <w:lang w:eastAsia="ar-SA"/>
        </w:rPr>
        <w:t>Масса опасных веществ, способных участвовать в идентифицированных сценариях аварий, оценивалась на основе анализа технологии и режимных параметров обращения с горючими жидкостями. При этом при расчетах выбирался наиболее неблагоприятный вариант аварии, при котором в аварии участвует наибольшее количество веществ.</w:t>
      </w:r>
    </w:p>
    <w:p>
      <w:pPr>
        <w:pStyle w:val="Normal"/>
        <w:suppressAutoHyphens w:val="true"/>
        <w:spacing w:lineRule="auto" w:line="276"/>
        <w:ind w:firstLine="709"/>
        <w:rPr>
          <w:lang w:eastAsia="ar-SA"/>
        </w:rPr>
      </w:pPr>
      <w:r>
        <w:rPr>
          <w:lang w:eastAsia="ar-SA"/>
        </w:rPr>
        <w:t>При расчетах принимается, что, в соответствии с требованиями действующих нормативных документов, единичная емкость транспортировки заполнена опасным веществом на 90 %. Наличие источника воспламенения пролива или облака ТВС принимается как условное.</w:t>
      </w:r>
    </w:p>
    <w:p>
      <w:pPr>
        <w:pStyle w:val="Normal"/>
        <w:suppressAutoHyphens w:val="true"/>
        <w:spacing w:lineRule="auto" w:line="276"/>
        <w:ind w:firstLine="709"/>
        <w:rPr>
          <w:lang w:eastAsia="ar-SA"/>
        </w:rPr>
      </w:pPr>
      <w:r>
        <w:rPr>
          <w:lang w:eastAsia="ar-SA"/>
        </w:rPr>
        <w:t>При рассмотрении варианта аварии, развивающейся с последующим взрывом ТВС пролива нефтепродуктов или сжиженных углеводородных газов из емкости транспортировки, тип окружающего пространства при формировании облака ТВС принят как «Слабо загроможденное или свободное пространство».</w:t>
      </w:r>
    </w:p>
    <w:p>
      <w:pPr>
        <w:pStyle w:val="Normal"/>
        <w:suppressAutoHyphens w:val="true"/>
        <w:spacing w:lineRule="auto" w:line="276"/>
        <w:ind w:firstLine="709"/>
        <w:rPr>
          <w:lang w:eastAsia="ar-SA"/>
        </w:rPr>
      </w:pPr>
      <w:r>
        <w:rPr>
          <w:lang w:eastAsia="ar-SA"/>
        </w:rPr>
        <w:t>При определении зон действия поражающих факторов ЧС при аварии на транспортной магистрали принимается, что поврежденная емкость транспортировки может находиться на любом участке магистрали.</w:t>
      </w:r>
    </w:p>
    <w:p>
      <w:pPr>
        <w:pStyle w:val="Normal"/>
        <w:suppressAutoHyphens w:val="true"/>
        <w:spacing w:lineRule="auto" w:line="276"/>
        <w:ind w:firstLine="709"/>
        <w:rPr>
          <w:lang w:eastAsia="ar-SA"/>
        </w:rPr>
      </w:pPr>
      <w:r>
        <w:rPr>
          <w:lang w:eastAsia="ar-SA"/>
        </w:rPr>
        <w:t xml:space="preserve">В качестве основных поражающих факторов ЧС рассматриваются: тепловой поток от пламени «горящего разлития», плотность которого зависит от площади разлития, мощности тепловой эмиссии пламени и избыточное давление во фронте ударной волны взрыва </w:t>
        <w:br/>
        <w:t>(таблица 5.3).</w:t>
      </w:r>
    </w:p>
    <w:p>
      <w:pPr>
        <w:pStyle w:val="Normal"/>
        <w:spacing w:lineRule="auto" w:line="276"/>
        <w:jc w:val="right"/>
        <w:rPr>
          <w:lang w:eastAsia="ar-SA"/>
        </w:rPr>
      </w:pPr>
      <w:r>
        <w:rPr>
          <w:lang w:eastAsia="ar-SA"/>
        </w:rPr>
        <w:t>Таблица 5.3</w:t>
      </w:r>
    </w:p>
    <w:p>
      <w:pPr>
        <w:pStyle w:val="Normal"/>
        <w:widowControl w:val="false"/>
        <w:spacing w:lineRule="auto" w:line="276"/>
        <w:ind w:right="-57" w:hanging="0"/>
        <w:jc w:val="center"/>
        <w:rPr>
          <w:lang w:eastAsia="ar-SA"/>
        </w:rPr>
      </w:pPr>
      <w:r>
        <w:rPr>
          <w:lang w:eastAsia="ar-SA"/>
        </w:rPr>
        <w:t>Параметры поражения, принимаемые при оценке обстановки, возникшей в результате аварий, развивающейся со взрывом ТВС</w:t>
      </w:r>
    </w:p>
    <w:p>
      <w:pPr>
        <w:pStyle w:val="Normal"/>
        <w:rPr>
          <w:vanish/>
          <w:sz w:val="2"/>
          <w:szCs w:val="2"/>
        </w:rPr>
      </w:pPr>
      <w:r>
        <w:rPr>
          <w:vanish/>
          <w:sz w:val="2"/>
          <w:szCs w:val="2"/>
        </w:rPr>
      </w:r>
    </w:p>
    <w:tbl>
      <w:tblPr>
        <w:tblW w:w="5000" w:type="pct"/>
        <w:jc w:val="center"/>
        <w:tblInd w:w="0" w:type="dxa"/>
        <w:tblCellMar>
          <w:top w:w="0" w:type="dxa"/>
          <w:left w:w="108" w:type="dxa"/>
          <w:bottom w:w="0" w:type="dxa"/>
          <w:right w:w="108" w:type="dxa"/>
        </w:tblCellMar>
        <w:tblLook w:firstRow="0" w:noVBand="0" w:lastRow="0" w:firstColumn="0" w:lastColumn="0" w:noHBand="0" w:val="0000"/>
      </w:tblPr>
      <w:tblGrid>
        <w:gridCol w:w="8368"/>
        <w:gridCol w:w="1552"/>
      </w:tblGrid>
      <w:tr>
        <w:trPr>
          <w:tblHeader w:val="true"/>
        </w:trPr>
        <w:tc>
          <w:tcPr>
            <w:tcW w:w="8368" w:type="dxa"/>
            <w:tcBorders>
              <w:top w:val="single" w:sz="4" w:space="0" w:color="000000"/>
              <w:left w:val="single" w:sz="4" w:space="0" w:color="000000"/>
              <w:right w:val="single" w:sz="4" w:space="0" w:color="000000"/>
            </w:tcBorders>
            <w:vAlign w:val="center"/>
          </w:tcPr>
          <w:p>
            <w:pPr>
              <w:pStyle w:val="Normal"/>
              <w:widowControl w:val="false"/>
              <w:spacing w:lineRule="auto" w:line="240"/>
              <w:jc w:val="center"/>
              <w:rPr>
                <w:b/>
                <w:b/>
                <w:sz w:val="20"/>
                <w:szCs w:val="20"/>
              </w:rPr>
            </w:pPr>
            <w:r>
              <w:rPr>
                <w:b/>
                <w:sz w:val="20"/>
                <w:szCs w:val="20"/>
              </w:rPr>
              <w:t>Поражение</w:t>
            </w:r>
          </w:p>
        </w:tc>
        <w:tc>
          <w:tcPr>
            <w:tcW w:w="1552" w:type="dxa"/>
            <w:tcBorders>
              <w:top w:val="single" w:sz="4" w:space="0" w:color="000000"/>
              <w:left w:val="single" w:sz="4" w:space="0" w:color="000000"/>
              <w:right w:val="single" w:sz="4" w:space="0" w:color="000000"/>
            </w:tcBorders>
            <w:vAlign w:val="center"/>
          </w:tcPr>
          <w:p>
            <w:pPr>
              <w:pStyle w:val="Normal"/>
              <w:widowControl w:val="false"/>
              <w:spacing w:lineRule="auto" w:line="240"/>
              <w:jc w:val="center"/>
              <w:rPr>
                <w:b/>
                <w:b/>
                <w:sz w:val="20"/>
                <w:szCs w:val="20"/>
              </w:rPr>
            </w:pPr>
            <w:r>
              <w:rPr>
                <w:b/>
                <w:sz w:val="20"/>
                <w:szCs w:val="20"/>
              </w:rPr>
              <w:t>Избыточное давление, кПа</w:t>
            </w:r>
          </w:p>
        </w:tc>
      </w:tr>
    </w:tbl>
    <w:p>
      <w:pPr>
        <w:pStyle w:val="Normal"/>
        <w:spacing w:lineRule="auto" w:line="12"/>
        <w:rPr>
          <w:rFonts w:eastAsia="Times New Roman"/>
          <w:b/>
          <w:b/>
          <w:szCs w:val="24"/>
        </w:rPr>
      </w:pPr>
      <w:r>
        <w:rPr/>
      </w:r>
    </w:p>
    <w:tbl>
      <w:tblPr>
        <w:tblW w:w="5000" w:type="pct"/>
        <w:jc w:val="center"/>
        <w:tblInd w:w="0" w:type="dxa"/>
        <w:tblCellMar>
          <w:top w:w="0" w:type="dxa"/>
          <w:left w:w="108" w:type="dxa"/>
          <w:bottom w:w="0" w:type="dxa"/>
          <w:right w:w="108" w:type="dxa"/>
        </w:tblCellMar>
        <w:tblLook w:firstRow="0" w:noVBand="0" w:lastRow="0" w:firstColumn="0" w:lastColumn="0" w:noHBand="0" w:val="0000"/>
      </w:tblPr>
      <w:tblGrid>
        <w:gridCol w:w="8368"/>
        <w:gridCol w:w="1552"/>
      </w:tblGrid>
      <w:tr>
        <w:trPr>
          <w:tblHeader w:val="true"/>
        </w:trPr>
        <w:tc>
          <w:tcPr>
            <w:tcW w:w="836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jc w:val="center"/>
              <w:rPr>
                <w:b/>
                <w:b/>
                <w:sz w:val="20"/>
                <w:szCs w:val="20"/>
              </w:rPr>
            </w:pPr>
            <w:r>
              <w:rPr>
                <w:b/>
                <w:sz w:val="20"/>
                <w:szCs w:val="20"/>
              </w:rPr>
              <w:t>1</w:t>
            </w:r>
          </w:p>
        </w:tc>
        <w:tc>
          <w:tcPr>
            <w:tcW w:w="1552"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jc w:val="center"/>
              <w:rPr>
                <w:b/>
                <w:b/>
                <w:sz w:val="20"/>
                <w:szCs w:val="20"/>
              </w:rPr>
            </w:pPr>
            <w:r>
              <w:rPr>
                <w:b/>
                <w:sz w:val="20"/>
                <w:szCs w:val="20"/>
              </w:rPr>
              <w:t>2</w:t>
            </w:r>
          </w:p>
        </w:tc>
      </w:tr>
      <w:tr>
        <w:trPr/>
        <w:tc>
          <w:tcPr>
            <w:tcW w:w="9920" w:type="dxa"/>
            <w:gridSpan w:val="2"/>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jc w:val="center"/>
              <w:rPr>
                <w:sz w:val="20"/>
                <w:szCs w:val="20"/>
              </w:rPr>
            </w:pPr>
            <w:r>
              <w:rPr>
                <w:b/>
                <w:sz w:val="20"/>
                <w:szCs w:val="20"/>
              </w:rPr>
              <w:t>Поражение зданий и сооружений</w:t>
            </w:r>
          </w:p>
        </w:tc>
      </w:tr>
      <w:tr>
        <w:trPr/>
        <w:tc>
          <w:tcPr>
            <w:tcW w:w="8368" w:type="dxa"/>
            <w:tcBorders>
              <w:top w:val="single" w:sz="4" w:space="0" w:color="000000"/>
              <w:left w:val="single" w:sz="4" w:space="0" w:color="000000"/>
              <w:bottom w:val="single" w:sz="4" w:space="0" w:color="000000"/>
            </w:tcBorders>
          </w:tcPr>
          <w:p>
            <w:pPr>
              <w:pStyle w:val="Normal"/>
              <w:widowControl w:val="false"/>
              <w:spacing w:lineRule="auto" w:line="240"/>
              <w:jc w:val="left"/>
              <w:rPr>
                <w:sz w:val="20"/>
                <w:szCs w:val="20"/>
              </w:rPr>
            </w:pPr>
            <w:r>
              <w:rPr>
                <w:sz w:val="20"/>
                <w:szCs w:val="20"/>
              </w:rPr>
              <w:t>Полное разрушение зданий</w:t>
            </w:r>
          </w:p>
        </w:tc>
        <w:tc>
          <w:tcPr>
            <w:tcW w:w="1552" w:type="dxa"/>
            <w:tcBorders>
              <w:top w:val="single" w:sz="4" w:space="0" w:color="000000"/>
              <w:bottom w:val="single" w:sz="4" w:space="0" w:color="000000"/>
              <w:right w:val="single" w:sz="4" w:space="0" w:color="000000"/>
            </w:tcBorders>
          </w:tcPr>
          <w:p>
            <w:pPr>
              <w:pStyle w:val="Normal"/>
              <w:widowControl w:val="false"/>
              <w:spacing w:lineRule="auto" w:line="240"/>
              <w:jc w:val="center"/>
              <w:rPr>
                <w:sz w:val="20"/>
                <w:szCs w:val="20"/>
              </w:rPr>
            </w:pPr>
            <w:r>
              <w:rPr>
                <w:sz w:val="20"/>
                <w:szCs w:val="20"/>
              </w:rPr>
              <w:t>65,9–70</w:t>
            </w:r>
          </w:p>
        </w:tc>
      </w:tr>
      <w:tr>
        <w:trPr/>
        <w:tc>
          <w:tcPr>
            <w:tcW w:w="8368" w:type="dxa"/>
            <w:tcBorders>
              <w:top w:val="single" w:sz="4" w:space="0" w:color="000000"/>
              <w:left w:val="single" w:sz="4" w:space="0" w:color="000000"/>
              <w:bottom w:val="single" w:sz="4" w:space="0" w:color="000000"/>
            </w:tcBorders>
          </w:tcPr>
          <w:p>
            <w:pPr>
              <w:pStyle w:val="Normal"/>
              <w:widowControl w:val="false"/>
              <w:spacing w:lineRule="auto" w:line="240"/>
              <w:jc w:val="left"/>
              <w:rPr>
                <w:sz w:val="20"/>
                <w:szCs w:val="20"/>
              </w:rPr>
            </w:pPr>
            <w:r>
              <w:rPr>
                <w:sz w:val="20"/>
                <w:szCs w:val="20"/>
              </w:rPr>
              <w:t>Тяжелые (сильные) повреждения, здание подлежит сносу</w:t>
            </w:r>
          </w:p>
        </w:tc>
        <w:tc>
          <w:tcPr>
            <w:tcW w:w="1552" w:type="dxa"/>
            <w:tcBorders>
              <w:top w:val="single" w:sz="4" w:space="0" w:color="000000"/>
              <w:bottom w:val="single" w:sz="4" w:space="0" w:color="000000"/>
              <w:right w:val="single" w:sz="4" w:space="0" w:color="000000"/>
            </w:tcBorders>
          </w:tcPr>
          <w:p>
            <w:pPr>
              <w:pStyle w:val="Normal"/>
              <w:widowControl w:val="false"/>
              <w:spacing w:lineRule="auto" w:line="240"/>
              <w:jc w:val="center"/>
              <w:rPr>
                <w:sz w:val="20"/>
                <w:szCs w:val="20"/>
              </w:rPr>
            </w:pPr>
            <w:r>
              <w:rPr>
                <w:sz w:val="20"/>
                <w:szCs w:val="20"/>
              </w:rPr>
              <w:t>33</w:t>
            </w:r>
          </w:p>
        </w:tc>
      </w:tr>
      <w:tr>
        <w:trPr/>
        <w:tc>
          <w:tcPr>
            <w:tcW w:w="8368" w:type="dxa"/>
            <w:tcBorders>
              <w:top w:val="single" w:sz="4" w:space="0" w:color="000000"/>
              <w:left w:val="single" w:sz="4" w:space="0" w:color="000000"/>
              <w:bottom w:val="single" w:sz="4" w:space="0" w:color="000000"/>
            </w:tcBorders>
          </w:tcPr>
          <w:p>
            <w:pPr>
              <w:pStyle w:val="Normal"/>
              <w:widowControl w:val="false"/>
              <w:spacing w:lineRule="auto" w:line="240"/>
              <w:jc w:val="left"/>
              <w:rPr>
                <w:sz w:val="20"/>
                <w:szCs w:val="20"/>
              </w:rPr>
            </w:pPr>
            <w:r>
              <w:rPr>
                <w:sz w:val="20"/>
                <w:szCs w:val="20"/>
              </w:rPr>
              <w:t>Средние повреждения, возможно восстановление здания</w:t>
            </w:r>
          </w:p>
        </w:tc>
        <w:tc>
          <w:tcPr>
            <w:tcW w:w="1552" w:type="dxa"/>
            <w:tcBorders>
              <w:top w:val="single" w:sz="4" w:space="0" w:color="000000"/>
              <w:bottom w:val="single" w:sz="4" w:space="0" w:color="000000"/>
              <w:right w:val="single" w:sz="4" w:space="0" w:color="000000"/>
            </w:tcBorders>
          </w:tcPr>
          <w:p>
            <w:pPr>
              <w:pStyle w:val="Normal"/>
              <w:widowControl w:val="false"/>
              <w:spacing w:lineRule="auto" w:line="240"/>
              <w:jc w:val="center"/>
              <w:rPr>
                <w:sz w:val="20"/>
                <w:szCs w:val="20"/>
              </w:rPr>
            </w:pPr>
            <w:r>
              <w:rPr>
                <w:sz w:val="20"/>
                <w:szCs w:val="20"/>
              </w:rPr>
              <w:t>25</w:t>
            </w:r>
          </w:p>
        </w:tc>
      </w:tr>
      <w:tr>
        <w:trPr/>
        <w:tc>
          <w:tcPr>
            <w:tcW w:w="8368" w:type="dxa"/>
            <w:tcBorders>
              <w:top w:val="single" w:sz="4" w:space="0" w:color="000000"/>
              <w:left w:val="single" w:sz="4" w:space="0" w:color="000000"/>
              <w:bottom w:val="single" w:sz="4" w:space="0" w:color="000000"/>
            </w:tcBorders>
          </w:tcPr>
          <w:p>
            <w:pPr>
              <w:pStyle w:val="Normal"/>
              <w:widowControl w:val="false"/>
              <w:spacing w:lineRule="auto" w:line="240"/>
              <w:jc w:val="left"/>
              <w:rPr>
                <w:sz w:val="20"/>
                <w:szCs w:val="20"/>
              </w:rPr>
            </w:pPr>
            <w:r>
              <w:rPr>
                <w:sz w:val="20"/>
                <w:szCs w:val="20"/>
              </w:rPr>
              <w:t>Разбито 90 % остекления, возможны слабые разрушения</w:t>
            </w:r>
          </w:p>
        </w:tc>
        <w:tc>
          <w:tcPr>
            <w:tcW w:w="1552" w:type="dxa"/>
            <w:tcBorders>
              <w:top w:val="single" w:sz="4" w:space="0" w:color="000000"/>
              <w:bottom w:val="single" w:sz="4" w:space="0" w:color="000000"/>
              <w:right w:val="single" w:sz="4" w:space="0" w:color="000000"/>
            </w:tcBorders>
          </w:tcPr>
          <w:p>
            <w:pPr>
              <w:pStyle w:val="Normal"/>
              <w:widowControl w:val="false"/>
              <w:spacing w:lineRule="auto" w:line="240"/>
              <w:jc w:val="center"/>
              <w:rPr>
                <w:sz w:val="20"/>
                <w:szCs w:val="20"/>
              </w:rPr>
            </w:pPr>
            <w:r>
              <w:rPr>
                <w:sz w:val="20"/>
                <w:szCs w:val="20"/>
              </w:rPr>
              <w:t>4</w:t>
            </w:r>
          </w:p>
        </w:tc>
      </w:tr>
      <w:tr>
        <w:trPr/>
        <w:tc>
          <w:tcPr>
            <w:tcW w:w="8368" w:type="dxa"/>
            <w:tcBorders>
              <w:top w:val="single" w:sz="4" w:space="0" w:color="000000"/>
              <w:left w:val="single" w:sz="4" w:space="0" w:color="000000"/>
              <w:bottom w:val="single" w:sz="4" w:space="0" w:color="000000"/>
            </w:tcBorders>
          </w:tcPr>
          <w:p>
            <w:pPr>
              <w:pStyle w:val="Normal"/>
              <w:widowControl w:val="false"/>
              <w:spacing w:lineRule="auto" w:line="240"/>
              <w:jc w:val="left"/>
              <w:rPr>
                <w:sz w:val="20"/>
                <w:szCs w:val="20"/>
              </w:rPr>
            </w:pPr>
            <w:r>
              <w:rPr>
                <w:sz w:val="20"/>
                <w:szCs w:val="20"/>
              </w:rPr>
              <w:t>Разбито 50 % остекления</w:t>
            </w:r>
          </w:p>
        </w:tc>
        <w:tc>
          <w:tcPr>
            <w:tcW w:w="1552" w:type="dxa"/>
            <w:tcBorders>
              <w:top w:val="single" w:sz="4" w:space="0" w:color="000000"/>
              <w:bottom w:val="single" w:sz="4" w:space="0" w:color="000000"/>
              <w:right w:val="single" w:sz="4" w:space="0" w:color="000000"/>
            </w:tcBorders>
          </w:tcPr>
          <w:p>
            <w:pPr>
              <w:pStyle w:val="Normal"/>
              <w:widowControl w:val="false"/>
              <w:spacing w:lineRule="auto" w:line="240"/>
              <w:jc w:val="center"/>
              <w:rPr>
                <w:sz w:val="20"/>
                <w:szCs w:val="20"/>
              </w:rPr>
            </w:pPr>
            <w:r>
              <w:rPr>
                <w:sz w:val="20"/>
                <w:szCs w:val="20"/>
              </w:rPr>
              <w:t>2</w:t>
            </w:r>
          </w:p>
        </w:tc>
      </w:tr>
      <w:tr>
        <w:trPr/>
        <w:tc>
          <w:tcPr>
            <w:tcW w:w="9920" w:type="dxa"/>
            <w:gridSpan w:val="2"/>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jc w:val="center"/>
              <w:rPr>
                <w:b/>
                <w:b/>
                <w:sz w:val="20"/>
                <w:szCs w:val="20"/>
              </w:rPr>
            </w:pPr>
            <w:r>
              <w:rPr>
                <w:b/>
                <w:sz w:val="20"/>
                <w:szCs w:val="20"/>
              </w:rPr>
              <w:t>Поражение людей</w:t>
            </w:r>
          </w:p>
        </w:tc>
      </w:tr>
      <w:tr>
        <w:trPr/>
        <w:tc>
          <w:tcPr>
            <w:tcW w:w="8368" w:type="dxa"/>
            <w:tcBorders>
              <w:top w:val="single" w:sz="4" w:space="0" w:color="000000"/>
              <w:left w:val="single" w:sz="4" w:space="0" w:color="000000"/>
              <w:bottom w:val="single" w:sz="4" w:space="0" w:color="000000"/>
            </w:tcBorders>
          </w:tcPr>
          <w:p>
            <w:pPr>
              <w:pStyle w:val="Normal"/>
              <w:widowControl w:val="false"/>
              <w:spacing w:lineRule="auto" w:line="240"/>
              <w:jc w:val="left"/>
              <w:rPr>
                <w:sz w:val="20"/>
                <w:szCs w:val="20"/>
              </w:rPr>
            </w:pPr>
            <w:r>
              <w:rPr>
                <w:sz w:val="20"/>
                <w:szCs w:val="20"/>
              </w:rPr>
              <w:t>Смертельное поражение 99 % людей в зданиях и на открытой местности</w:t>
            </w:r>
          </w:p>
        </w:tc>
        <w:tc>
          <w:tcPr>
            <w:tcW w:w="1552" w:type="dxa"/>
            <w:tcBorders>
              <w:top w:val="single" w:sz="4" w:space="0" w:color="000000"/>
              <w:bottom w:val="single" w:sz="4" w:space="0" w:color="000000"/>
              <w:right w:val="single" w:sz="4" w:space="0" w:color="000000"/>
            </w:tcBorders>
          </w:tcPr>
          <w:p>
            <w:pPr>
              <w:pStyle w:val="Normal"/>
              <w:widowControl w:val="false"/>
              <w:spacing w:lineRule="auto" w:line="240"/>
              <w:jc w:val="center"/>
              <w:rPr>
                <w:sz w:val="20"/>
                <w:szCs w:val="20"/>
              </w:rPr>
            </w:pPr>
            <w:r>
              <w:rPr>
                <w:sz w:val="20"/>
                <w:szCs w:val="20"/>
              </w:rPr>
              <w:t>70</w:t>
            </w:r>
          </w:p>
        </w:tc>
      </w:tr>
      <w:tr>
        <w:trPr/>
        <w:tc>
          <w:tcPr>
            <w:tcW w:w="8368" w:type="dxa"/>
            <w:tcBorders>
              <w:top w:val="single" w:sz="4" w:space="0" w:color="000000"/>
              <w:left w:val="single" w:sz="4" w:space="0" w:color="000000"/>
              <w:bottom w:val="single" w:sz="4" w:space="0" w:color="000000"/>
            </w:tcBorders>
          </w:tcPr>
          <w:p>
            <w:pPr>
              <w:pStyle w:val="Normal"/>
              <w:widowControl w:val="false"/>
              <w:spacing w:lineRule="auto" w:line="240"/>
              <w:jc w:val="left"/>
              <w:rPr>
                <w:sz w:val="20"/>
                <w:szCs w:val="20"/>
              </w:rPr>
            </w:pPr>
            <w:r>
              <w:rPr>
                <w:sz w:val="20"/>
                <w:szCs w:val="20"/>
              </w:rPr>
              <w:t>Гибель или серьезные поражения тела и барабанных перепонок при воздействии воздушной ударной волны, при обрушении части конструкций зданий или перемещении (отбросе) тела</w:t>
            </w:r>
          </w:p>
        </w:tc>
        <w:tc>
          <w:tcPr>
            <w:tcW w:w="1552" w:type="dxa"/>
            <w:tcBorders>
              <w:top w:val="single" w:sz="4" w:space="0" w:color="000000"/>
              <w:bottom w:val="single" w:sz="4" w:space="0" w:color="000000"/>
              <w:right w:val="single" w:sz="4" w:space="0" w:color="000000"/>
            </w:tcBorders>
          </w:tcPr>
          <w:p>
            <w:pPr>
              <w:pStyle w:val="Normal"/>
              <w:widowControl w:val="false"/>
              <w:spacing w:lineRule="auto" w:line="240"/>
              <w:jc w:val="center"/>
              <w:rPr>
                <w:sz w:val="20"/>
                <w:szCs w:val="20"/>
              </w:rPr>
            </w:pPr>
            <w:r>
              <w:rPr>
                <w:sz w:val="20"/>
                <w:szCs w:val="20"/>
              </w:rPr>
              <w:t>55</w:t>
            </w:r>
          </w:p>
        </w:tc>
      </w:tr>
      <w:tr>
        <w:trPr/>
        <w:tc>
          <w:tcPr>
            <w:tcW w:w="8368" w:type="dxa"/>
            <w:tcBorders>
              <w:top w:val="single" w:sz="4" w:space="0" w:color="000000"/>
              <w:left w:val="single" w:sz="4" w:space="0" w:color="000000"/>
              <w:bottom w:val="single" w:sz="4" w:space="0" w:color="000000"/>
            </w:tcBorders>
          </w:tcPr>
          <w:p>
            <w:pPr>
              <w:pStyle w:val="Normal"/>
              <w:widowControl w:val="false"/>
              <w:spacing w:lineRule="auto" w:line="240"/>
              <w:jc w:val="left"/>
              <w:rPr>
                <w:sz w:val="20"/>
                <w:szCs w:val="20"/>
              </w:rPr>
            </w:pPr>
            <w:r>
              <w:rPr>
                <w:sz w:val="20"/>
                <w:szCs w:val="20"/>
              </w:rPr>
              <w:t>Серьезные повреждения с возможным летальным исходом в результате поражения обломками зданий. Имеется 10 % вероятность разрыва барабанных перепонок</w:t>
            </w:r>
          </w:p>
        </w:tc>
        <w:tc>
          <w:tcPr>
            <w:tcW w:w="1552" w:type="dxa"/>
            <w:tcBorders>
              <w:top w:val="single" w:sz="4" w:space="0" w:color="000000"/>
              <w:bottom w:val="single" w:sz="4" w:space="0" w:color="000000"/>
              <w:right w:val="single" w:sz="4" w:space="0" w:color="000000"/>
            </w:tcBorders>
          </w:tcPr>
          <w:p>
            <w:pPr>
              <w:pStyle w:val="Normal"/>
              <w:widowControl w:val="false"/>
              <w:spacing w:lineRule="auto" w:line="240"/>
              <w:jc w:val="center"/>
              <w:rPr>
                <w:sz w:val="20"/>
                <w:szCs w:val="20"/>
              </w:rPr>
            </w:pPr>
            <w:r>
              <w:rPr>
                <w:sz w:val="20"/>
                <w:szCs w:val="20"/>
              </w:rPr>
              <w:t>24</w:t>
            </w:r>
          </w:p>
        </w:tc>
      </w:tr>
      <w:tr>
        <w:trPr/>
        <w:tc>
          <w:tcPr>
            <w:tcW w:w="8368" w:type="dxa"/>
            <w:tcBorders>
              <w:top w:val="single" w:sz="4" w:space="0" w:color="000000"/>
              <w:left w:val="single" w:sz="4" w:space="0" w:color="000000"/>
              <w:bottom w:val="single" w:sz="4" w:space="0" w:color="000000"/>
            </w:tcBorders>
          </w:tcPr>
          <w:p>
            <w:pPr>
              <w:pStyle w:val="Normal"/>
              <w:widowControl w:val="false"/>
              <w:spacing w:lineRule="auto" w:line="240"/>
              <w:jc w:val="left"/>
              <w:rPr>
                <w:sz w:val="20"/>
                <w:szCs w:val="20"/>
              </w:rPr>
            </w:pPr>
            <w:r>
              <w:rPr>
                <w:sz w:val="20"/>
                <w:szCs w:val="20"/>
              </w:rPr>
              <w:t>Временная потеря слуха или травмы в результате вторичных эффектов воздушной ударной волны (летальный исход и серьезные повреждения являются маловероятными событием)</w:t>
            </w:r>
          </w:p>
        </w:tc>
        <w:tc>
          <w:tcPr>
            <w:tcW w:w="1552" w:type="dxa"/>
            <w:tcBorders>
              <w:top w:val="single" w:sz="4" w:space="0" w:color="000000"/>
              <w:bottom w:val="single" w:sz="4" w:space="0" w:color="000000"/>
              <w:right w:val="single" w:sz="4" w:space="0" w:color="000000"/>
            </w:tcBorders>
          </w:tcPr>
          <w:p>
            <w:pPr>
              <w:pStyle w:val="Normal"/>
              <w:widowControl w:val="false"/>
              <w:spacing w:lineRule="auto" w:line="240"/>
              <w:jc w:val="center"/>
              <w:rPr>
                <w:sz w:val="20"/>
                <w:szCs w:val="20"/>
              </w:rPr>
            </w:pPr>
            <w:r>
              <w:rPr>
                <w:sz w:val="20"/>
                <w:szCs w:val="20"/>
              </w:rPr>
              <w:t>16</w:t>
            </w:r>
          </w:p>
        </w:tc>
      </w:tr>
      <w:tr>
        <w:trPr/>
        <w:tc>
          <w:tcPr>
            <w:tcW w:w="8368" w:type="dxa"/>
            <w:tcBorders>
              <w:top w:val="single" w:sz="4" w:space="0" w:color="000000"/>
              <w:left w:val="single" w:sz="4" w:space="0" w:color="000000"/>
              <w:bottom w:val="single" w:sz="4" w:space="0" w:color="000000"/>
            </w:tcBorders>
          </w:tcPr>
          <w:p>
            <w:pPr>
              <w:pStyle w:val="Normal"/>
              <w:widowControl w:val="false"/>
              <w:spacing w:lineRule="auto" w:line="240"/>
              <w:jc w:val="left"/>
              <w:rPr>
                <w:sz w:val="20"/>
                <w:szCs w:val="20"/>
              </w:rPr>
            </w:pPr>
            <w:r>
              <w:rPr>
                <w:sz w:val="20"/>
                <w:szCs w:val="20"/>
              </w:rPr>
              <w:t>Порог поражения людей (высокая вероятность отсутствия летального исхода или серьезных повреждений). Имеется вероятность травм, связанных с разрушением стекол и повреждением стен зданий.</w:t>
            </w:r>
          </w:p>
        </w:tc>
        <w:tc>
          <w:tcPr>
            <w:tcW w:w="1552" w:type="dxa"/>
            <w:tcBorders>
              <w:top w:val="single" w:sz="4" w:space="0" w:color="000000"/>
              <w:bottom w:val="single" w:sz="4" w:space="0" w:color="000000"/>
              <w:right w:val="single" w:sz="4" w:space="0" w:color="000000"/>
            </w:tcBorders>
          </w:tcPr>
          <w:p>
            <w:pPr>
              <w:pStyle w:val="Normal"/>
              <w:widowControl w:val="false"/>
              <w:spacing w:lineRule="auto" w:line="240"/>
              <w:jc w:val="center"/>
              <w:rPr>
                <w:sz w:val="20"/>
                <w:szCs w:val="20"/>
              </w:rPr>
            </w:pPr>
            <w:r>
              <w:rPr>
                <w:sz w:val="20"/>
                <w:szCs w:val="20"/>
              </w:rPr>
              <w:t>5</w:t>
            </w:r>
          </w:p>
        </w:tc>
      </w:tr>
    </w:tbl>
    <w:p>
      <w:pPr>
        <w:pStyle w:val="Normal"/>
        <w:spacing w:lineRule="auto" w:line="276" w:before="120" w:after="200"/>
        <w:ind w:firstLine="709"/>
        <w:rPr>
          <w:lang w:eastAsia="ar-SA"/>
        </w:rPr>
      </w:pPr>
      <w:r>
        <w:rPr>
          <w:lang w:eastAsia="ar-SA"/>
        </w:rPr>
        <w:t>Определение поражающих факторов и последствий различных сценариев аварий выполнены по методикам:</w:t>
      </w:r>
    </w:p>
    <w:p>
      <w:pPr>
        <w:pStyle w:val="Normal"/>
        <w:numPr>
          <w:ilvl w:val="0"/>
          <w:numId w:val="46"/>
        </w:numPr>
        <w:suppressAutoHyphens w:val="true"/>
        <w:spacing w:lineRule="auto" w:line="276" w:before="0" w:after="200"/>
        <w:ind w:left="0" w:firstLine="426"/>
        <w:contextualSpacing/>
        <w:rPr>
          <w:lang w:eastAsia="ar-SA"/>
        </w:rPr>
      </w:pPr>
      <w:r>
        <w:rPr>
          <w:lang w:eastAsia="ar-SA"/>
        </w:rPr>
        <w:t xml:space="preserve">«Пожарная безопасность технологических процессов. Общие требования» </w:t>
        <w:br/>
        <w:t>ГОСТ Р 12.3.047-98;</w:t>
      </w:r>
    </w:p>
    <w:p>
      <w:pPr>
        <w:pStyle w:val="Normal"/>
        <w:numPr>
          <w:ilvl w:val="0"/>
          <w:numId w:val="46"/>
        </w:numPr>
        <w:suppressAutoHyphens w:val="true"/>
        <w:spacing w:lineRule="auto" w:line="276" w:before="0" w:after="200"/>
        <w:ind w:left="0" w:firstLine="426"/>
        <w:contextualSpacing/>
        <w:rPr>
          <w:lang w:eastAsia="ar-SA"/>
        </w:rPr>
      </w:pPr>
      <w:r>
        <w:rPr>
          <w:lang w:eastAsia="ar-SA"/>
        </w:rPr>
        <w:t>«Сборник методик по прогнозированию возможных аварий, катастроф и стихийных бедствий», книга 2, МЧС России, 1994 год;</w:t>
      </w:r>
    </w:p>
    <w:p>
      <w:pPr>
        <w:pStyle w:val="Normal"/>
        <w:numPr>
          <w:ilvl w:val="0"/>
          <w:numId w:val="46"/>
        </w:numPr>
        <w:suppressAutoHyphens w:val="true"/>
        <w:spacing w:lineRule="auto" w:line="276" w:before="0" w:after="200"/>
        <w:ind w:left="0" w:firstLine="426"/>
        <w:contextualSpacing/>
        <w:rPr>
          <w:lang w:eastAsia="ar-SA"/>
        </w:rPr>
      </w:pPr>
      <w:r>
        <w:rPr>
          <w:lang w:eastAsia="ar-SA"/>
        </w:rPr>
        <w:t>Приказ Рос технадзора от 31.03.2016 № 137 «Об утверждении Руководства по безопасности «Методика оценки последствий аварийных взрывов топливно-воздушных смесей».</w:t>
      </w:r>
    </w:p>
    <w:p>
      <w:pPr>
        <w:pStyle w:val="Normal"/>
        <w:suppressAutoHyphens w:val="true"/>
        <w:spacing w:lineRule="auto" w:line="276"/>
        <w:ind w:firstLine="709"/>
        <w:rPr>
          <w:lang w:eastAsia="ar-SA"/>
        </w:rPr>
      </w:pPr>
      <w:r>
        <w:rPr>
          <w:lang w:eastAsia="ar-SA"/>
        </w:rPr>
        <w:t>Параметры зон поражения наиболее опасных поражающих факторов ЧС при рассмотренных вариантах аварий приведены в таблицах 5.4–5.7.</w:t>
      </w:r>
    </w:p>
    <w:p>
      <w:pPr>
        <w:pStyle w:val="Normal"/>
        <w:suppressAutoHyphens w:val="true"/>
        <w:spacing w:lineRule="auto" w:line="276"/>
        <w:ind w:firstLine="567"/>
        <w:jc w:val="right"/>
        <w:rPr>
          <w:lang w:eastAsia="ar-SA"/>
        </w:rPr>
      </w:pPr>
      <w:r>
        <w:rPr>
          <w:lang w:eastAsia="ar-SA"/>
        </w:rPr>
        <w:t>Таблица 5.4</w:t>
      </w:r>
    </w:p>
    <w:p>
      <w:pPr>
        <w:pStyle w:val="Normal"/>
        <w:suppressAutoHyphens w:val="true"/>
        <w:spacing w:lineRule="auto" w:line="276"/>
        <w:ind w:firstLine="709"/>
        <w:jc w:val="center"/>
        <w:rPr>
          <w:lang w:eastAsia="ar-SA"/>
        </w:rPr>
      </w:pPr>
      <w:r>
        <w:rPr>
          <w:lang w:eastAsia="ar-SA"/>
        </w:rPr>
        <w:t>Параметры поражающих факторов при авариях с ЛВЖ (ГЖ) при разгерметизации автомобильной емкости транспортировки с пожаром пролива нефтепродуктов (сценарий 1)</w:t>
      </w:r>
    </w:p>
    <w:tbl>
      <w:tblPr>
        <w:tblW w:w="5000" w:type="pct"/>
        <w:jc w:val="center"/>
        <w:tblInd w:w="0" w:type="dxa"/>
        <w:tblCellMar>
          <w:top w:w="0" w:type="dxa"/>
          <w:left w:w="108" w:type="dxa"/>
          <w:bottom w:w="0" w:type="dxa"/>
          <w:right w:w="108" w:type="dxa"/>
        </w:tblCellMar>
        <w:tblLook w:firstRow="1" w:noVBand="0" w:lastRow="1" w:firstColumn="1" w:lastColumn="1" w:noHBand="0" w:val="01e0"/>
      </w:tblPr>
      <w:tblGrid>
        <w:gridCol w:w="1478"/>
        <w:gridCol w:w="1265"/>
        <w:gridCol w:w="1503"/>
        <w:gridCol w:w="3045"/>
        <w:gridCol w:w="2630"/>
      </w:tblGrid>
      <w:tr>
        <w:trPr>
          <w:trHeight w:val="20" w:hRule="atLeast"/>
        </w:trPr>
        <w:tc>
          <w:tcPr>
            <w:tcW w:w="1478"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ind w:left="-36" w:right="-8" w:hanging="0"/>
              <w:jc w:val="center"/>
              <w:rPr>
                <w:b/>
                <w:b/>
                <w:sz w:val="20"/>
              </w:rPr>
            </w:pPr>
            <w:r>
              <w:rPr>
                <w:b/>
                <w:sz w:val="20"/>
              </w:rPr>
              <w:t>Наименование вещества</w:t>
            </w:r>
          </w:p>
        </w:tc>
        <w:tc>
          <w:tcPr>
            <w:tcW w:w="1265"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ind w:left="-36" w:right="-8" w:hanging="0"/>
              <w:jc w:val="center"/>
              <w:rPr>
                <w:b/>
                <w:b/>
                <w:sz w:val="20"/>
              </w:rPr>
            </w:pPr>
            <w:r>
              <w:rPr>
                <w:b/>
                <w:sz w:val="20"/>
              </w:rPr>
              <w:t>Количество, т</w:t>
            </w:r>
          </w:p>
        </w:tc>
        <w:tc>
          <w:tcPr>
            <w:tcW w:w="1503"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ind w:left="-36" w:right="-8" w:hanging="0"/>
              <w:jc w:val="center"/>
              <w:rPr>
                <w:b/>
                <w:b/>
                <w:sz w:val="20"/>
              </w:rPr>
            </w:pPr>
            <w:r>
              <w:rPr>
                <w:b/>
                <w:sz w:val="20"/>
              </w:rPr>
              <w:t>Площадь пожара (при растекании по магистрали), м</w:t>
            </w:r>
            <w:r>
              <w:rPr>
                <w:b/>
                <w:sz w:val="20"/>
                <w:vertAlign w:val="superscript"/>
              </w:rPr>
              <w:t>2</w:t>
            </w:r>
          </w:p>
        </w:tc>
        <w:tc>
          <w:tcPr>
            <w:tcW w:w="5675"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ind w:left="-36" w:right="-8" w:hanging="0"/>
              <w:jc w:val="center"/>
              <w:rPr>
                <w:b/>
                <w:b/>
                <w:sz w:val="20"/>
              </w:rPr>
            </w:pPr>
            <w:r>
              <w:rPr>
                <w:b/>
                <w:sz w:val="20"/>
              </w:rPr>
              <w:t>Радиусы зон поражения людей (м), с учетом образующейся при горении пролива интенсивности теплового излучения (кВт/м</w:t>
            </w:r>
            <w:r>
              <w:rPr>
                <w:b/>
                <w:sz w:val="20"/>
                <w:vertAlign w:val="superscript"/>
              </w:rPr>
              <w:t>2</w:t>
            </w:r>
            <w:r>
              <w:rPr>
                <w:b/>
                <w:sz w:val="20"/>
              </w:rPr>
              <w:t>)</w:t>
            </w:r>
          </w:p>
        </w:tc>
      </w:tr>
      <w:tr>
        <w:trPr>
          <w:trHeight w:val="20" w:hRule="atLeast"/>
        </w:trPr>
        <w:tc>
          <w:tcPr>
            <w:tcW w:w="1478"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ind w:left="-36" w:right="-8" w:hanging="0"/>
              <w:jc w:val="center"/>
              <w:rPr>
                <w:b/>
                <w:b/>
                <w:sz w:val="20"/>
              </w:rPr>
            </w:pPr>
            <w:r>
              <w:rPr>
                <w:b/>
                <w:sz w:val="20"/>
              </w:rPr>
            </w:r>
          </w:p>
        </w:tc>
        <w:tc>
          <w:tcPr>
            <w:tcW w:w="1265"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ind w:left="-36" w:right="-8" w:firstLine="13"/>
              <w:jc w:val="center"/>
              <w:rPr>
                <w:b/>
                <w:b/>
                <w:sz w:val="20"/>
              </w:rPr>
            </w:pPr>
            <w:r>
              <w:rPr>
                <w:b/>
                <w:sz w:val="20"/>
              </w:rPr>
            </w:r>
          </w:p>
        </w:tc>
        <w:tc>
          <w:tcPr>
            <w:tcW w:w="150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ind w:left="-36" w:right="-8" w:hanging="0"/>
              <w:jc w:val="center"/>
              <w:rPr>
                <w:b/>
                <w:b/>
                <w:sz w:val="20"/>
              </w:rPr>
            </w:pPr>
            <w:r>
              <w:rPr>
                <w:b/>
                <w:sz w:val="20"/>
              </w:rPr>
            </w:r>
          </w:p>
        </w:tc>
        <w:tc>
          <w:tcPr>
            <w:tcW w:w="304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ind w:left="-36" w:right="-8" w:hanging="0"/>
              <w:jc w:val="center"/>
              <w:rPr>
                <w:b/>
                <w:b/>
                <w:sz w:val="20"/>
              </w:rPr>
            </w:pPr>
            <w:r>
              <w:rPr>
                <w:b/>
                <w:sz w:val="20"/>
              </w:rPr>
              <w:t>ожог 1-й степени через 6-8 с,</w:t>
            </w:r>
          </w:p>
          <w:p>
            <w:pPr>
              <w:pStyle w:val="Normal"/>
              <w:widowControl w:val="false"/>
              <w:spacing w:lineRule="auto" w:line="240"/>
              <w:ind w:left="-36" w:right="-8" w:hanging="0"/>
              <w:jc w:val="center"/>
              <w:rPr>
                <w:b/>
                <w:b/>
                <w:sz w:val="20"/>
              </w:rPr>
            </w:pPr>
            <w:r>
              <w:rPr>
                <w:b/>
                <w:sz w:val="20"/>
              </w:rPr>
              <w:t>ожог 2-й степени через 12-16 с, при 10,5 кВт/м</w:t>
            </w:r>
            <w:r>
              <w:rPr>
                <w:b/>
                <w:sz w:val="20"/>
                <w:vertAlign w:val="superscript"/>
              </w:rPr>
              <w:t>2</w:t>
            </w:r>
            <w:r>
              <w:rPr>
                <w:b/>
                <w:sz w:val="20"/>
              </w:rPr>
              <w:t>, м</w:t>
            </w:r>
          </w:p>
        </w:tc>
        <w:tc>
          <w:tcPr>
            <w:tcW w:w="263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ind w:left="-36" w:right="-8" w:hanging="0"/>
              <w:jc w:val="center"/>
              <w:rPr>
                <w:b/>
                <w:b/>
                <w:sz w:val="20"/>
              </w:rPr>
            </w:pPr>
            <w:r>
              <w:rPr>
                <w:b/>
                <w:sz w:val="20"/>
              </w:rPr>
              <w:t>безопасное расстояние для человека в брезентовой одежде, при 4,2 кВт/м</w:t>
            </w:r>
            <w:r>
              <w:rPr>
                <w:b/>
                <w:sz w:val="20"/>
                <w:vertAlign w:val="superscript"/>
              </w:rPr>
              <w:t>2</w:t>
            </w:r>
            <w:r>
              <w:rPr>
                <w:b/>
                <w:sz w:val="20"/>
              </w:rPr>
              <w:t>, м</w:t>
            </w:r>
          </w:p>
        </w:tc>
      </w:tr>
      <w:tr>
        <w:trPr>
          <w:trHeight w:val="20" w:hRule="atLeast"/>
        </w:trPr>
        <w:tc>
          <w:tcPr>
            <w:tcW w:w="147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ind w:left="-108" w:hanging="0"/>
              <w:jc w:val="center"/>
              <w:rPr>
                <w:b/>
                <w:b/>
                <w:sz w:val="20"/>
              </w:rPr>
            </w:pPr>
            <w:r>
              <w:rPr>
                <w:b/>
                <w:sz w:val="20"/>
              </w:rPr>
              <w:t>1</w:t>
            </w:r>
          </w:p>
        </w:tc>
        <w:tc>
          <w:tcPr>
            <w:tcW w:w="126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ind w:left="-108" w:right="-76" w:hanging="0"/>
              <w:jc w:val="center"/>
              <w:rPr>
                <w:b/>
                <w:b/>
                <w:sz w:val="20"/>
              </w:rPr>
            </w:pPr>
            <w:r>
              <w:rPr>
                <w:b/>
                <w:sz w:val="20"/>
              </w:rPr>
              <w:t>2</w:t>
            </w:r>
          </w:p>
        </w:tc>
        <w:tc>
          <w:tcPr>
            <w:tcW w:w="150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jc w:val="center"/>
              <w:rPr>
                <w:b/>
                <w:b/>
                <w:sz w:val="20"/>
              </w:rPr>
            </w:pPr>
            <w:r>
              <w:rPr>
                <w:b/>
                <w:sz w:val="20"/>
              </w:rPr>
              <w:t>3</w:t>
            </w:r>
          </w:p>
        </w:tc>
        <w:tc>
          <w:tcPr>
            <w:tcW w:w="304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jc w:val="center"/>
              <w:rPr>
                <w:b/>
                <w:b/>
                <w:sz w:val="20"/>
              </w:rPr>
            </w:pPr>
            <w:r>
              <w:rPr>
                <w:b/>
                <w:sz w:val="20"/>
              </w:rPr>
              <w:t>4</w:t>
            </w:r>
          </w:p>
        </w:tc>
        <w:tc>
          <w:tcPr>
            <w:tcW w:w="263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jc w:val="center"/>
              <w:rPr>
                <w:b/>
                <w:b/>
                <w:sz w:val="20"/>
              </w:rPr>
            </w:pPr>
            <w:r>
              <w:rPr>
                <w:b/>
                <w:sz w:val="20"/>
              </w:rPr>
              <w:t>5</w:t>
            </w:r>
          </w:p>
        </w:tc>
      </w:tr>
      <w:tr>
        <w:trPr>
          <w:trHeight w:val="20" w:hRule="atLeast"/>
        </w:trPr>
        <w:tc>
          <w:tcPr>
            <w:tcW w:w="147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ind w:left="-108" w:hanging="0"/>
              <w:jc w:val="center"/>
              <w:rPr>
                <w:sz w:val="20"/>
              </w:rPr>
            </w:pPr>
            <w:r>
              <w:rPr>
                <w:sz w:val="20"/>
              </w:rPr>
              <w:t>Бензин</w:t>
            </w:r>
          </w:p>
        </w:tc>
        <w:tc>
          <w:tcPr>
            <w:tcW w:w="126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ind w:left="-108" w:right="-76" w:hanging="0"/>
              <w:jc w:val="center"/>
              <w:rPr>
                <w:sz w:val="20"/>
              </w:rPr>
            </w:pPr>
            <w:r>
              <w:rPr>
                <w:sz w:val="20"/>
              </w:rPr>
              <w:t>25</w:t>
            </w:r>
          </w:p>
        </w:tc>
        <w:tc>
          <w:tcPr>
            <w:tcW w:w="150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jc w:val="center"/>
              <w:rPr>
                <w:sz w:val="20"/>
              </w:rPr>
            </w:pPr>
            <w:r>
              <w:rPr>
                <w:sz w:val="20"/>
              </w:rPr>
              <w:t>640,5</w:t>
            </w:r>
          </w:p>
        </w:tc>
        <w:tc>
          <w:tcPr>
            <w:tcW w:w="304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jc w:val="center"/>
              <w:rPr>
                <w:sz w:val="20"/>
              </w:rPr>
            </w:pPr>
            <w:r>
              <w:rPr>
                <w:sz w:val="20"/>
              </w:rPr>
              <w:t>17</w:t>
            </w:r>
          </w:p>
        </w:tc>
        <w:tc>
          <w:tcPr>
            <w:tcW w:w="263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spacing w:lineRule="auto" w:line="240"/>
              <w:jc w:val="center"/>
              <w:rPr>
                <w:sz w:val="20"/>
              </w:rPr>
            </w:pPr>
            <w:r>
              <w:rPr>
                <w:sz w:val="20"/>
              </w:rPr>
              <w:t>27</w:t>
            </w:r>
          </w:p>
        </w:tc>
      </w:tr>
    </w:tbl>
    <w:p>
      <w:pPr>
        <w:pStyle w:val="Normal"/>
        <w:suppressAutoHyphens w:val="true"/>
        <w:spacing w:lineRule="auto" w:line="276" w:before="120" w:after="200"/>
        <w:ind w:firstLine="567"/>
        <w:jc w:val="right"/>
        <w:rPr>
          <w:lang w:eastAsia="ar-SA"/>
        </w:rPr>
      </w:pPr>
      <w:r>
        <w:rPr>
          <w:lang w:eastAsia="ar-SA"/>
        </w:rPr>
        <w:t>Таблица 5.5</w:t>
      </w:r>
    </w:p>
    <w:p>
      <w:pPr>
        <w:pStyle w:val="Normal"/>
        <w:suppressAutoHyphens w:val="true"/>
        <w:spacing w:lineRule="auto" w:line="276"/>
        <w:ind w:firstLine="567"/>
        <w:jc w:val="center"/>
        <w:rPr>
          <w:lang w:eastAsia="ar-SA"/>
        </w:rPr>
      </w:pPr>
      <w:r>
        <w:rPr>
          <w:lang w:eastAsia="ar-SA"/>
        </w:rPr>
        <w:t>Предельные параметры для возможного поражения людей при аварии СУГ</w:t>
      </w:r>
    </w:p>
    <w:tbl>
      <w:tblPr>
        <w:tblW w:w="5000" w:type="pct"/>
        <w:jc w:val="center"/>
        <w:tblInd w:w="0" w:type="dxa"/>
        <w:tblCellMar>
          <w:top w:w="0" w:type="dxa"/>
          <w:left w:w="108" w:type="dxa"/>
          <w:bottom w:w="0" w:type="dxa"/>
          <w:right w:w="108" w:type="dxa"/>
        </w:tblCellMar>
        <w:tblLook w:firstRow="0" w:noVBand="0" w:lastRow="0" w:firstColumn="0" w:lastColumn="0" w:noHBand="0" w:val="0000"/>
      </w:tblPr>
      <w:tblGrid>
        <w:gridCol w:w="4231"/>
        <w:gridCol w:w="2626"/>
        <w:gridCol w:w="3064"/>
      </w:tblGrid>
      <w:tr>
        <w:trPr>
          <w:trHeight w:val="20" w:hRule="atLeast"/>
        </w:trPr>
        <w:tc>
          <w:tcPr>
            <w:tcW w:w="4231" w:type="dxa"/>
            <w:tcBorders>
              <w:top w:val="single" w:sz="4" w:space="0" w:color="000000"/>
              <w:left w:val="single" w:sz="4" w:space="0" w:color="000000"/>
              <w:bottom w:val="single" w:sz="6" w:space="0" w:color="000000"/>
              <w:right w:val="single" w:sz="6" w:space="0" w:color="000000"/>
            </w:tcBorders>
            <w:vAlign w:val="center"/>
          </w:tcPr>
          <w:p>
            <w:pPr>
              <w:pStyle w:val="Normal"/>
              <w:widowControl w:val="false"/>
              <w:tabs>
                <w:tab w:val="clear" w:pos="708"/>
                <w:tab w:val="left" w:pos="1230" w:leader="none"/>
              </w:tabs>
              <w:spacing w:lineRule="auto" w:line="240"/>
              <w:ind w:firstLine="34"/>
              <w:jc w:val="center"/>
              <w:rPr>
                <w:b/>
                <w:b/>
                <w:sz w:val="20"/>
                <w:szCs w:val="20"/>
              </w:rPr>
            </w:pPr>
            <w:r>
              <w:rPr>
                <w:b/>
                <w:sz w:val="20"/>
                <w:szCs w:val="20"/>
              </w:rPr>
              <w:t>Степень травмирования</w:t>
            </w:r>
          </w:p>
        </w:tc>
        <w:tc>
          <w:tcPr>
            <w:tcW w:w="2626" w:type="dxa"/>
            <w:tcBorders>
              <w:top w:val="single" w:sz="4" w:space="0" w:color="000000"/>
              <w:left w:val="single" w:sz="6" w:space="0" w:color="000000"/>
              <w:bottom w:val="single" w:sz="6" w:space="0" w:color="000000"/>
              <w:right w:val="single" w:sz="6" w:space="0" w:color="000000"/>
            </w:tcBorders>
            <w:vAlign w:val="center"/>
          </w:tcPr>
          <w:p>
            <w:pPr>
              <w:pStyle w:val="Normal"/>
              <w:widowControl w:val="false"/>
              <w:tabs>
                <w:tab w:val="clear" w:pos="708"/>
                <w:tab w:val="left" w:pos="1230" w:leader="none"/>
              </w:tabs>
              <w:spacing w:lineRule="auto" w:line="240"/>
              <w:ind w:firstLine="34"/>
              <w:jc w:val="center"/>
              <w:rPr>
                <w:b/>
                <w:b/>
                <w:sz w:val="20"/>
                <w:szCs w:val="20"/>
              </w:rPr>
            </w:pPr>
            <w:r>
              <w:rPr>
                <w:b/>
                <w:sz w:val="20"/>
                <w:szCs w:val="20"/>
              </w:rPr>
              <w:t>Значения интенсивности теплового излучения, кВт/м</w:t>
            </w:r>
            <w:r>
              <w:rPr>
                <w:b/>
                <w:sz w:val="20"/>
                <w:szCs w:val="20"/>
                <w:vertAlign w:val="superscript"/>
              </w:rPr>
              <w:t>2</w:t>
            </w:r>
          </w:p>
        </w:tc>
        <w:tc>
          <w:tcPr>
            <w:tcW w:w="3064" w:type="dxa"/>
            <w:tcBorders>
              <w:top w:val="single" w:sz="4" w:space="0" w:color="000000"/>
              <w:left w:val="single" w:sz="6" w:space="0" w:color="000000"/>
              <w:bottom w:val="single" w:sz="6" w:space="0" w:color="000000"/>
              <w:right w:val="single" w:sz="4" w:space="0" w:color="000000"/>
            </w:tcBorders>
            <w:vAlign w:val="center"/>
          </w:tcPr>
          <w:p>
            <w:pPr>
              <w:pStyle w:val="Normal"/>
              <w:widowControl w:val="false"/>
              <w:tabs>
                <w:tab w:val="clear" w:pos="708"/>
                <w:tab w:val="left" w:pos="1230" w:leader="none"/>
              </w:tabs>
              <w:spacing w:lineRule="auto" w:line="240"/>
              <w:ind w:firstLine="34"/>
              <w:jc w:val="center"/>
              <w:rPr>
                <w:b/>
                <w:b/>
                <w:sz w:val="20"/>
                <w:szCs w:val="20"/>
              </w:rPr>
            </w:pPr>
            <w:r>
              <w:rPr>
                <w:b/>
                <w:sz w:val="20"/>
                <w:szCs w:val="20"/>
              </w:rPr>
              <w:t>Расстояния от объекта, на которых наблюдаются определенные степени травмирования, м</w:t>
            </w:r>
          </w:p>
        </w:tc>
      </w:tr>
      <w:tr>
        <w:trPr>
          <w:trHeight w:val="20" w:hRule="atLeast"/>
        </w:trPr>
        <w:tc>
          <w:tcPr>
            <w:tcW w:w="4231" w:type="dxa"/>
            <w:tcBorders>
              <w:top w:val="single" w:sz="6" w:space="0" w:color="000000"/>
              <w:left w:val="single" w:sz="4" w:space="0" w:color="000000"/>
              <w:bottom w:val="single" w:sz="6" w:space="0" w:color="000000"/>
              <w:right w:val="single" w:sz="6" w:space="0" w:color="000000"/>
            </w:tcBorders>
            <w:vAlign w:val="center"/>
          </w:tcPr>
          <w:p>
            <w:pPr>
              <w:pStyle w:val="Normal"/>
              <w:widowControl w:val="false"/>
              <w:tabs>
                <w:tab w:val="clear" w:pos="708"/>
                <w:tab w:val="left" w:pos="1230" w:leader="none"/>
              </w:tabs>
              <w:spacing w:lineRule="auto" w:line="240"/>
              <w:ind w:firstLine="34"/>
              <w:jc w:val="center"/>
              <w:rPr>
                <w:b/>
                <w:b/>
                <w:sz w:val="20"/>
                <w:szCs w:val="20"/>
              </w:rPr>
            </w:pPr>
            <w:r>
              <w:rPr>
                <w:b/>
                <w:sz w:val="20"/>
                <w:szCs w:val="20"/>
              </w:rPr>
              <w:t>1</w:t>
            </w:r>
          </w:p>
        </w:tc>
        <w:tc>
          <w:tcPr>
            <w:tcW w:w="2626" w:type="dxa"/>
            <w:tcBorders>
              <w:top w:val="single" w:sz="6" w:space="0" w:color="000000"/>
              <w:left w:val="single" w:sz="6" w:space="0" w:color="000000"/>
              <w:bottom w:val="single" w:sz="6" w:space="0" w:color="000000"/>
              <w:right w:val="single" w:sz="6" w:space="0" w:color="000000"/>
            </w:tcBorders>
            <w:vAlign w:val="center"/>
          </w:tcPr>
          <w:p>
            <w:pPr>
              <w:pStyle w:val="Normal"/>
              <w:widowControl w:val="false"/>
              <w:tabs>
                <w:tab w:val="clear" w:pos="708"/>
                <w:tab w:val="left" w:pos="1230" w:leader="none"/>
              </w:tabs>
              <w:spacing w:lineRule="auto" w:line="240"/>
              <w:ind w:firstLine="34"/>
              <w:jc w:val="center"/>
              <w:rPr>
                <w:b/>
                <w:b/>
                <w:sz w:val="20"/>
                <w:szCs w:val="20"/>
              </w:rPr>
            </w:pPr>
            <w:r>
              <w:rPr>
                <w:b/>
                <w:sz w:val="20"/>
                <w:szCs w:val="20"/>
              </w:rPr>
              <w:t>2</w:t>
            </w:r>
          </w:p>
        </w:tc>
        <w:tc>
          <w:tcPr>
            <w:tcW w:w="3064" w:type="dxa"/>
            <w:tcBorders>
              <w:top w:val="single" w:sz="6" w:space="0" w:color="000000"/>
              <w:left w:val="single" w:sz="6" w:space="0" w:color="000000"/>
              <w:bottom w:val="single" w:sz="6" w:space="0" w:color="000000"/>
              <w:right w:val="single" w:sz="4" w:space="0" w:color="000000"/>
            </w:tcBorders>
            <w:vAlign w:val="center"/>
          </w:tcPr>
          <w:p>
            <w:pPr>
              <w:pStyle w:val="Normal"/>
              <w:widowControl w:val="false"/>
              <w:tabs>
                <w:tab w:val="clear" w:pos="708"/>
                <w:tab w:val="left" w:pos="1230" w:leader="none"/>
              </w:tabs>
              <w:spacing w:lineRule="auto" w:line="240"/>
              <w:ind w:firstLine="34"/>
              <w:jc w:val="center"/>
              <w:rPr>
                <w:b/>
                <w:b/>
                <w:sz w:val="20"/>
                <w:szCs w:val="20"/>
              </w:rPr>
            </w:pPr>
            <w:r>
              <w:rPr>
                <w:b/>
                <w:sz w:val="20"/>
                <w:szCs w:val="20"/>
              </w:rPr>
              <w:t>3</w:t>
            </w:r>
          </w:p>
        </w:tc>
      </w:tr>
      <w:tr>
        <w:trPr>
          <w:trHeight w:val="20" w:hRule="atLeast"/>
        </w:trPr>
        <w:tc>
          <w:tcPr>
            <w:tcW w:w="4231" w:type="dxa"/>
            <w:tcBorders>
              <w:top w:val="single" w:sz="6" w:space="0" w:color="000000"/>
              <w:left w:val="single" w:sz="4" w:space="0" w:color="000000"/>
              <w:bottom w:val="single" w:sz="6" w:space="0" w:color="000000"/>
              <w:right w:val="single" w:sz="6" w:space="0" w:color="000000"/>
            </w:tcBorders>
            <w:vAlign w:val="center"/>
          </w:tcPr>
          <w:p>
            <w:pPr>
              <w:pStyle w:val="Normal"/>
              <w:widowControl w:val="false"/>
              <w:tabs>
                <w:tab w:val="clear" w:pos="708"/>
                <w:tab w:val="left" w:pos="1230" w:leader="none"/>
              </w:tabs>
              <w:spacing w:lineRule="auto" w:line="240"/>
              <w:ind w:firstLine="34"/>
              <w:jc w:val="left"/>
              <w:rPr>
                <w:sz w:val="20"/>
                <w:szCs w:val="20"/>
              </w:rPr>
            </w:pPr>
            <w:r>
              <w:rPr>
                <w:sz w:val="20"/>
                <w:szCs w:val="20"/>
              </w:rPr>
              <w:t>Ожоги III степени</w:t>
            </w:r>
          </w:p>
        </w:tc>
        <w:tc>
          <w:tcPr>
            <w:tcW w:w="2626" w:type="dxa"/>
            <w:tcBorders>
              <w:top w:val="single" w:sz="6" w:space="0" w:color="000000"/>
              <w:left w:val="single" w:sz="6" w:space="0" w:color="000000"/>
              <w:bottom w:val="single" w:sz="6" w:space="0" w:color="000000"/>
              <w:right w:val="single" w:sz="6" w:space="0" w:color="000000"/>
            </w:tcBorders>
            <w:vAlign w:val="center"/>
          </w:tcPr>
          <w:p>
            <w:pPr>
              <w:pStyle w:val="Normal"/>
              <w:widowControl w:val="false"/>
              <w:tabs>
                <w:tab w:val="clear" w:pos="708"/>
                <w:tab w:val="left" w:pos="1230" w:leader="none"/>
              </w:tabs>
              <w:spacing w:lineRule="auto" w:line="240"/>
              <w:ind w:firstLine="34"/>
              <w:jc w:val="center"/>
              <w:rPr>
                <w:sz w:val="20"/>
                <w:szCs w:val="20"/>
              </w:rPr>
            </w:pPr>
            <w:r>
              <w:rPr>
                <w:sz w:val="20"/>
                <w:szCs w:val="20"/>
              </w:rPr>
              <w:t>49,0</w:t>
            </w:r>
          </w:p>
        </w:tc>
        <w:tc>
          <w:tcPr>
            <w:tcW w:w="3064" w:type="dxa"/>
            <w:tcBorders>
              <w:top w:val="single" w:sz="6" w:space="0" w:color="000000"/>
              <w:left w:val="single" w:sz="6" w:space="0" w:color="000000"/>
              <w:bottom w:val="single" w:sz="6" w:space="0" w:color="000000"/>
              <w:right w:val="single" w:sz="4" w:space="0" w:color="000000"/>
            </w:tcBorders>
            <w:vAlign w:val="center"/>
          </w:tcPr>
          <w:p>
            <w:pPr>
              <w:pStyle w:val="Normal"/>
              <w:widowControl w:val="false"/>
              <w:tabs>
                <w:tab w:val="clear" w:pos="708"/>
                <w:tab w:val="left" w:pos="1230" w:leader="none"/>
              </w:tabs>
              <w:spacing w:lineRule="auto" w:line="240"/>
              <w:ind w:firstLine="34"/>
              <w:jc w:val="center"/>
              <w:rPr>
                <w:sz w:val="20"/>
                <w:szCs w:val="20"/>
              </w:rPr>
            </w:pPr>
            <w:r>
              <w:rPr>
                <w:sz w:val="20"/>
                <w:szCs w:val="20"/>
              </w:rPr>
              <w:t>38</w:t>
            </w:r>
          </w:p>
        </w:tc>
      </w:tr>
      <w:tr>
        <w:trPr>
          <w:trHeight w:val="20" w:hRule="atLeast"/>
        </w:trPr>
        <w:tc>
          <w:tcPr>
            <w:tcW w:w="4231" w:type="dxa"/>
            <w:tcBorders>
              <w:top w:val="single" w:sz="6" w:space="0" w:color="000000"/>
              <w:left w:val="single" w:sz="4" w:space="0" w:color="000000"/>
              <w:bottom w:val="single" w:sz="6" w:space="0" w:color="000000"/>
              <w:right w:val="single" w:sz="6" w:space="0" w:color="000000"/>
            </w:tcBorders>
            <w:vAlign w:val="center"/>
          </w:tcPr>
          <w:p>
            <w:pPr>
              <w:pStyle w:val="Normal"/>
              <w:widowControl w:val="false"/>
              <w:tabs>
                <w:tab w:val="clear" w:pos="708"/>
                <w:tab w:val="left" w:pos="1230" w:leader="none"/>
              </w:tabs>
              <w:spacing w:lineRule="auto" w:line="240"/>
              <w:ind w:firstLine="34"/>
              <w:jc w:val="left"/>
              <w:rPr>
                <w:sz w:val="20"/>
                <w:szCs w:val="20"/>
              </w:rPr>
            </w:pPr>
            <w:r>
              <w:rPr>
                <w:sz w:val="20"/>
                <w:szCs w:val="20"/>
              </w:rPr>
              <w:t>Ожоги II степени</w:t>
            </w:r>
          </w:p>
        </w:tc>
        <w:tc>
          <w:tcPr>
            <w:tcW w:w="2626" w:type="dxa"/>
            <w:tcBorders>
              <w:top w:val="single" w:sz="6" w:space="0" w:color="000000"/>
              <w:left w:val="single" w:sz="6" w:space="0" w:color="000000"/>
              <w:bottom w:val="single" w:sz="6" w:space="0" w:color="000000"/>
              <w:right w:val="single" w:sz="6" w:space="0" w:color="000000"/>
            </w:tcBorders>
            <w:vAlign w:val="center"/>
          </w:tcPr>
          <w:p>
            <w:pPr>
              <w:pStyle w:val="Normal"/>
              <w:widowControl w:val="false"/>
              <w:tabs>
                <w:tab w:val="clear" w:pos="708"/>
                <w:tab w:val="left" w:pos="1230" w:leader="none"/>
              </w:tabs>
              <w:spacing w:lineRule="auto" w:line="240"/>
              <w:ind w:firstLine="34"/>
              <w:jc w:val="center"/>
              <w:rPr>
                <w:sz w:val="20"/>
                <w:szCs w:val="20"/>
              </w:rPr>
            </w:pPr>
            <w:r>
              <w:rPr>
                <w:sz w:val="20"/>
                <w:szCs w:val="20"/>
              </w:rPr>
              <w:t>27,4</w:t>
            </w:r>
          </w:p>
        </w:tc>
        <w:tc>
          <w:tcPr>
            <w:tcW w:w="3064" w:type="dxa"/>
            <w:tcBorders>
              <w:top w:val="single" w:sz="6" w:space="0" w:color="000000"/>
              <w:left w:val="single" w:sz="6" w:space="0" w:color="000000"/>
              <w:bottom w:val="single" w:sz="6" w:space="0" w:color="000000"/>
              <w:right w:val="single" w:sz="4" w:space="0" w:color="000000"/>
            </w:tcBorders>
            <w:vAlign w:val="center"/>
          </w:tcPr>
          <w:p>
            <w:pPr>
              <w:pStyle w:val="Normal"/>
              <w:widowControl w:val="false"/>
              <w:tabs>
                <w:tab w:val="clear" w:pos="708"/>
                <w:tab w:val="left" w:pos="1230" w:leader="none"/>
              </w:tabs>
              <w:spacing w:lineRule="auto" w:line="240"/>
              <w:ind w:firstLine="34"/>
              <w:jc w:val="center"/>
              <w:rPr>
                <w:sz w:val="20"/>
                <w:szCs w:val="20"/>
              </w:rPr>
            </w:pPr>
            <w:r>
              <w:rPr>
                <w:sz w:val="20"/>
                <w:szCs w:val="20"/>
              </w:rPr>
              <w:t>55</w:t>
            </w:r>
          </w:p>
        </w:tc>
      </w:tr>
      <w:tr>
        <w:trPr>
          <w:trHeight w:val="20" w:hRule="atLeast"/>
        </w:trPr>
        <w:tc>
          <w:tcPr>
            <w:tcW w:w="4231" w:type="dxa"/>
            <w:tcBorders>
              <w:top w:val="single" w:sz="6" w:space="0" w:color="000000"/>
              <w:left w:val="single" w:sz="4" w:space="0" w:color="000000"/>
              <w:bottom w:val="single" w:sz="6" w:space="0" w:color="000000"/>
              <w:right w:val="single" w:sz="6" w:space="0" w:color="000000"/>
            </w:tcBorders>
            <w:vAlign w:val="center"/>
          </w:tcPr>
          <w:p>
            <w:pPr>
              <w:pStyle w:val="Normal"/>
              <w:widowControl w:val="false"/>
              <w:tabs>
                <w:tab w:val="clear" w:pos="708"/>
                <w:tab w:val="left" w:pos="1230" w:leader="none"/>
              </w:tabs>
              <w:spacing w:lineRule="auto" w:line="240"/>
              <w:ind w:firstLine="34"/>
              <w:jc w:val="left"/>
              <w:rPr>
                <w:sz w:val="20"/>
                <w:szCs w:val="20"/>
              </w:rPr>
            </w:pPr>
            <w:r>
              <w:rPr>
                <w:sz w:val="20"/>
                <w:szCs w:val="20"/>
              </w:rPr>
              <w:t>Ожоги I степени</w:t>
            </w:r>
          </w:p>
        </w:tc>
        <w:tc>
          <w:tcPr>
            <w:tcW w:w="2626" w:type="dxa"/>
            <w:tcBorders>
              <w:top w:val="single" w:sz="6" w:space="0" w:color="000000"/>
              <w:left w:val="single" w:sz="6" w:space="0" w:color="000000"/>
              <w:bottom w:val="single" w:sz="6" w:space="0" w:color="000000"/>
              <w:right w:val="single" w:sz="6" w:space="0" w:color="000000"/>
            </w:tcBorders>
            <w:vAlign w:val="center"/>
          </w:tcPr>
          <w:p>
            <w:pPr>
              <w:pStyle w:val="Normal"/>
              <w:widowControl w:val="false"/>
              <w:tabs>
                <w:tab w:val="clear" w:pos="708"/>
                <w:tab w:val="left" w:pos="1230" w:leader="none"/>
              </w:tabs>
              <w:spacing w:lineRule="auto" w:line="240"/>
              <w:ind w:firstLine="34"/>
              <w:jc w:val="center"/>
              <w:rPr>
                <w:sz w:val="20"/>
                <w:szCs w:val="20"/>
              </w:rPr>
            </w:pPr>
            <w:r>
              <w:rPr>
                <w:sz w:val="20"/>
                <w:szCs w:val="20"/>
              </w:rPr>
              <w:t>9,6</w:t>
            </w:r>
          </w:p>
        </w:tc>
        <w:tc>
          <w:tcPr>
            <w:tcW w:w="3064" w:type="dxa"/>
            <w:tcBorders>
              <w:top w:val="single" w:sz="6" w:space="0" w:color="000000"/>
              <w:left w:val="single" w:sz="6" w:space="0" w:color="000000"/>
              <w:bottom w:val="single" w:sz="6" w:space="0" w:color="000000"/>
              <w:right w:val="single" w:sz="4" w:space="0" w:color="000000"/>
            </w:tcBorders>
            <w:vAlign w:val="center"/>
          </w:tcPr>
          <w:p>
            <w:pPr>
              <w:pStyle w:val="Normal"/>
              <w:widowControl w:val="false"/>
              <w:tabs>
                <w:tab w:val="clear" w:pos="708"/>
                <w:tab w:val="left" w:pos="1230" w:leader="none"/>
              </w:tabs>
              <w:spacing w:lineRule="auto" w:line="240"/>
              <w:ind w:firstLine="34"/>
              <w:jc w:val="center"/>
              <w:rPr>
                <w:sz w:val="20"/>
                <w:szCs w:val="20"/>
              </w:rPr>
            </w:pPr>
            <w:r>
              <w:rPr>
                <w:sz w:val="20"/>
                <w:szCs w:val="20"/>
              </w:rPr>
              <w:t>92</w:t>
            </w:r>
          </w:p>
        </w:tc>
      </w:tr>
      <w:tr>
        <w:trPr>
          <w:trHeight w:val="20" w:hRule="atLeast"/>
        </w:trPr>
        <w:tc>
          <w:tcPr>
            <w:tcW w:w="4231" w:type="dxa"/>
            <w:tcBorders>
              <w:top w:val="single" w:sz="6" w:space="0" w:color="000000"/>
              <w:left w:val="single" w:sz="4" w:space="0" w:color="000000"/>
              <w:bottom w:val="single" w:sz="4" w:space="0" w:color="000000"/>
              <w:right w:val="single" w:sz="6" w:space="0" w:color="000000"/>
            </w:tcBorders>
            <w:vAlign w:val="center"/>
          </w:tcPr>
          <w:p>
            <w:pPr>
              <w:pStyle w:val="Normal"/>
              <w:widowControl w:val="false"/>
              <w:tabs>
                <w:tab w:val="clear" w:pos="708"/>
                <w:tab w:val="left" w:pos="1230" w:leader="none"/>
              </w:tabs>
              <w:spacing w:lineRule="auto" w:line="240"/>
              <w:ind w:firstLine="34"/>
              <w:jc w:val="left"/>
              <w:rPr>
                <w:sz w:val="20"/>
                <w:szCs w:val="20"/>
              </w:rPr>
            </w:pPr>
            <w:r>
              <w:rPr>
                <w:sz w:val="20"/>
                <w:szCs w:val="20"/>
              </w:rPr>
              <w:t>Болевой порог (болезненные ощущения на коже и слизистых)</w:t>
            </w:r>
          </w:p>
        </w:tc>
        <w:tc>
          <w:tcPr>
            <w:tcW w:w="2626" w:type="dxa"/>
            <w:tcBorders>
              <w:top w:val="single" w:sz="6" w:space="0" w:color="000000"/>
              <w:left w:val="single" w:sz="6" w:space="0" w:color="000000"/>
              <w:bottom w:val="single" w:sz="4" w:space="0" w:color="000000"/>
              <w:right w:val="single" w:sz="6" w:space="0" w:color="000000"/>
            </w:tcBorders>
            <w:vAlign w:val="center"/>
          </w:tcPr>
          <w:p>
            <w:pPr>
              <w:pStyle w:val="Normal"/>
              <w:widowControl w:val="false"/>
              <w:tabs>
                <w:tab w:val="clear" w:pos="708"/>
                <w:tab w:val="left" w:pos="1230" w:leader="none"/>
              </w:tabs>
              <w:spacing w:lineRule="auto" w:line="240"/>
              <w:ind w:firstLine="34"/>
              <w:jc w:val="center"/>
              <w:rPr>
                <w:sz w:val="20"/>
                <w:szCs w:val="20"/>
              </w:rPr>
            </w:pPr>
            <w:r>
              <w:rPr>
                <w:sz w:val="20"/>
                <w:szCs w:val="20"/>
              </w:rPr>
              <w:t>1,4</w:t>
            </w:r>
          </w:p>
        </w:tc>
        <w:tc>
          <w:tcPr>
            <w:tcW w:w="3064" w:type="dxa"/>
            <w:tcBorders>
              <w:top w:val="single" w:sz="6" w:space="0" w:color="000000"/>
              <w:left w:val="single" w:sz="6" w:space="0" w:color="000000"/>
              <w:bottom w:val="single" w:sz="4" w:space="0" w:color="000000"/>
              <w:right w:val="single" w:sz="4" w:space="0" w:color="000000"/>
            </w:tcBorders>
            <w:vAlign w:val="center"/>
          </w:tcPr>
          <w:p>
            <w:pPr>
              <w:pStyle w:val="Normal"/>
              <w:widowControl w:val="false"/>
              <w:tabs>
                <w:tab w:val="clear" w:pos="708"/>
                <w:tab w:val="left" w:pos="1230" w:leader="none"/>
              </w:tabs>
              <w:spacing w:lineRule="auto" w:line="240"/>
              <w:ind w:firstLine="34"/>
              <w:jc w:val="center"/>
              <w:rPr>
                <w:sz w:val="20"/>
                <w:szCs w:val="20"/>
              </w:rPr>
            </w:pPr>
            <w:r>
              <w:rPr>
                <w:sz w:val="20"/>
                <w:szCs w:val="20"/>
              </w:rPr>
              <w:t>Более 100 м</w:t>
            </w:r>
          </w:p>
        </w:tc>
      </w:tr>
    </w:tbl>
    <w:p>
      <w:pPr>
        <w:pStyle w:val="Normal"/>
        <w:suppressAutoHyphens w:val="true"/>
        <w:spacing w:lineRule="auto" w:line="276" w:before="120" w:after="200"/>
        <w:ind w:firstLine="567"/>
        <w:jc w:val="right"/>
        <w:rPr>
          <w:lang w:eastAsia="ar-SA"/>
        </w:rPr>
      </w:pPr>
      <w:r>
        <w:rPr>
          <w:lang w:eastAsia="ar-SA"/>
        </w:rPr>
        <w:t>Таблица 5.6</w:t>
      </w:r>
    </w:p>
    <w:p>
      <w:pPr>
        <w:pStyle w:val="Normal"/>
        <w:suppressAutoHyphens w:val="true"/>
        <w:spacing w:lineRule="auto" w:line="276"/>
        <w:ind w:firstLine="567"/>
        <w:jc w:val="center"/>
        <w:rPr>
          <w:lang w:eastAsia="ar-SA"/>
        </w:rPr>
      </w:pPr>
      <w:r>
        <w:rPr>
          <w:lang w:eastAsia="ar-SA"/>
        </w:rPr>
        <w:t xml:space="preserve">Параметры зон поражения при аварии с взрывом ТВС при разгерметизации автомобильной емкости транспортировки с автомобильным бензином (сценарий 2). </w:t>
      </w:r>
    </w:p>
    <w:p>
      <w:pPr>
        <w:pStyle w:val="Normal"/>
        <w:suppressAutoHyphens w:val="true"/>
        <w:spacing w:lineRule="auto" w:line="276"/>
        <w:ind w:firstLine="567"/>
        <w:jc w:val="center"/>
        <w:rPr>
          <w:lang w:eastAsia="ar-SA"/>
        </w:rPr>
      </w:pPr>
      <w:r>
        <w:rPr>
          <w:lang w:eastAsia="ar-SA"/>
        </w:rPr>
        <w:t>Масса топлива в облаке 22 500 кг</w:t>
      </w:r>
    </w:p>
    <w:tbl>
      <w:tblPr>
        <w:tblW w:w="5000" w:type="pct"/>
        <w:jc w:val="center"/>
        <w:tblInd w:w="0" w:type="dxa"/>
        <w:tblCellMar>
          <w:top w:w="0" w:type="dxa"/>
          <w:left w:w="108" w:type="dxa"/>
          <w:bottom w:w="0" w:type="dxa"/>
          <w:right w:w="108" w:type="dxa"/>
        </w:tblCellMar>
        <w:tblLook w:firstRow="0" w:noVBand="0" w:lastRow="0" w:firstColumn="0" w:lastColumn="0" w:noHBand="0" w:val="0000"/>
      </w:tblPr>
      <w:tblGrid>
        <w:gridCol w:w="3164"/>
        <w:gridCol w:w="1798"/>
        <w:gridCol w:w="1735"/>
        <w:gridCol w:w="1527"/>
        <w:gridCol w:w="1697"/>
      </w:tblGrid>
      <w:tr>
        <w:trPr>
          <w:tblHeader w:val="true"/>
        </w:trPr>
        <w:tc>
          <w:tcPr>
            <w:tcW w:w="3164" w:type="dxa"/>
            <w:vMerge w:val="restart"/>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b/>
                <w:b/>
                <w:sz w:val="20"/>
                <w:szCs w:val="20"/>
              </w:rPr>
            </w:pPr>
            <w:r>
              <w:rPr>
                <w:b/>
                <w:sz w:val="20"/>
                <w:szCs w:val="20"/>
              </w:rPr>
              <w:t>Избыточное давление (кПа), поражение зданий/поражение людей на открытой местности</w:t>
            </w:r>
          </w:p>
        </w:tc>
        <w:tc>
          <w:tcPr>
            <w:tcW w:w="3533" w:type="dxa"/>
            <w:gridSpan w:val="2"/>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jc w:val="center"/>
              <w:rPr>
                <w:b/>
                <w:b/>
                <w:sz w:val="20"/>
                <w:szCs w:val="20"/>
              </w:rPr>
            </w:pPr>
            <w:r>
              <w:rPr>
                <w:b/>
                <w:sz w:val="20"/>
                <w:szCs w:val="20"/>
              </w:rPr>
              <w:t>Поражение зданий и сооружений и людей в зданиях и сооружениях</w:t>
            </w:r>
          </w:p>
        </w:tc>
        <w:tc>
          <w:tcPr>
            <w:tcW w:w="3224" w:type="dxa"/>
            <w:gridSpan w:val="2"/>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jc w:val="center"/>
              <w:rPr>
                <w:b/>
                <w:b/>
                <w:sz w:val="20"/>
                <w:szCs w:val="20"/>
              </w:rPr>
            </w:pPr>
            <w:r>
              <w:rPr>
                <w:b/>
                <w:sz w:val="20"/>
                <w:szCs w:val="20"/>
              </w:rPr>
              <w:t>Поражение людей на открытой местности</w:t>
            </w:r>
          </w:p>
        </w:tc>
      </w:tr>
      <w:tr>
        <w:trPr>
          <w:tblHeader w:val="true"/>
          <w:trHeight w:val="491" w:hRule="atLeast"/>
        </w:trPr>
        <w:tc>
          <w:tcPr>
            <w:tcW w:w="316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b/>
                <w:b/>
                <w:sz w:val="20"/>
                <w:szCs w:val="20"/>
              </w:rPr>
            </w:pPr>
            <w:r>
              <w:rPr>
                <w:b/>
                <w:sz w:val="20"/>
                <w:szCs w:val="20"/>
              </w:rPr>
            </w:r>
          </w:p>
        </w:tc>
        <w:tc>
          <w:tcPr>
            <w:tcW w:w="1798"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b/>
                <w:b/>
                <w:sz w:val="20"/>
                <w:szCs w:val="20"/>
              </w:rPr>
            </w:pPr>
            <w:r>
              <w:rPr>
                <w:b/>
                <w:sz w:val="20"/>
                <w:szCs w:val="20"/>
              </w:rPr>
              <w:t>радиус зоны, м</w:t>
            </w:r>
          </w:p>
        </w:tc>
        <w:tc>
          <w:tcPr>
            <w:tcW w:w="173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b/>
                <w:b/>
                <w:sz w:val="20"/>
                <w:szCs w:val="20"/>
              </w:rPr>
            </w:pPr>
            <w:r>
              <w:rPr>
                <w:b/>
                <w:sz w:val="20"/>
                <w:szCs w:val="20"/>
              </w:rPr>
              <w:t>% пораженных людей</w:t>
            </w:r>
          </w:p>
        </w:tc>
        <w:tc>
          <w:tcPr>
            <w:tcW w:w="1527"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b/>
                <w:b/>
                <w:sz w:val="20"/>
                <w:szCs w:val="20"/>
              </w:rPr>
            </w:pPr>
            <w:r>
              <w:rPr>
                <w:b/>
                <w:sz w:val="20"/>
                <w:szCs w:val="20"/>
              </w:rPr>
              <w:t>радиус зоны, м</w:t>
            </w:r>
          </w:p>
        </w:tc>
        <w:tc>
          <w:tcPr>
            <w:tcW w:w="1697"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b/>
                <w:b/>
                <w:sz w:val="20"/>
                <w:szCs w:val="20"/>
              </w:rPr>
            </w:pPr>
            <w:r>
              <w:rPr>
                <w:b/>
                <w:sz w:val="20"/>
                <w:szCs w:val="20"/>
              </w:rPr>
              <w:t>% пораженных людей</w:t>
            </w:r>
          </w:p>
        </w:tc>
      </w:tr>
      <w:tr>
        <w:trPr/>
        <w:tc>
          <w:tcPr>
            <w:tcW w:w="3164"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b/>
                <w:b/>
                <w:sz w:val="20"/>
                <w:szCs w:val="20"/>
              </w:rPr>
            </w:pPr>
            <w:r>
              <w:rPr>
                <w:b/>
                <w:sz w:val="20"/>
                <w:szCs w:val="20"/>
              </w:rPr>
              <w:t>1</w:t>
            </w:r>
          </w:p>
        </w:tc>
        <w:tc>
          <w:tcPr>
            <w:tcW w:w="1798"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b/>
                <w:b/>
                <w:sz w:val="20"/>
                <w:szCs w:val="20"/>
              </w:rPr>
            </w:pPr>
            <w:r>
              <w:rPr>
                <w:b/>
                <w:sz w:val="20"/>
                <w:szCs w:val="20"/>
              </w:rPr>
              <w:t>2</w:t>
            </w:r>
          </w:p>
        </w:tc>
        <w:tc>
          <w:tcPr>
            <w:tcW w:w="173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jc w:val="center"/>
              <w:rPr>
                <w:b/>
                <w:b/>
                <w:sz w:val="20"/>
                <w:szCs w:val="20"/>
              </w:rPr>
            </w:pPr>
            <w:r>
              <w:rPr>
                <w:b/>
                <w:sz w:val="20"/>
                <w:szCs w:val="20"/>
              </w:rPr>
              <w:t>3</w:t>
            </w:r>
          </w:p>
        </w:tc>
        <w:tc>
          <w:tcPr>
            <w:tcW w:w="1527"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b/>
                <w:b/>
                <w:sz w:val="20"/>
                <w:szCs w:val="20"/>
              </w:rPr>
            </w:pPr>
            <w:r>
              <w:rPr>
                <w:b/>
                <w:sz w:val="20"/>
                <w:szCs w:val="20"/>
              </w:rPr>
              <w:t>4</w:t>
            </w:r>
          </w:p>
        </w:tc>
        <w:tc>
          <w:tcPr>
            <w:tcW w:w="1697"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b/>
                <w:b/>
                <w:sz w:val="20"/>
                <w:szCs w:val="20"/>
              </w:rPr>
            </w:pPr>
            <w:r>
              <w:rPr>
                <w:b/>
                <w:sz w:val="20"/>
                <w:szCs w:val="20"/>
              </w:rPr>
              <w:t>5</w:t>
            </w:r>
          </w:p>
        </w:tc>
      </w:tr>
      <w:tr>
        <w:trPr/>
        <w:tc>
          <w:tcPr>
            <w:tcW w:w="3164"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65,9/70</w:t>
            </w:r>
          </w:p>
        </w:tc>
        <w:tc>
          <w:tcPr>
            <w:tcW w:w="1798"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нет</w:t>
            </w:r>
          </w:p>
        </w:tc>
        <w:tc>
          <w:tcPr>
            <w:tcW w:w="173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0"/>
              <w:jc w:val="center"/>
              <w:rPr>
                <w:b/>
                <w:b/>
                <w:sz w:val="20"/>
                <w:szCs w:val="20"/>
              </w:rPr>
            </w:pPr>
            <w:r>
              <w:rPr>
                <w:sz w:val="20"/>
                <w:szCs w:val="20"/>
              </w:rPr>
              <w:t>нет</w:t>
            </w:r>
          </w:p>
        </w:tc>
        <w:tc>
          <w:tcPr>
            <w:tcW w:w="1527"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нет</w:t>
            </w:r>
          </w:p>
        </w:tc>
        <w:tc>
          <w:tcPr>
            <w:tcW w:w="1697"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нет</w:t>
            </w:r>
          </w:p>
        </w:tc>
      </w:tr>
      <w:tr>
        <w:trPr/>
        <w:tc>
          <w:tcPr>
            <w:tcW w:w="3164"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33 /55</w:t>
            </w:r>
          </w:p>
        </w:tc>
        <w:tc>
          <w:tcPr>
            <w:tcW w:w="1798"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167</w:t>
            </w:r>
          </w:p>
        </w:tc>
        <w:tc>
          <w:tcPr>
            <w:tcW w:w="173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90</w:t>
            </w:r>
          </w:p>
        </w:tc>
        <w:tc>
          <w:tcPr>
            <w:tcW w:w="1527"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нет</w:t>
            </w:r>
          </w:p>
        </w:tc>
        <w:tc>
          <w:tcPr>
            <w:tcW w:w="1697"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нет</w:t>
            </w:r>
          </w:p>
        </w:tc>
      </w:tr>
      <w:tr>
        <w:trPr/>
        <w:tc>
          <w:tcPr>
            <w:tcW w:w="3164"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25/24</w:t>
            </w:r>
          </w:p>
        </w:tc>
        <w:tc>
          <w:tcPr>
            <w:tcW w:w="1798"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247</w:t>
            </w:r>
          </w:p>
        </w:tc>
        <w:tc>
          <w:tcPr>
            <w:tcW w:w="173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50</w:t>
            </w:r>
          </w:p>
        </w:tc>
        <w:tc>
          <w:tcPr>
            <w:tcW w:w="1527"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260</w:t>
            </w:r>
          </w:p>
        </w:tc>
        <w:tc>
          <w:tcPr>
            <w:tcW w:w="1697"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50</w:t>
            </w:r>
          </w:p>
        </w:tc>
      </w:tr>
      <w:tr>
        <w:trPr/>
        <w:tc>
          <w:tcPr>
            <w:tcW w:w="3164"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4/16</w:t>
            </w:r>
          </w:p>
        </w:tc>
        <w:tc>
          <w:tcPr>
            <w:tcW w:w="1798"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1 098</w:t>
            </w:r>
          </w:p>
        </w:tc>
        <w:tc>
          <w:tcPr>
            <w:tcW w:w="173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10</w:t>
            </w:r>
          </w:p>
        </w:tc>
        <w:tc>
          <w:tcPr>
            <w:tcW w:w="1527"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393</w:t>
            </w:r>
          </w:p>
        </w:tc>
        <w:tc>
          <w:tcPr>
            <w:tcW w:w="1697"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10</w:t>
            </w:r>
          </w:p>
        </w:tc>
      </w:tr>
      <w:tr>
        <w:trPr/>
        <w:tc>
          <w:tcPr>
            <w:tcW w:w="3164"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2/5</w:t>
            </w:r>
          </w:p>
        </w:tc>
        <w:tc>
          <w:tcPr>
            <w:tcW w:w="1798"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1 976</w:t>
            </w:r>
          </w:p>
        </w:tc>
        <w:tc>
          <w:tcPr>
            <w:tcW w:w="1735"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1</w:t>
            </w:r>
          </w:p>
        </w:tc>
        <w:tc>
          <w:tcPr>
            <w:tcW w:w="1527"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918</w:t>
            </w:r>
          </w:p>
        </w:tc>
        <w:tc>
          <w:tcPr>
            <w:tcW w:w="1697"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lineRule="auto" w:line="240"/>
              <w:jc w:val="center"/>
              <w:rPr>
                <w:sz w:val="20"/>
                <w:szCs w:val="20"/>
              </w:rPr>
            </w:pPr>
            <w:r>
              <w:rPr>
                <w:sz w:val="20"/>
                <w:szCs w:val="20"/>
              </w:rPr>
              <w:t>1</w:t>
            </w:r>
          </w:p>
        </w:tc>
      </w:tr>
    </w:tbl>
    <w:p>
      <w:pPr>
        <w:pStyle w:val="Normal"/>
        <w:suppressAutoHyphens w:val="true"/>
        <w:spacing w:lineRule="auto" w:line="276" w:before="120" w:after="200"/>
        <w:ind w:firstLine="567"/>
        <w:jc w:val="right"/>
        <w:rPr>
          <w:lang w:eastAsia="ar-SA"/>
        </w:rPr>
      </w:pPr>
      <w:r>
        <w:rPr>
          <w:lang w:eastAsia="ar-SA"/>
        </w:rPr>
      </w:r>
      <w:r>
        <w:br w:type="page"/>
      </w:r>
    </w:p>
    <w:p>
      <w:pPr>
        <w:pStyle w:val="Normal"/>
        <w:suppressAutoHyphens w:val="true"/>
        <w:spacing w:lineRule="auto" w:line="276" w:before="120" w:after="200"/>
        <w:ind w:firstLine="567"/>
        <w:jc w:val="right"/>
        <w:rPr>
          <w:lang w:eastAsia="ar-SA"/>
        </w:rPr>
      </w:pPr>
      <w:r>
        <w:rPr>
          <w:lang w:eastAsia="ar-SA"/>
        </w:rPr>
        <w:t>Таблица 5.7</w:t>
      </w:r>
    </w:p>
    <w:p>
      <w:pPr>
        <w:pStyle w:val="Normal"/>
        <w:suppressAutoHyphens w:val="true"/>
        <w:spacing w:lineRule="auto" w:line="276"/>
        <w:jc w:val="center"/>
        <w:rPr>
          <w:lang w:eastAsia="ar-SA"/>
        </w:rPr>
      </w:pPr>
      <w:r>
        <w:rPr>
          <w:lang w:eastAsia="ar-SA"/>
        </w:rPr>
        <w:t>Характеристики зон поражения при авариях с ГСМ и СУГ</w:t>
      </w:r>
    </w:p>
    <w:tbl>
      <w:tblPr>
        <w:tblW w:w="5000" w:type="pct"/>
        <w:jc w:val="center"/>
        <w:tblInd w:w="0" w:type="dxa"/>
        <w:tblCellMar>
          <w:top w:w="0" w:type="dxa"/>
          <w:left w:w="108" w:type="dxa"/>
          <w:bottom w:w="0" w:type="dxa"/>
          <w:right w:w="108" w:type="dxa"/>
        </w:tblCellMar>
        <w:tblLook w:firstRow="0" w:noVBand="0" w:lastRow="0" w:firstColumn="0" w:lastColumn="0" w:noHBand="0" w:val="0000"/>
      </w:tblPr>
      <w:tblGrid>
        <w:gridCol w:w="7516"/>
        <w:gridCol w:w="1291"/>
        <w:gridCol w:w="1114"/>
      </w:tblGrid>
      <w:tr>
        <w:trPr>
          <w:trHeight w:val="20" w:hRule="atLeast"/>
        </w:trPr>
        <w:tc>
          <w:tcPr>
            <w:tcW w:w="7516" w:type="dxa"/>
            <w:vMerge w:val="restart"/>
            <w:tcBorders>
              <w:top w:val="single" w:sz="4" w:space="0" w:color="000000"/>
              <w:left w:val="single" w:sz="4" w:space="0" w:color="000000"/>
              <w:bottom w:val="single" w:sz="6" w:space="0" w:color="000000"/>
              <w:right w:val="single" w:sz="6" w:space="0" w:color="000000"/>
            </w:tcBorders>
            <w:vAlign w:val="center"/>
          </w:tcPr>
          <w:p>
            <w:pPr>
              <w:pStyle w:val="Normal"/>
              <w:widowControl w:val="false"/>
              <w:tabs>
                <w:tab w:val="clear" w:pos="708"/>
                <w:tab w:val="left" w:pos="1230" w:leader="none"/>
              </w:tabs>
              <w:spacing w:lineRule="auto" w:line="240"/>
              <w:ind w:firstLine="34"/>
              <w:jc w:val="center"/>
              <w:rPr>
                <w:b/>
                <w:b/>
                <w:sz w:val="20"/>
                <w:szCs w:val="20"/>
              </w:rPr>
            </w:pPr>
            <w:r>
              <w:rPr>
                <w:b/>
                <w:sz w:val="20"/>
                <w:szCs w:val="20"/>
              </w:rPr>
              <w:t>Параметры</w:t>
            </w:r>
          </w:p>
        </w:tc>
        <w:tc>
          <w:tcPr>
            <w:tcW w:w="2405" w:type="dxa"/>
            <w:gridSpan w:val="2"/>
            <w:tcBorders>
              <w:top w:val="single" w:sz="4" w:space="0" w:color="000000"/>
              <w:left w:val="single" w:sz="6" w:space="0" w:color="000000"/>
              <w:bottom w:val="single" w:sz="6" w:space="0" w:color="000000"/>
              <w:right w:val="single" w:sz="4" w:space="0" w:color="000000"/>
            </w:tcBorders>
            <w:vAlign w:val="center"/>
          </w:tcPr>
          <w:p>
            <w:pPr>
              <w:pStyle w:val="Normal"/>
              <w:widowControl w:val="false"/>
              <w:tabs>
                <w:tab w:val="clear" w:pos="708"/>
                <w:tab w:val="left" w:pos="1230" w:leader="none"/>
              </w:tabs>
              <w:spacing w:lineRule="auto" w:line="240"/>
              <w:ind w:firstLine="34"/>
              <w:jc w:val="center"/>
              <w:rPr>
                <w:b/>
                <w:b/>
                <w:sz w:val="20"/>
                <w:szCs w:val="20"/>
              </w:rPr>
            </w:pPr>
            <w:r>
              <w:rPr>
                <w:b/>
                <w:sz w:val="20"/>
                <w:szCs w:val="20"/>
              </w:rPr>
              <w:t>а/д. цистерна</w:t>
            </w:r>
          </w:p>
        </w:tc>
      </w:tr>
      <w:tr>
        <w:trPr>
          <w:trHeight w:val="20" w:hRule="atLeast"/>
        </w:trPr>
        <w:tc>
          <w:tcPr>
            <w:tcW w:w="7516" w:type="dxa"/>
            <w:vMerge w:val="continue"/>
            <w:tcBorders>
              <w:top w:val="single" w:sz="6" w:space="0" w:color="000000"/>
              <w:left w:val="single" w:sz="4" w:space="0" w:color="000000"/>
              <w:right w:val="single" w:sz="6" w:space="0" w:color="000000"/>
            </w:tcBorders>
            <w:vAlign w:val="center"/>
          </w:tcPr>
          <w:p>
            <w:pPr>
              <w:pStyle w:val="Normal"/>
              <w:widowControl w:val="false"/>
              <w:tabs>
                <w:tab w:val="clear" w:pos="708"/>
                <w:tab w:val="left" w:pos="1230" w:leader="none"/>
              </w:tabs>
              <w:spacing w:lineRule="auto" w:line="240"/>
              <w:ind w:firstLine="34"/>
              <w:jc w:val="center"/>
              <w:rPr>
                <w:b/>
                <w:b/>
                <w:sz w:val="20"/>
                <w:szCs w:val="20"/>
              </w:rPr>
            </w:pPr>
            <w:r>
              <w:rPr>
                <w:b/>
                <w:sz w:val="20"/>
                <w:szCs w:val="20"/>
              </w:rPr>
            </w:r>
          </w:p>
        </w:tc>
        <w:tc>
          <w:tcPr>
            <w:tcW w:w="1291" w:type="dxa"/>
            <w:tcBorders>
              <w:top w:val="single" w:sz="6" w:space="0" w:color="000000"/>
              <w:left w:val="single" w:sz="6" w:space="0" w:color="000000"/>
              <w:right w:val="single" w:sz="6" w:space="0" w:color="000000"/>
            </w:tcBorders>
            <w:vAlign w:val="center"/>
          </w:tcPr>
          <w:p>
            <w:pPr>
              <w:pStyle w:val="Normal"/>
              <w:widowControl w:val="false"/>
              <w:tabs>
                <w:tab w:val="clear" w:pos="708"/>
                <w:tab w:val="left" w:pos="1230" w:leader="none"/>
              </w:tabs>
              <w:spacing w:lineRule="auto" w:line="240"/>
              <w:ind w:firstLine="34"/>
              <w:jc w:val="center"/>
              <w:rPr>
                <w:b/>
                <w:b/>
                <w:sz w:val="20"/>
                <w:szCs w:val="20"/>
              </w:rPr>
            </w:pPr>
            <w:r>
              <w:rPr>
                <w:b/>
                <w:sz w:val="20"/>
                <w:szCs w:val="20"/>
              </w:rPr>
              <w:t>ГСМ</w:t>
            </w:r>
          </w:p>
        </w:tc>
        <w:tc>
          <w:tcPr>
            <w:tcW w:w="1114" w:type="dxa"/>
            <w:tcBorders>
              <w:top w:val="single" w:sz="6" w:space="0" w:color="000000"/>
              <w:left w:val="single" w:sz="6" w:space="0" w:color="000000"/>
              <w:right w:val="single" w:sz="4" w:space="0" w:color="000000"/>
            </w:tcBorders>
            <w:vAlign w:val="center"/>
          </w:tcPr>
          <w:p>
            <w:pPr>
              <w:pStyle w:val="Normal"/>
              <w:widowControl w:val="false"/>
              <w:tabs>
                <w:tab w:val="clear" w:pos="708"/>
                <w:tab w:val="left" w:pos="1230" w:leader="none"/>
              </w:tabs>
              <w:spacing w:lineRule="auto" w:line="240"/>
              <w:ind w:firstLine="34"/>
              <w:jc w:val="center"/>
              <w:rPr>
                <w:b/>
                <w:b/>
                <w:sz w:val="20"/>
                <w:szCs w:val="20"/>
              </w:rPr>
            </w:pPr>
            <w:r>
              <w:rPr>
                <w:b/>
                <w:sz w:val="20"/>
                <w:szCs w:val="20"/>
              </w:rPr>
              <w:t>СУГ</w:t>
            </w:r>
          </w:p>
        </w:tc>
      </w:tr>
    </w:tbl>
    <w:p>
      <w:pPr>
        <w:pStyle w:val="Normal"/>
        <w:suppressAutoHyphens w:val="true"/>
        <w:spacing w:lineRule="auto" w:line="12"/>
        <w:ind w:firstLine="567"/>
        <w:jc w:val="center"/>
        <w:rPr>
          <w:lang w:eastAsia="ar-SA"/>
        </w:rPr>
      </w:pPr>
      <w:r>
        <w:rPr>
          <w:lang w:eastAsia="ar-SA"/>
        </w:rPr>
      </w:r>
    </w:p>
    <w:tbl>
      <w:tblPr>
        <w:tblW w:w="5000" w:type="pct"/>
        <w:jc w:val="center"/>
        <w:tblInd w:w="0" w:type="dxa"/>
        <w:tblCellMar>
          <w:top w:w="0" w:type="dxa"/>
          <w:left w:w="108" w:type="dxa"/>
          <w:bottom w:w="0" w:type="dxa"/>
          <w:right w:w="108" w:type="dxa"/>
        </w:tblCellMar>
        <w:tblLook w:firstRow="0" w:noVBand="0" w:lastRow="0" w:firstColumn="0" w:lastColumn="0" w:noHBand="0" w:val="0000"/>
      </w:tblPr>
      <w:tblGrid>
        <w:gridCol w:w="7515"/>
        <w:gridCol w:w="1275"/>
        <w:gridCol w:w="1131"/>
      </w:tblGrid>
      <w:tr>
        <w:trPr>
          <w:tblHeader w:val="true"/>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b/>
                <w:b/>
                <w:sz w:val="20"/>
                <w:szCs w:val="20"/>
              </w:rPr>
            </w:pPr>
            <w:r>
              <w:rPr>
                <w:b/>
                <w:sz w:val="20"/>
                <w:szCs w:val="20"/>
              </w:rPr>
              <w:t>1</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b/>
                <w:b/>
                <w:sz w:val="20"/>
                <w:szCs w:val="20"/>
              </w:rPr>
            </w:pPr>
            <w:r>
              <w:rPr>
                <w:b/>
                <w:sz w:val="20"/>
                <w:szCs w:val="20"/>
              </w:rPr>
              <w:t>2</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b/>
                <w:b/>
                <w:sz w:val="20"/>
                <w:szCs w:val="20"/>
              </w:rPr>
            </w:pPr>
            <w:r>
              <w:rPr>
                <w:b/>
                <w:sz w:val="20"/>
                <w:szCs w:val="20"/>
              </w:rPr>
              <w:t>3</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Объем резервуара, м</w:t>
            </w:r>
            <w:r>
              <w:rPr>
                <w:sz w:val="20"/>
                <w:szCs w:val="20"/>
                <w:vertAlign w:val="superscript"/>
              </w:rPr>
              <w:t>3</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8</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14,5</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Разрушение емкости с уровнем заполнения, %</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95</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85</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Масса топлива в разлитии, т</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5,85</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9,64</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Эквивалентный радиус разлития, м</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7</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9,4</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Площадь разлития, м</w:t>
            </w:r>
            <w:r>
              <w:rPr>
                <w:sz w:val="20"/>
                <w:szCs w:val="20"/>
                <w:vertAlign w:val="superscript"/>
              </w:rPr>
              <w:t>2</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152</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275,5</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Доля топлива, участвующая в образовании ГВС</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0,02</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0,7</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Масса топлива в ГВС, т</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0,12</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6,75</w:t>
            </w:r>
          </w:p>
        </w:tc>
      </w:tr>
      <w:tr>
        <w:trPr>
          <w:trHeight w:val="20" w:hRule="atLeast"/>
        </w:trPr>
        <w:tc>
          <w:tcPr>
            <w:tcW w:w="9921" w:type="dxa"/>
            <w:gridSpan w:val="3"/>
            <w:tcBorders>
              <w:top w:val="single" w:sz="6" w:space="0" w:color="000000"/>
              <w:left w:val="single" w:sz="4"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rPr>
                <w:b/>
                <w:b/>
                <w:i/>
                <w:i/>
                <w:sz w:val="20"/>
                <w:szCs w:val="20"/>
              </w:rPr>
            </w:pPr>
            <w:r>
              <w:rPr>
                <w:b/>
                <w:i/>
                <w:sz w:val="20"/>
                <w:szCs w:val="20"/>
              </w:rPr>
              <w:t>Зоны воздействия ударной волны на промышленные объекты и людей</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Зона полных разрушений, м</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14</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53</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Зона сильных разрушений, м</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27</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107</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Зона средних разрушений, м</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63</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247</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Зона слабых разрушений, м</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155</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609</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Зона расстекления (50 %), м</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185</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723</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Порог поражения 99 % людей, м</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14</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53</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Порог поражения людей (контузия), м</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21</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84</w:t>
            </w:r>
          </w:p>
        </w:tc>
      </w:tr>
      <w:tr>
        <w:trPr>
          <w:trHeight w:val="20" w:hRule="atLeast"/>
        </w:trPr>
        <w:tc>
          <w:tcPr>
            <w:tcW w:w="9921" w:type="dxa"/>
            <w:gridSpan w:val="3"/>
            <w:tcBorders>
              <w:top w:val="single" w:sz="6" w:space="0" w:color="000000"/>
              <w:left w:val="single" w:sz="4"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rPr>
                <w:sz w:val="20"/>
                <w:szCs w:val="20"/>
              </w:rPr>
            </w:pPr>
            <w:r>
              <w:rPr>
                <w:b/>
                <w:i/>
                <w:sz w:val="20"/>
                <w:szCs w:val="20"/>
              </w:rPr>
              <w:t>Параметры огневого шара (пламени вспышки)</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Радиус огневого шара (пламени вспышки) ОШ(ПВ), м</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12,7</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47,6</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Время существования ОШ(ПВ), с</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2,6</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7</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Скорость распространения пламени, м/с</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30</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59</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Величина воздействия теплового потока на здания и сооружения на кромке ОШ(ПВ), кВт/м</w:t>
            </w:r>
            <w:r>
              <w:rPr>
                <w:sz w:val="20"/>
                <w:szCs w:val="20"/>
                <w:vertAlign w:val="superscript"/>
              </w:rPr>
              <w:t>2</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130</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220</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Индекс теплового излучения на кромке ОШ(ПВ)</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1691</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7879</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Доля людей, поражаемых на кромке ОШ(ПВ), %</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0</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0</w:t>
            </w:r>
          </w:p>
        </w:tc>
      </w:tr>
      <w:tr>
        <w:trPr>
          <w:trHeight w:val="20" w:hRule="atLeast"/>
        </w:trPr>
        <w:tc>
          <w:tcPr>
            <w:tcW w:w="9921" w:type="dxa"/>
            <w:gridSpan w:val="3"/>
            <w:tcBorders>
              <w:top w:val="single" w:sz="6" w:space="0" w:color="000000"/>
              <w:left w:val="single" w:sz="4"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rPr>
                <w:sz w:val="20"/>
                <w:szCs w:val="20"/>
              </w:rPr>
            </w:pPr>
            <w:r>
              <w:rPr>
                <w:b/>
                <w:i/>
                <w:sz w:val="20"/>
                <w:szCs w:val="20"/>
              </w:rPr>
              <w:t>Параметры горения разлития</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Ориентировочное время выгорания, минут: секунд</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16:44</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30:21</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Величина воздействия теплового потока на здания, сооружения и людей на кромке разлития, кВт/м</w:t>
            </w:r>
            <w:r>
              <w:rPr>
                <w:sz w:val="20"/>
                <w:szCs w:val="20"/>
                <w:vertAlign w:val="superscript"/>
              </w:rPr>
              <w:t>2</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104</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200</w:t>
            </w:r>
          </w:p>
        </w:tc>
      </w:tr>
      <w:tr>
        <w:trPr>
          <w:trHeight w:val="20" w:hRule="atLeast"/>
        </w:trPr>
        <w:tc>
          <w:tcPr>
            <w:tcW w:w="7515" w:type="dxa"/>
            <w:tcBorders>
              <w:top w:val="single" w:sz="6" w:space="0" w:color="000000"/>
              <w:left w:val="single" w:sz="4"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Индекс теплового излучения на кромке горящего разлития</w:t>
            </w:r>
          </w:p>
        </w:tc>
        <w:tc>
          <w:tcPr>
            <w:tcW w:w="1275" w:type="dxa"/>
            <w:tcBorders>
              <w:top w:val="single" w:sz="6" w:space="0" w:color="000000"/>
              <w:left w:val="single" w:sz="6" w:space="0" w:color="000000"/>
              <w:bottom w:val="single" w:sz="6"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29345</w:t>
            </w:r>
          </w:p>
        </w:tc>
        <w:tc>
          <w:tcPr>
            <w:tcW w:w="1131" w:type="dxa"/>
            <w:tcBorders>
              <w:top w:val="single" w:sz="6" w:space="0" w:color="000000"/>
              <w:left w:val="single" w:sz="6" w:space="0" w:color="000000"/>
              <w:bottom w:val="single" w:sz="6"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47650</w:t>
            </w:r>
          </w:p>
        </w:tc>
      </w:tr>
      <w:tr>
        <w:trPr>
          <w:trHeight w:val="20" w:hRule="atLeast"/>
        </w:trPr>
        <w:tc>
          <w:tcPr>
            <w:tcW w:w="7515" w:type="dxa"/>
            <w:tcBorders>
              <w:top w:val="single" w:sz="6" w:space="0" w:color="000000"/>
              <w:left w:val="single" w:sz="4" w:space="0" w:color="000000"/>
              <w:bottom w:val="single" w:sz="4" w:space="0" w:color="000000"/>
              <w:right w:val="single" w:sz="6" w:space="0" w:color="000000"/>
            </w:tcBorders>
          </w:tcPr>
          <w:p>
            <w:pPr>
              <w:pStyle w:val="Normal"/>
              <w:widowControl w:val="false"/>
              <w:tabs>
                <w:tab w:val="clear" w:pos="708"/>
                <w:tab w:val="left" w:pos="1230" w:leader="none"/>
              </w:tabs>
              <w:spacing w:lineRule="auto" w:line="240"/>
              <w:ind w:firstLine="34"/>
              <w:rPr>
                <w:sz w:val="20"/>
                <w:szCs w:val="20"/>
              </w:rPr>
            </w:pPr>
            <w:r>
              <w:rPr>
                <w:sz w:val="20"/>
                <w:szCs w:val="20"/>
              </w:rPr>
              <w:t>Доля людей, поражаемых на кромке горения разлития, %</w:t>
            </w:r>
          </w:p>
        </w:tc>
        <w:tc>
          <w:tcPr>
            <w:tcW w:w="1275" w:type="dxa"/>
            <w:tcBorders>
              <w:top w:val="single" w:sz="6" w:space="0" w:color="000000"/>
              <w:left w:val="single" w:sz="6" w:space="0" w:color="000000"/>
              <w:bottom w:val="single" w:sz="4" w:space="0" w:color="000000"/>
              <w:right w:val="single" w:sz="6"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79</w:t>
            </w:r>
          </w:p>
        </w:tc>
        <w:tc>
          <w:tcPr>
            <w:tcW w:w="1131" w:type="dxa"/>
            <w:tcBorders>
              <w:top w:val="single" w:sz="6" w:space="0" w:color="000000"/>
              <w:left w:val="single" w:sz="6" w:space="0" w:color="000000"/>
              <w:bottom w:val="single" w:sz="4" w:space="0" w:color="000000"/>
              <w:right w:val="single" w:sz="4" w:space="0" w:color="000000"/>
            </w:tcBorders>
          </w:tcPr>
          <w:p>
            <w:pPr>
              <w:pStyle w:val="Normal"/>
              <w:widowControl w:val="false"/>
              <w:tabs>
                <w:tab w:val="clear" w:pos="708"/>
                <w:tab w:val="left" w:pos="1230" w:leader="none"/>
              </w:tabs>
              <w:spacing w:lineRule="auto" w:line="240"/>
              <w:ind w:firstLine="34"/>
              <w:jc w:val="center"/>
              <w:rPr>
                <w:sz w:val="20"/>
                <w:szCs w:val="20"/>
              </w:rPr>
            </w:pPr>
            <w:r>
              <w:rPr>
                <w:sz w:val="20"/>
                <w:szCs w:val="20"/>
              </w:rPr>
              <w:t>100</w:t>
            </w:r>
          </w:p>
        </w:tc>
      </w:tr>
    </w:tbl>
    <w:p>
      <w:pPr>
        <w:pStyle w:val="Normal"/>
        <w:suppressAutoHyphens w:val="true"/>
        <w:spacing w:lineRule="auto" w:line="276" w:before="120" w:after="200"/>
        <w:ind w:firstLine="709"/>
        <w:rPr>
          <w:lang w:eastAsia="ar-SA"/>
        </w:rPr>
      </w:pPr>
      <w:r>
        <w:rPr>
          <w:lang w:eastAsia="ar-SA"/>
        </w:rPr>
        <w:t>Вывод по результатам расчетов:</w:t>
      </w:r>
    </w:p>
    <w:p>
      <w:pPr>
        <w:pStyle w:val="Normal"/>
        <w:numPr>
          <w:ilvl w:val="0"/>
          <w:numId w:val="47"/>
        </w:numPr>
        <w:suppressAutoHyphens w:val="true"/>
        <w:spacing w:lineRule="auto" w:line="276" w:before="0" w:after="200"/>
        <w:ind w:left="0" w:firstLine="426"/>
        <w:contextualSpacing/>
        <w:rPr>
          <w:lang w:eastAsia="ar-SA"/>
        </w:rPr>
      </w:pPr>
      <w:r>
        <w:rPr>
          <w:lang w:eastAsia="ar-SA"/>
        </w:rPr>
        <w:t>при рассмотренных сценариях аварий c пожаром пролива ЛВЖ и СУГ при разгерметизации емкостей транспортировки на автомагистрали зоны действия наиболее опасных поражающих факторов ЧС не выходят за границы полосы отвода автомагистрали;</w:t>
      </w:r>
    </w:p>
    <w:p>
      <w:pPr>
        <w:pStyle w:val="Normal"/>
        <w:numPr>
          <w:ilvl w:val="0"/>
          <w:numId w:val="47"/>
        </w:numPr>
        <w:suppressAutoHyphens w:val="true"/>
        <w:spacing w:lineRule="auto" w:line="276" w:before="0" w:after="200"/>
        <w:ind w:left="0" w:firstLine="426"/>
        <w:contextualSpacing/>
        <w:rPr>
          <w:lang w:eastAsia="ar-SA"/>
        </w:rPr>
      </w:pPr>
      <w:r>
        <w:rPr>
          <w:lang w:eastAsia="ar-SA"/>
        </w:rPr>
        <w:t xml:space="preserve">при рассмотренных сценариях аварий с взрывом ТВС возможно поражение различной степени тяжести людей, зданий, инженерных сооружений и технологического оборудования: </w:t>
      </w:r>
    </w:p>
    <w:p>
      <w:pPr>
        <w:pStyle w:val="Normal"/>
        <w:numPr>
          <w:ilvl w:val="0"/>
          <w:numId w:val="48"/>
        </w:numPr>
        <w:tabs>
          <w:tab w:val="clear" w:pos="708"/>
          <w:tab w:val="left" w:pos="851" w:leader="none"/>
        </w:tabs>
        <w:suppressAutoHyphens w:val="true"/>
        <w:spacing w:lineRule="auto" w:line="276" w:before="0" w:after="200"/>
        <w:ind w:left="0" w:firstLine="567"/>
        <w:contextualSpacing/>
        <w:rPr>
          <w:lang w:eastAsia="ar-SA"/>
        </w:rPr>
      </w:pPr>
      <w:r>
        <w:rPr>
          <w:lang w:eastAsia="ar-SA"/>
        </w:rPr>
        <w:t>Площадь пожара — 118,8 м</w:t>
      </w:r>
      <w:r>
        <w:rPr>
          <w:vertAlign w:val="superscript"/>
          <w:lang w:eastAsia="ar-SA"/>
        </w:rPr>
        <w:t>2</w:t>
      </w:r>
      <w:r>
        <w:rPr>
          <w:lang w:eastAsia="ar-SA"/>
        </w:rPr>
        <w:t>.</w:t>
      </w:r>
    </w:p>
    <w:p>
      <w:pPr>
        <w:pStyle w:val="Normal"/>
        <w:numPr>
          <w:ilvl w:val="0"/>
          <w:numId w:val="48"/>
        </w:numPr>
        <w:tabs>
          <w:tab w:val="clear" w:pos="708"/>
          <w:tab w:val="left" w:pos="851" w:leader="none"/>
        </w:tabs>
        <w:suppressAutoHyphens w:val="true"/>
        <w:spacing w:lineRule="auto" w:line="276" w:before="0" w:after="200"/>
        <w:ind w:left="0" w:firstLine="567"/>
        <w:contextualSpacing/>
        <w:rPr>
          <w:lang w:eastAsia="ar-SA"/>
        </w:rPr>
      </w:pPr>
      <w:r>
        <w:rPr>
          <w:lang w:eastAsia="ar-SA"/>
        </w:rPr>
        <w:t>Граница порога поражения людей на открытой местности — 92 м.</w:t>
      </w:r>
    </w:p>
    <w:p>
      <w:pPr>
        <w:pStyle w:val="Normal"/>
        <w:numPr>
          <w:ilvl w:val="0"/>
          <w:numId w:val="48"/>
        </w:numPr>
        <w:tabs>
          <w:tab w:val="clear" w:pos="708"/>
          <w:tab w:val="left" w:pos="851" w:leader="none"/>
        </w:tabs>
        <w:suppressAutoHyphens w:val="true"/>
        <w:spacing w:lineRule="auto" w:line="276" w:before="0" w:after="200"/>
        <w:ind w:left="0" w:firstLine="567"/>
        <w:contextualSpacing/>
        <w:rPr>
          <w:lang w:eastAsia="ar-SA"/>
        </w:rPr>
      </w:pPr>
      <w:r>
        <w:rPr>
          <w:lang w:eastAsia="ar-SA"/>
        </w:rPr>
        <w:t>Радиус полных разрушений зданий — 41,0 м.</w:t>
      </w:r>
    </w:p>
    <w:p>
      <w:pPr>
        <w:pStyle w:val="Normal"/>
        <w:numPr>
          <w:ilvl w:val="0"/>
          <w:numId w:val="48"/>
        </w:numPr>
        <w:tabs>
          <w:tab w:val="clear" w:pos="708"/>
          <w:tab w:val="left" w:pos="851" w:leader="none"/>
        </w:tabs>
        <w:suppressAutoHyphens w:val="true"/>
        <w:spacing w:lineRule="auto" w:line="276" w:before="0" w:after="200"/>
        <w:ind w:left="0" w:firstLine="567"/>
        <w:contextualSpacing/>
        <w:rPr>
          <w:lang w:eastAsia="ar-SA"/>
        </w:rPr>
      </w:pPr>
      <w:r>
        <w:rPr>
          <w:lang w:eastAsia="ar-SA"/>
        </w:rPr>
        <w:t>Численность населения, у которого могут быть нарушены условия жизнедеятельности — 5 человек.</w:t>
      </w:r>
    </w:p>
    <w:p>
      <w:pPr>
        <w:pStyle w:val="Normal"/>
        <w:numPr>
          <w:ilvl w:val="0"/>
          <w:numId w:val="48"/>
        </w:numPr>
        <w:tabs>
          <w:tab w:val="clear" w:pos="708"/>
          <w:tab w:val="left" w:pos="851" w:leader="none"/>
        </w:tabs>
        <w:suppressAutoHyphens w:val="true"/>
        <w:spacing w:lineRule="auto" w:line="276" w:before="0" w:after="200"/>
        <w:ind w:left="0" w:firstLine="567"/>
        <w:contextualSpacing/>
        <w:rPr>
          <w:lang w:eastAsia="ar-SA"/>
        </w:rPr>
      </w:pPr>
      <w:r>
        <w:rPr>
          <w:lang w:eastAsia="ar-SA"/>
        </w:rPr>
        <w:t>Возможное число погибших — 1 человек, пострадавших — 5 человек.</w:t>
      </w:r>
    </w:p>
    <w:p>
      <w:pPr>
        <w:pStyle w:val="Normal"/>
        <w:spacing w:lineRule="auto" w:line="276"/>
        <w:ind w:firstLine="709"/>
        <w:rPr>
          <w:b/>
          <w:b/>
          <w:szCs w:val="24"/>
        </w:rPr>
      </w:pPr>
      <w:r>
        <w:rPr>
          <w:b/>
          <w:szCs w:val="24"/>
        </w:rPr>
        <w:t xml:space="preserve">Опасность возникновения ЧС на объектах ЖКХ </w:t>
      </w:r>
    </w:p>
    <w:p>
      <w:pPr>
        <w:pStyle w:val="Normal"/>
        <w:spacing w:lineRule="auto" w:line="276"/>
        <w:ind w:firstLine="709"/>
        <w:rPr>
          <w:szCs w:val="24"/>
        </w:rPr>
      </w:pPr>
      <w:r>
        <w:rPr>
          <w:szCs w:val="24"/>
        </w:rPr>
        <w:t xml:space="preserve">Аварий на системах ЖКХ, способных достигнуть масштабов ЧС локального уровня, не прогнозируется. Но существует вероятность возникновения в зимнее время года аварийных ситуаций на теплотрассах, нарушений работы коммунальных систем, связанных с большой изношенностью коммуникационных систем ЖКХ, перегрузкой оборудования в период сильных морозов и сильной жары, связанной с дополнительным использованием населением кондиционеров или отопительных приборов, низкими температурами воздуха, человеческим фактором. </w:t>
      </w:r>
    </w:p>
    <w:p>
      <w:pPr>
        <w:pStyle w:val="Normal"/>
        <w:spacing w:lineRule="auto" w:line="276"/>
        <w:ind w:firstLine="709"/>
        <w:rPr>
          <w:szCs w:val="24"/>
          <w:u w:val="single"/>
        </w:rPr>
      </w:pPr>
      <w:r>
        <w:rPr>
          <w:szCs w:val="24"/>
          <w:u w:val="single"/>
        </w:rPr>
        <w:t>Риски возникновения аварий на электросетях</w:t>
      </w:r>
    </w:p>
    <w:p>
      <w:pPr>
        <w:pStyle w:val="Normal"/>
        <w:spacing w:lineRule="auto" w:line="276"/>
        <w:ind w:firstLine="709"/>
        <w:rPr>
          <w:szCs w:val="24"/>
        </w:rPr>
      </w:pPr>
      <w:r>
        <w:rPr>
          <w:szCs w:val="24"/>
        </w:rPr>
        <w:t>Наибольший риск возникновения аварий и происшествий на объектах электроснабжения ожидается населенных пунктах, связанный со значительным возрастанием нагрузок на системы электроснабжения в холодное время года, тяжелыми условиями эксплуатации технологического оборудования, человеческим фактором.</w:t>
      </w:r>
    </w:p>
    <w:p>
      <w:pPr>
        <w:pStyle w:val="Normal"/>
        <w:spacing w:lineRule="auto" w:line="276"/>
        <w:ind w:firstLine="709"/>
        <w:rPr>
          <w:rFonts w:eastAsia="Times New Roman"/>
          <w:szCs w:val="24"/>
          <w:lang w:eastAsia="ru-RU"/>
        </w:rPr>
      </w:pPr>
      <w:r>
        <w:rPr>
          <w:rFonts w:eastAsia="Times New Roman"/>
          <w:szCs w:val="24"/>
          <w:lang w:eastAsia="ru-RU"/>
        </w:rPr>
        <w:t>На электрических сетях возможны такие аварийные ситуации как обрыв проводов, повреждение опор, железобетонных приставок, выходов из строя основного трансформатора, неисправность разъединителей, пробой изоляторов 10 кВ, повреждение КТП 10/0,4 кВ.</w:t>
      </w:r>
    </w:p>
    <w:p>
      <w:pPr>
        <w:pStyle w:val="Normal"/>
        <w:spacing w:lineRule="auto" w:line="276"/>
        <w:ind w:firstLine="709"/>
        <w:rPr>
          <w:rFonts w:eastAsia="Times New Roman"/>
          <w:szCs w:val="24"/>
          <w:lang w:eastAsia="ru-RU"/>
        </w:rPr>
      </w:pPr>
      <w:r>
        <w:rPr>
          <w:rFonts w:eastAsia="Times New Roman"/>
          <w:szCs w:val="24"/>
          <w:lang w:eastAsia="ru-RU"/>
        </w:rPr>
        <w:t>За последних пять лет серьезных аварий на электрических сетях не произошло.</w:t>
      </w:r>
    </w:p>
    <w:p>
      <w:pPr>
        <w:pStyle w:val="Normal"/>
        <w:spacing w:lineRule="auto" w:line="276"/>
        <w:ind w:firstLine="709"/>
        <w:rPr>
          <w:rFonts w:eastAsia="Times New Roman"/>
          <w:szCs w:val="24"/>
          <w:lang w:eastAsia="ru-RU"/>
        </w:rPr>
      </w:pPr>
      <w:r>
        <w:rPr>
          <w:rFonts w:eastAsia="Times New Roman"/>
          <w:szCs w:val="24"/>
          <w:lang w:eastAsia="ru-RU"/>
        </w:rPr>
        <w:t>На сетях связи возможны такие аварийные ситуации как обрыв проводов воздушных линий, повреждение опор, выход из строя станций АТС как электронных так координатных, повреждение радиорелейной линии.</w:t>
      </w:r>
    </w:p>
    <w:p>
      <w:pPr>
        <w:pStyle w:val="Normal"/>
        <w:spacing w:lineRule="auto" w:line="276"/>
        <w:ind w:firstLine="709"/>
        <w:rPr>
          <w:rFonts w:eastAsia="Times New Roman"/>
          <w:szCs w:val="24"/>
          <w:lang w:eastAsia="ru-RU"/>
        </w:rPr>
      </w:pPr>
      <w:r>
        <w:rPr>
          <w:rFonts w:eastAsia="Times New Roman"/>
          <w:szCs w:val="24"/>
          <w:lang w:eastAsia="ru-RU"/>
        </w:rPr>
        <w:t>Аварии на электроэнергетических системах могут привести к перерывам электроснабжения потребителей, выходу из строя установок, обеспечивающих жизнедеятельность, создать пожароопасную ситуацию.</w:t>
      </w:r>
    </w:p>
    <w:p>
      <w:pPr>
        <w:pStyle w:val="Normal"/>
        <w:spacing w:lineRule="auto" w:line="276"/>
        <w:ind w:firstLine="709"/>
        <w:rPr>
          <w:rFonts w:eastAsia="Times New Roman"/>
          <w:szCs w:val="24"/>
          <w:lang w:eastAsia="ru-RU"/>
        </w:rPr>
      </w:pPr>
      <w:r>
        <w:rPr>
          <w:rFonts w:eastAsia="Times New Roman"/>
          <w:szCs w:val="24"/>
          <w:lang w:eastAsia="ru-RU"/>
        </w:rPr>
        <w:t>Опасными стихийными бедствиями для объектов энергетики являются сильный порывистый ветер, гололед (снижается надежность работы энергосистемы в районах гололеда из-за «пляски» и обрыва проводов ЛЭП), продолжительные ливневые дожди.</w:t>
      </w:r>
    </w:p>
    <w:p>
      <w:pPr>
        <w:pStyle w:val="Normal"/>
        <w:spacing w:lineRule="auto" w:line="276"/>
        <w:ind w:firstLine="709"/>
        <w:rPr>
          <w:rFonts w:eastAsia="Times New Roman"/>
          <w:szCs w:val="24"/>
          <w:lang w:eastAsia="ru-RU"/>
        </w:rPr>
      </w:pPr>
      <w:r>
        <w:rPr>
          <w:rFonts w:eastAsia="Times New Roman"/>
          <w:szCs w:val="24"/>
          <w:lang w:eastAsia="ru-RU"/>
        </w:rPr>
        <w:t xml:space="preserve">При снегопадах, сильных ветрах, обледенения и несанкционированных действий организаций и физических лиц могут произойти тяжелые аварии из-за выхода из строя трансформаторных и понизительных подстанций. </w:t>
      </w:r>
    </w:p>
    <w:p>
      <w:pPr>
        <w:pStyle w:val="Normal"/>
        <w:spacing w:lineRule="auto" w:line="276"/>
        <w:ind w:firstLine="709"/>
        <w:rPr>
          <w:rFonts w:eastAsia="Times New Roman"/>
          <w:szCs w:val="24"/>
          <w:lang w:eastAsia="ru-RU"/>
        </w:rPr>
      </w:pPr>
      <w:r>
        <w:rPr>
          <w:rFonts w:eastAsia="Times New Roman"/>
          <w:szCs w:val="24"/>
          <w:lang w:eastAsia="ru-RU"/>
        </w:rPr>
        <w:t>Аварийные ситуации на сетях связи устраняют специалисты районного узла электрической связи.</w:t>
      </w:r>
    </w:p>
    <w:p>
      <w:pPr>
        <w:pStyle w:val="Normal"/>
        <w:spacing w:lineRule="auto" w:line="276"/>
        <w:ind w:firstLine="709"/>
        <w:rPr>
          <w:rFonts w:eastAsia="Times New Roman"/>
          <w:szCs w:val="24"/>
          <w:lang w:eastAsia="ru-RU"/>
        </w:rPr>
      </w:pPr>
      <w:r>
        <w:rPr>
          <w:rFonts w:eastAsia="Times New Roman"/>
          <w:szCs w:val="24"/>
          <w:lang w:eastAsia="ru-RU"/>
        </w:rPr>
        <w:t xml:space="preserve">Возможные ЧС на электроэнергетических системах и системах связи могут быть не более муниципального масштаба. </w:t>
      </w:r>
    </w:p>
    <w:p>
      <w:pPr>
        <w:pStyle w:val="Normal"/>
        <w:spacing w:lineRule="auto" w:line="276"/>
        <w:ind w:firstLine="709"/>
        <w:rPr>
          <w:b/>
          <w:b/>
          <w:szCs w:val="24"/>
        </w:rPr>
      </w:pPr>
      <w:r>
        <w:rPr>
          <w:b/>
          <w:szCs w:val="24"/>
        </w:rPr>
        <w:t>Мероприятия по предотвращению чрезвычайных ситуаций техногенного характера</w:t>
      </w:r>
    </w:p>
    <w:p>
      <w:pPr>
        <w:pStyle w:val="Normal"/>
        <w:suppressAutoHyphens w:val="true"/>
        <w:spacing w:lineRule="auto" w:line="276"/>
        <w:ind w:firstLine="709"/>
        <w:rPr>
          <w:i/>
          <w:i/>
          <w:szCs w:val="24"/>
          <w:lang w:eastAsia="ar-SA"/>
        </w:rPr>
      </w:pPr>
      <w:r>
        <w:rPr>
          <w:szCs w:val="24"/>
          <w:lang w:eastAsia="ar-SA"/>
        </w:rPr>
        <w:t>Для предотвращения чрезвычайных ситуаций техногенного характера необходимо проведение следующих мероприятий:</w:t>
      </w:r>
    </w:p>
    <w:p>
      <w:pPr>
        <w:pStyle w:val="ListParagraph"/>
        <w:numPr>
          <w:ilvl w:val="0"/>
          <w:numId w:val="49"/>
        </w:numPr>
        <w:suppressAutoHyphens w:val="true"/>
        <w:spacing w:before="0" w:after="0"/>
        <w:ind w:left="0" w:firstLine="426"/>
        <w:contextualSpacing/>
        <w:jc w:val="both"/>
        <w:rPr>
          <w:rFonts w:ascii="Times New Roman" w:hAnsi="Times New Roman"/>
          <w:i/>
          <w:i/>
          <w:sz w:val="24"/>
          <w:szCs w:val="24"/>
          <w:lang w:eastAsia="ar-SA"/>
        </w:rPr>
      </w:pPr>
      <w:r>
        <w:rPr>
          <w:sz w:val="24"/>
          <w:szCs w:val="24"/>
          <w:lang w:eastAsia="ar-SA"/>
        </w:rPr>
        <w:t>обеспечение санитарно-защитной зоны и противопожарных разрывов от существующих и проектируемых автозаправочных станций, складов ГСМ;</w:t>
      </w:r>
    </w:p>
    <w:p>
      <w:pPr>
        <w:pStyle w:val="ListParagraph"/>
        <w:numPr>
          <w:ilvl w:val="0"/>
          <w:numId w:val="49"/>
        </w:numPr>
        <w:suppressAutoHyphens w:val="true"/>
        <w:spacing w:before="0" w:after="0"/>
        <w:ind w:left="0" w:firstLine="426"/>
        <w:contextualSpacing/>
        <w:jc w:val="both"/>
        <w:rPr>
          <w:rFonts w:ascii="Times New Roman" w:hAnsi="Times New Roman"/>
          <w:i/>
          <w:i/>
          <w:sz w:val="24"/>
          <w:szCs w:val="24"/>
          <w:lang w:eastAsia="ar-SA"/>
        </w:rPr>
      </w:pPr>
      <w:r>
        <w:rPr>
          <w:sz w:val="24"/>
          <w:szCs w:val="24"/>
          <w:lang w:eastAsia="ar-SA"/>
        </w:rPr>
        <w:t>оснащение территорий автозаправочных станций современным оборудованием, предотвращающим возникновение чрезвычайных ситуаций;</w:t>
      </w:r>
    </w:p>
    <w:p>
      <w:pPr>
        <w:pStyle w:val="ListParagraph"/>
        <w:numPr>
          <w:ilvl w:val="0"/>
          <w:numId w:val="49"/>
        </w:numPr>
        <w:suppressAutoHyphens w:val="true"/>
        <w:spacing w:before="0" w:after="0"/>
        <w:ind w:left="0" w:firstLine="426"/>
        <w:contextualSpacing/>
        <w:jc w:val="both"/>
        <w:rPr>
          <w:rFonts w:ascii="Times New Roman" w:hAnsi="Times New Roman"/>
          <w:i/>
          <w:i/>
          <w:sz w:val="24"/>
          <w:szCs w:val="24"/>
          <w:lang w:eastAsia="ar-SA"/>
        </w:rPr>
      </w:pPr>
      <w:r>
        <w:rPr>
          <w:sz w:val="24"/>
          <w:szCs w:val="24"/>
          <w:lang w:eastAsia="ar-SA"/>
        </w:rPr>
        <w:t>контроль за состоянием емкостей на складах ГСМ, автозаправочных станциях, замена поврежденного коррозией оборудования;</w:t>
      </w:r>
    </w:p>
    <w:p>
      <w:pPr>
        <w:pStyle w:val="ListParagraph"/>
        <w:numPr>
          <w:ilvl w:val="0"/>
          <w:numId w:val="49"/>
        </w:numPr>
        <w:suppressAutoHyphens w:val="true"/>
        <w:spacing w:before="0" w:after="0"/>
        <w:ind w:left="0" w:firstLine="426"/>
        <w:contextualSpacing/>
        <w:jc w:val="both"/>
        <w:rPr>
          <w:rFonts w:ascii="Times New Roman" w:hAnsi="Times New Roman"/>
          <w:i/>
          <w:i/>
          <w:sz w:val="24"/>
          <w:szCs w:val="24"/>
          <w:lang w:eastAsia="ar-SA"/>
        </w:rPr>
      </w:pPr>
      <w:r>
        <w:rPr>
          <w:sz w:val="24"/>
          <w:szCs w:val="24"/>
          <w:lang w:eastAsia="ar-SA"/>
        </w:rPr>
        <w:t>применение изоляционных покрытий на территории складов ГСМ и АЗС исключающих попадание нефтепродуктов в почву;</w:t>
      </w:r>
    </w:p>
    <w:p>
      <w:pPr>
        <w:pStyle w:val="ListParagraph"/>
        <w:numPr>
          <w:ilvl w:val="0"/>
          <w:numId w:val="49"/>
        </w:numPr>
        <w:suppressAutoHyphens w:val="true"/>
        <w:spacing w:before="0" w:after="0"/>
        <w:ind w:left="0" w:firstLine="426"/>
        <w:contextualSpacing/>
        <w:jc w:val="both"/>
        <w:rPr>
          <w:rFonts w:ascii="Times New Roman" w:hAnsi="Times New Roman"/>
          <w:i/>
          <w:i/>
          <w:sz w:val="24"/>
          <w:szCs w:val="24"/>
          <w:lang w:eastAsia="ar-SA"/>
        </w:rPr>
      </w:pPr>
      <w:r>
        <w:rPr>
          <w:sz w:val="24"/>
          <w:szCs w:val="24"/>
          <w:lang w:eastAsia="ar-SA"/>
        </w:rPr>
        <w:t>строгое соблюдение противопожарных нормативов и требований;</w:t>
      </w:r>
    </w:p>
    <w:p>
      <w:pPr>
        <w:pStyle w:val="ListParagraph"/>
        <w:numPr>
          <w:ilvl w:val="0"/>
          <w:numId w:val="49"/>
        </w:numPr>
        <w:suppressAutoHyphens w:val="true"/>
        <w:spacing w:before="0" w:after="0"/>
        <w:ind w:left="0" w:firstLine="426"/>
        <w:contextualSpacing/>
        <w:jc w:val="both"/>
        <w:rPr>
          <w:rFonts w:ascii="Times New Roman" w:hAnsi="Times New Roman"/>
          <w:i/>
          <w:i/>
          <w:sz w:val="24"/>
          <w:szCs w:val="24"/>
          <w:lang w:eastAsia="ar-SA"/>
        </w:rPr>
      </w:pPr>
      <w:r>
        <w:rPr>
          <w:sz w:val="24"/>
          <w:szCs w:val="24"/>
          <w:lang w:eastAsia="ar-SA"/>
        </w:rPr>
        <w:t>формирование аварийных подразделений, обеспеченных соответствующими машинами и механизмами, мощными средствами пожаротушения.</w:t>
      </w:r>
    </w:p>
    <w:p>
      <w:pPr>
        <w:pStyle w:val="Normal"/>
        <w:suppressAutoHyphens w:val="true"/>
        <w:spacing w:lineRule="auto" w:line="276"/>
        <w:ind w:firstLine="709"/>
        <w:rPr>
          <w:i/>
          <w:i/>
          <w:szCs w:val="24"/>
          <w:lang w:eastAsia="ar-SA"/>
        </w:rPr>
      </w:pPr>
      <w:r>
        <w:rPr>
          <w:szCs w:val="24"/>
          <w:lang w:eastAsia="ar-SA"/>
        </w:rPr>
        <w:t>На объектах повышенной опасности (помещениях котельных) необходима установка автоматического контроля концентрацией опасных веществ и систем автоматической сигнализации о повышении допустимых норм. Автоматические системы регулирования, блокировок, аварийной остановки котельного оборудования работают в соответствии с установленными параметрами при аварийном превышении которых происходит автоматическая аварийная остановка котлов.</w:t>
      </w:r>
    </w:p>
    <w:p>
      <w:pPr>
        <w:pStyle w:val="Normal"/>
        <w:suppressAutoHyphens w:val="true"/>
        <w:spacing w:lineRule="auto" w:line="276"/>
        <w:ind w:firstLine="709"/>
        <w:rPr>
          <w:i/>
          <w:i/>
          <w:szCs w:val="24"/>
          <w:lang w:eastAsia="ar-SA"/>
        </w:rPr>
      </w:pPr>
      <w:r>
        <w:rPr>
          <w:szCs w:val="24"/>
          <w:lang w:eastAsia="ar-SA"/>
        </w:rPr>
        <w:t>Предотвращение образования взрывов пожароопасной среды на объектах теплоснабжения обеспечивается:</w:t>
      </w:r>
    </w:p>
    <w:p>
      <w:pPr>
        <w:pStyle w:val="ListParagraph"/>
        <w:numPr>
          <w:ilvl w:val="0"/>
          <w:numId w:val="50"/>
        </w:numPr>
        <w:suppressAutoHyphens w:val="true"/>
        <w:spacing w:before="0" w:after="0"/>
        <w:ind w:left="0" w:firstLine="426"/>
        <w:contextualSpacing/>
        <w:jc w:val="both"/>
        <w:rPr>
          <w:rFonts w:ascii="Times New Roman" w:hAnsi="Times New Roman"/>
          <w:i/>
          <w:i/>
          <w:sz w:val="24"/>
          <w:szCs w:val="24"/>
          <w:lang w:eastAsia="ar-SA"/>
        </w:rPr>
      </w:pPr>
      <w:r>
        <w:rPr>
          <w:sz w:val="24"/>
          <w:szCs w:val="24"/>
          <w:lang w:eastAsia="ar-SA"/>
        </w:rPr>
        <w:t>применением герметичного производственного оборудования;</w:t>
      </w:r>
    </w:p>
    <w:p>
      <w:pPr>
        <w:pStyle w:val="ListParagraph"/>
        <w:numPr>
          <w:ilvl w:val="0"/>
          <w:numId w:val="50"/>
        </w:numPr>
        <w:suppressAutoHyphens w:val="true"/>
        <w:spacing w:before="0" w:after="0"/>
        <w:ind w:left="0" w:firstLine="426"/>
        <w:contextualSpacing/>
        <w:jc w:val="both"/>
        <w:rPr>
          <w:rFonts w:ascii="Times New Roman" w:hAnsi="Times New Roman"/>
          <w:i/>
          <w:i/>
          <w:sz w:val="24"/>
          <w:szCs w:val="24"/>
          <w:lang w:eastAsia="ar-SA"/>
        </w:rPr>
      </w:pPr>
      <w:r>
        <w:rPr>
          <w:sz w:val="24"/>
          <w:szCs w:val="24"/>
          <w:lang w:eastAsia="ar-SA"/>
        </w:rPr>
        <w:t>соблюдением норм технологического режима;</w:t>
      </w:r>
    </w:p>
    <w:p>
      <w:pPr>
        <w:pStyle w:val="ListParagraph"/>
        <w:numPr>
          <w:ilvl w:val="0"/>
          <w:numId w:val="50"/>
        </w:numPr>
        <w:suppressAutoHyphens w:val="true"/>
        <w:spacing w:before="0" w:after="0"/>
        <w:ind w:left="0" w:firstLine="426"/>
        <w:contextualSpacing/>
        <w:jc w:val="both"/>
        <w:rPr>
          <w:rFonts w:ascii="Times New Roman" w:hAnsi="Times New Roman"/>
          <w:i/>
          <w:i/>
          <w:sz w:val="24"/>
          <w:szCs w:val="24"/>
          <w:lang w:eastAsia="ar-SA"/>
        </w:rPr>
      </w:pPr>
      <w:r>
        <w:rPr>
          <w:sz w:val="24"/>
          <w:szCs w:val="24"/>
          <w:lang w:eastAsia="ar-SA"/>
        </w:rPr>
        <w:t xml:space="preserve">контролем состава воздушной среды и применением аварийной вентиляции. </w:t>
      </w:r>
    </w:p>
    <w:p>
      <w:pPr>
        <w:pStyle w:val="ListParagraph"/>
        <w:numPr>
          <w:ilvl w:val="0"/>
          <w:numId w:val="50"/>
        </w:numPr>
        <w:suppressAutoHyphens w:val="true"/>
        <w:spacing w:before="0" w:after="0"/>
        <w:ind w:left="0" w:firstLine="426"/>
        <w:contextualSpacing/>
        <w:jc w:val="both"/>
        <w:rPr>
          <w:rFonts w:ascii="Times New Roman" w:hAnsi="Times New Roman"/>
          <w:i/>
          <w:i/>
          <w:sz w:val="24"/>
          <w:szCs w:val="24"/>
          <w:lang w:eastAsia="ar-SA"/>
        </w:rPr>
      </w:pPr>
      <w:r>
        <w:rPr>
          <w:sz w:val="24"/>
          <w:szCs w:val="24"/>
          <w:lang w:eastAsia="ar-SA"/>
        </w:rPr>
        <w:t>установлением в помещениях котельных сигнализаторы взрывоопасных концентраций, срабатывание которых, происходит при достижении 20 % величины нижнего предела воспламеняемости с автоматическим включением звукового сигнала в операторной.</w:t>
      </w:r>
    </w:p>
    <w:p>
      <w:pPr>
        <w:pStyle w:val="Normal"/>
        <w:suppressAutoHyphens w:val="true"/>
        <w:spacing w:lineRule="auto" w:line="276"/>
        <w:ind w:firstLine="709"/>
        <w:rPr>
          <w:i/>
          <w:i/>
          <w:szCs w:val="24"/>
          <w:lang w:eastAsia="ar-SA"/>
        </w:rPr>
      </w:pPr>
      <w:r>
        <w:rPr>
          <w:szCs w:val="24"/>
          <w:lang w:eastAsia="ar-SA"/>
        </w:rPr>
        <w:t>Надежность водоснабжения населенных пунктов обеспечивается при проведении следующих мероприятий:</w:t>
      </w:r>
    </w:p>
    <w:p>
      <w:pPr>
        <w:pStyle w:val="ListParagraph"/>
        <w:numPr>
          <w:ilvl w:val="0"/>
          <w:numId w:val="50"/>
        </w:numPr>
        <w:suppressAutoHyphens w:val="true"/>
        <w:spacing w:before="0" w:after="0"/>
        <w:ind w:left="0" w:firstLine="426"/>
        <w:contextualSpacing/>
        <w:jc w:val="both"/>
        <w:rPr>
          <w:rFonts w:ascii="Times New Roman" w:hAnsi="Times New Roman"/>
          <w:i/>
          <w:i/>
          <w:sz w:val="24"/>
          <w:szCs w:val="24"/>
          <w:lang w:eastAsia="ar-SA"/>
        </w:rPr>
      </w:pPr>
      <w:r>
        <w:rPr>
          <w:sz w:val="24"/>
          <w:szCs w:val="24"/>
          <w:lang w:eastAsia="ar-SA"/>
        </w:rPr>
        <w:t>защита водоисточников и резервуаров чистой воды от радиационного, химического и бактериологического заражения;</w:t>
      </w:r>
    </w:p>
    <w:p>
      <w:pPr>
        <w:pStyle w:val="ListParagraph"/>
        <w:numPr>
          <w:ilvl w:val="0"/>
          <w:numId w:val="50"/>
        </w:numPr>
        <w:suppressAutoHyphens w:val="true"/>
        <w:spacing w:before="0" w:after="0"/>
        <w:ind w:left="0" w:firstLine="426"/>
        <w:contextualSpacing/>
        <w:jc w:val="both"/>
        <w:rPr>
          <w:rFonts w:ascii="Times New Roman" w:hAnsi="Times New Roman"/>
          <w:i/>
          <w:i/>
          <w:sz w:val="24"/>
          <w:szCs w:val="24"/>
          <w:lang w:eastAsia="ar-SA"/>
        </w:rPr>
      </w:pPr>
      <w:r>
        <w:rPr>
          <w:sz w:val="24"/>
          <w:szCs w:val="24"/>
          <w:lang w:eastAsia="ar-SA"/>
        </w:rPr>
        <w:t>усиление охраны водоочистных сооружений, котельных и других жизнеобеспечивающих объектов;</w:t>
      </w:r>
    </w:p>
    <w:p>
      <w:pPr>
        <w:pStyle w:val="ListParagraph"/>
        <w:numPr>
          <w:ilvl w:val="0"/>
          <w:numId w:val="50"/>
        </w:numPr>
        <w:suppressAutoHyphens w:val="true"/>
        <w:spacing w:before="0" w:after="0"/>
        <w:ind w:left="0" w:firstLine="426"/>
        <w:contextualSpacing/>
        <w:jc w:val="both"/>
        <w:rPr>
          <w:rFonts w:ascii="Times New Roman" w:hAnsi="Times New Roman"/>
          <w:i/>
          <w:i/>
          <w:sz w:val="24"/>
          <w:szCs w:val="24"/>
          <w:lang w:eastAsia="ar-SA"/>
        </w:rPr>
      </w:pPr>
      <w:r>
        <w:rPr>
          <w:sz w:val="24"/>
          <w:szCs w:val="24"/>
          <w:lang w:eastAsia="ar-SA"/>
        </w:rPr>
        <w:t>наличие резервного электроснабжения;</w:t>
      </w:r>
    </w:p>
    <w:p>
      <w:pPr>
        <w:pStyle w:val="ListParagraph"/>
        <w:numPr>
          <w:ilvl w:val="0"/>
          <w:numId w:val="50"/>
        </w:numPr>
        <w:suppressAutoHyphens w:val="true"/>
        <w:spacing w:before="0" w:after="0"/>
        <w:ind w:left="0" w:firstLine="426"/>
        <w:contextualSpacing/>
        <w:jc w:val="both"/>
        <w:rPr>
          <w:rFonts w:ascii="Times New Roman" w:hAnsi="Times New Roman"/>
          <w:i/>
          <w:i/>
          <w:sz w:val="24"/>
          <w:szCs w:val="24"/>
          <w:lang w:eastAsia="ar-SA"/>
        </w:rPr>
      </w:pPr>
      <w:r>
        <w:rPr>
          <w:sz w:val="24"/>
          <w:szCs w:val="24"/>
          <w:lang w:eastAsia="ar-SA"/>
        </w:rPr>
        <w:t>замена устаревшего оборудования на новое, применение новых технологий производства;</w:t>
      </w:r>
    </w:p>
    <w:p>
      <w:pPr>
        <w:pStyle w:val="ListParagraph"/>
        <w:numPr>
          <w:ilvl w:val="0"/>
          <w:numId w:val="50"/>
        </w:numPr>
        <w:suppressAutoHyphens w:val="true"/>
        <w:spacing w:before="0" w:after="0"/>
        <w:ind w:left="0" w:firstLine="426"/>
        <w:contextualSpacing/>
        <w:jc w:val="both"/>
        <w:rPr>
          <w:rFonts w:ascii="Times New Roman" w:hAnsi="Times New Roman"/>
          <w:i/>
          <w:i/>
          <w:sz w:val="24"/>
          <w:szCs w:val="24"/>
          <w:lang w:eastAsia="ar-SA"/>
        </w:rPr>
      </w:pPr>
      <w:r>
        <w:rPr>
          <w:sz w:val="24"/>
          <w:szCs w:val="24"/>
          <w:lang w:eastAsia="ar-SA"/>
        </w:rPr>
        <w:t>обучение и повышение квалификации работников предприятий; создание аварийного запаса материалов.</w:t>
      </w:r>
    </w:p>
    <w:p>
      <w:pPr>
        <w:pStyle w:val="Normal"/>
        <w:suppressAutoHyphens w:val="true"/>
        <w:spacing w:lineRule="auto" w:line="276"/>
        <w:ind w:firstLine="709"/>
        <w:rPr>
          <w:i/>
          <w:i/>
          <w:szCs w:val="24"/>
          <w:lang w:eastAsia="ar-SA"/>
        </w:rPr>
      </w:pPr>
      <w:r>
        <w:rPr>
          <w:szCs w:val="24"/>
          <w:lang w:eastAsia="ar-SA"/>
        </w:rPr>
        <w:t>Для обеспечения безопасности газопроводов предусматриваются следующие мероприятия:</w:t>
      </w:r>
    </w:p>
    <w:p>
      <w:pPr>
        <w:pStyle w:val="ListParagraph"/>
        <w:numPr>
          <w:ilvl w:val="0"/>
          <w:numId w:val="51"/>
        </w:numPr>
        <w:suppressAutoHyphens w:val="true"/>
        <w:spacing w:before="0" w:after="0"/>
        <w:ind w:left="0" w:firstLine="426"/>
        <w:contextualSpacing/>
        <w:jc w:val="both"/>
        <w:rPr>
          <w:rFonts w:ascii="Times New Roman" w:hAnsi="Times New Roman"/>
          <w:i/>
          <w:i/>
          <w:sz w:val="24"/>
          <w:szCs w:val="24"/>
          <w:lang w:eastAsia="ar-SA"/>
        </w:rPr>
      </w:pPr>
      <w:r>
        <w:rPr>
          <w:sz w:val="24"/>
          <w:szCs w:val="24"/>
          <w:lang w:eastAsia="ar-SA"/>
        </w:rPr>
        <w:t>трасса газопровода отмечается на территории опознавательными знаками, на ограждении отключающей задвижки размещается надпись: «Огнеопасно газ» с табличками-указателями охранной зоны, телефонами газовой службы, районного отдела по делам ГО и ЧС;</w:t>
      </w:r>
    </w:p>
    <w:p>
      <w:pPr>
        <w:pStyle w:val="ListParagraph"/>
        <w:numPr>
          <w:ilvl w:val="0"/>
          <w:numId w:val="51"/>
        </w:numPr>
        <w:suppressAutoHyphens w:val="true"/>
        <w:spacing w:before="0" w:after="0"/>
        <w:ind w:left="0" w:firstLine="426"/>
        <w:contextualSpacing/>
        <w:jc w:val="both"/>
        <w:rPr>
          <w:rFonts w:ascii="Times New Roman" w:hAnsi="Times New Roman"/>
          <w:b/>
          <w:b/>
          <w:bCs/>
          <w:sz w:val="24"/>
          <w:szCs w:val="24"/>
          <w:lang w:eastAsia="ar-SA"/>
        </w:rPr>
      </w:pPr>
      <w:r>
        <w:rPr>
          <w:sz w:val="24"/>
          <w:szCs w:val="24"/>
          <w:lang w:eastAsia="ar-SA"/>
        </w:rPr>
        <w:t xml:space="preserve">материалы и технические изделия для системы газоснабжения должны соответствовать требованиям государственных стандартов и технических условий, утвержденных в установленном порядке и прошедших государственную регистрацию в соответствии с </w:t>
        <w:br/>
        <w:t>ГОСТ 2.114-70 «</w:t>
      </w:r>
      <w:r>
        <w:rPr>
          <w:bCs/>
          <w:sz w:val="24"/>
          <w:szCs w:val="24"/>
          <w:lang w:eastAsia="ar-SA"/>
        </w:rPr>
        <w:t>Единая система конструкторской документации. Технические условия. Правила построения, изложения и оформления»</w:t>
      </w:r>
    </w:p>
    <w:p>
      <w:pPr>
        <w:pStyle w:val="Normal"/>
        <w:suppressAutoHyphens w:val="true"/>
        <w:spacing w:lineRule="auto" w:line="276"/>
        <w:ind w:firstLine="709"/>
        <w:rPr>
          <w:i/>
          <w:i/>
          <w:szCs w:val="24"/>
          <w:lang w:eastAsia="ar-SA"/>
        </w:rPr>
      </w:pPr>
      <w:r>
        <w:rPr>
          <w:szCs w:val="24"/>
          <w:lang w:eastAsia="ar-SA"/>
        </w:rPr>
        <w:t>Отличительными особенностями ликвидации последствий транспортных аварий (катастроф) могут являться:</w:t>
      </w:r>
    </w:p>
    <w:p>
      <w:pPr>
        <w:pStyle w:val="ListParagraph"/>
        <w:numPr>
          <w:ilvl w:val="0"/>
          <w:numId w:val="52"/>
        </w:numPr>
        <w:suppressAutoHyphens w:val="true"/>
        <w:spacing w:before="0" w:after="0"/>
        <w:ind w:left="0" w:firstLine="426"/>
        <w:contextualSpacing/>
        <w:jc w:val="both"/>
        <w:rPr>
          <w:rFonts w:ascii="Times New Roman" w:hAnsi="Times New Roman"/>
          <w:i/>
          <w:i/>
          <w:sz w:val="24"/>
          <w:szCs w:val="24"/>
          <w:lang w:eastAsia="ar-SA"/>
        </w:rPr>
      </w:pPr>
      <w:r>
        <w:rPr>
          <w:sz w:val="24"/>
          <w:szCs w:val="24"/>
          <w:lang w:eastAsia="ar-SA"/>
        </w:rPr>
        <w:t>затрудненность обнаружения возгорания в пути следования, отсутствие мощных средств пожаротушения;</w:t>
      </w:r>
    </w:p>
    <w:p>
      <w:pPr>
        <w:pStyle w:val="ListParagraph"/>
        <w:numPr>
          <w:ilvl w:val="0"/>
          <w:numId w:val="52"/>
        </w:numPr>
        <w:suppressAutoHyphens w:val="true"/>
        <w:spacing w:before="0" w:after="0"/>
        <w:ind w:left="0" w:firstLine="426"/>
        <w:contextualSpacing/>
        <w:jc w:val="both"/>
        <w:rPr>
          <w:rFonts w:ascii="Times New Roman" w:hAnsi="Times New Roman"/>
          <w:i/>
          <w:i/>
          <w:sz w:val="24"/>
          <w:szCs w:val="24"/>
          <w:lang w:eastAsia="ar-SA"/>
        </w:rPr>
      </w:pPr>
      <w:r>
        <w:rPr>
          <w:sz w:val="24"/>
          <w:szCs w:val="24"/>
          <w:lang w:eastAsia="ar-SA"/>
        </w:rPr>
        <w:t>труднодоступность подъездов к месту катастрофы и затрудненность применения инженерной техники;</w:t>
      </w:r>
    </w:p>
    <w:p>
      <w:pPr>
        <w:pStyle w:val="ListParagraph"/>
        <w:numPr>
          <w:ilvl w:val="0"/>
          <w:numId w:val="52"/>
        </w:numPr>
        <w:suppressAutoHyphens w:val="true"/>
        <w:spacing w:before="0" w:after="0"/>
        <w:ind w:left="0" w:firstLine="426"/>
        <w:contextualSpacing/>
        <w:jc w:val="both"/>
        <w:rPr>
          <w:rFonts w:ascii="Times New Roman" w:hAnsi="Times New Roman"/>
          <w:i/>
          <w:i/>
          <w:sz w:val="24"/>
          <w:szCs w:val="24"/>
          <w:lang w:eastAsia="ar-SA"/>
        </w:rPr>
      </w:pPr>
      <w:r>
        <w:rPr>
          <w:sz w:val="24"/>
          <w:szCs w:val="24"/>
          <w:lang w:eastAsia="ar-SA"/>
        </w:rPr>
        <w:t>наличие, в некоторых случаях, сложной медико-биологической обстановки, характеризующейся массовым возникновением санитарных и безвозвратных потерь;</w:t>
      </w:r>
    </w:p>
    <w:p>
      <w:pPr>
        <w:pStyle w:val="ListParagraph"/>
        <w:numPr>
          <w:ilvl w:val="0"/>
          <w:numId w:val="52"/>
        </w:numPr>
        <w:suppressAutoHyphens w:val="true"/>
        <w:spacing w:before="0" w:after="0"/>
        <w:ind w:left="0" w:firstLine="426"/>
        <w:contextualSpacing/>
        <w:jc w:val="both"/>
        <w:rPr>
          <w:rFonts w:ascii="Times New Roman" w:hAnsi="Times New Roman"/>
          <w:i/>
          <w:i/>
          <w:sz w:val="24"/>
          <w:szCs w:val="24"/>
          <w:lang w:eastAsia="ar-SA"/>
        </w:rPr>
      </w:pPr>
      <w:r>
        <w:rPr>
          <w:sz w:val="24"/>
          <w:szCs w:val="24"/>
          <w:lang w:eastAsia="ar-SA"/>
        </w:rPr>
        <w:t xml:space="preserve">необходимость отправки большого количества пострадавших (эвакуация) в другие населенные пункты в связи со спецификой лечения; </w:t>
      </w:r>
    </w:p>
    <w:p>
      <w:pPr>
        <w:pStyle w:val="ListParagraph"/>
        <w:numPr>
          <w:ilvl w:val="0"/>
          <w:numId w:val="52"/>
        </w:numPr>
        <w:suppressAutoHyphens w:val="true"/>
        <w:spacing w:before="0" w:after="0"/>
        <w:ind w:left="0" w:firstLine="426"/>
        <w:contextualSpacing/>
        <w:jc w:val="both"/>
        <w:rPr>
          <w:rFonts w:ascii="Times New Roman" w:hAnsi="Times New Roman"/>
          <w:i/>
          <w:i/>
          <w:sz w:val="24"/>
          <w:szCs w:val="24"/>
          <w:lang w:eastAsia="ar-SA"/>
        </w:rPr>
      </w:pPr>
      <w:r>
        <w:rPr>
          <w:sz w:val="24"/>
          <w:szCs w:val="24"/>
          <w:lang w:eastAsia="ar-SA"/>
        </w:rPr>
        <w:t>трудность в определении числа пассажиров, выехавших из различных населенных пунктов и оказавшихся на месте катастрофы.</w:t>
      </w:r>
    </w:p>
    <w:p>
      <w:pPr>
        <w:pStyle w:val="Normal"/>
        <w:suppressAutoHyphens w:val="true"/>
        <w:spacing w:lineRule="auto" w:line="276"/>
        <w:ind w:firstLine="709"/>
        <w:rPr>
          <w:i/>
          <w:i/>
          <w:szCs w:val="24"/>
          <w:lang w:eastAsia="ar-SA"/>
        </w:rPr>
      </w:pPr>
      <w:r>
        <w:rPr>
          <w:szCs w:val="24"/>
          <w:lang w:eastAsia="ar-SA"/>
        </w:rPr>
        <w:t>Для заблаговременной подготовки к ликвидации производственных аварий необходимо выявить потенциально опасные объекты и для каждого разработать варианты возможных аварий, установить масштабы последствий, планы их ликвидации, локализации поражения, эвакуации населения.</w:t>
      </w:r>
    </w:p>
    <w:p>
      <w:pPr>
        <w:pStyle w:val="Normal"/>
        <w:suppressAutoHyphens w:val="true"/>
        <w:spacing w:lineRule="auto" w:line="276"/>
        <w:ind w:firstLine="709"/>
        <w:rPr>
          <w:i/>
          <w:i/>
          <w:szCs w:val="24"/>
          <w:lang w:eastAsia="ar-SA"/>
        </w:rPr>
      </w:pPr>
      <w:r>
        <w:rPr>
          <w:szCs w:val="24"/>
          <w:lang w:eastAsia="ar-SA"/>
        </w:rPr>
        <w:t xml:space="preserve">В чрезвычайных ситуациях резко увеличиваются грузо- и пассажиропотоки. Этот фактор следует учитывать при подготовке сети автомобильных дорог к устойчивой работе при чрезвычайных ситуациях. Особое внимание должно уделяться дорожному обеспечению эвакуации населения из пострадавших районов, так как состояние автодорог непосредственно влияет на сроки ее осуществления. В период эвакуации на отдельных участках дорог возможны заторы вследствие перегруженности и неподготовленности дорог к этим перевозкам. Для эффективного функционирования дорог в период ликвидации последствий чрезвычайных ситуаций они должны обладать эксплуатационными характеристиками, способствующими решению задач, возникающих при ликвидации таких ситуаций. Это должно достигаться организационно-техническими мероприятиями, проводимыми как в период, предшествующий возникновению чрезвычайной ситуации, так и в процессе ликвидации ее последствий. </w:t>
      </w:r>
    </w:p>
    <w:p>
      <w:pPr>
        <w:pStyle w:val="Normal"/>
        <w:suppressAutoHyphens w:val="true"/>
        <w:spacing w:lineRule="auto" w:line="276"/>
        <w:ind w:firstLine="709"/>
        <w:rPr>
          <w:i/>
          <w:i/>
          <w:szCs w:val="24"/>
          <w:lang w:eastAsia="ar-SA"/>
        </w:rPr>
      </w:pPr>
      <w:r>
        <w:rPr>
          <w:szCs w:val="24"/>
          <w:lang w:eastAsia="ar-SA"/>
        </w:rPr>
        <w:t>Для предотвращения аварий на трубопроводах и пожаро-взрывоопасных объектах необходимо безотлагательное проведение организационно-технологических мероприятий, направленных на сокращение числа и размеров аварий и принятия системы мер по ликвидации их последствий.</w:t>
      </w:r>
    </w:p>
    <w:p>
      <w:pPr>
        <w:pStyle w:val="Normal"/>
        <w:suppressAutoHyphens w:val="true"/>
        <w:spacing w:lineRule="auto" w:line="276"/>
        <w:ind w:firstLine="709"/>
        <w:rPr>
          <w:i/>
          <w:i/>
          <w:szCs w:val="24"/>
          <w:lang w:eastAsia="ar-SA"/>
        </w:rPr>
      </w:pPr>
      <w:r>
        <w:rPr>
          <w:szCs w:val="24"/>
          <w:lang w:eastAsia="ar-SA"/>
        </w:rPr>
        <w:t>Организационно-технологические мероприятия:</w:t>
      </w:r>
    </w:p>
    <w:p>
      <w:pPr>
        <w:pStyle w:val="Normal"/>
        <w:suppressAutoHyphens w:val="true"/>
        <w:spacing w:lineRule="auto" w:line="276"/>
        <w:ind w:firstLine="426"/>
        <w:rPr>
          <w:i/>
          <w:i/>
          <w:szCs w:val="24"/>
          <w:lang w:eastAsia="ar-SA"/>
        </w:rPr>
      </w:pPr>
      <w:r>
        <w:rPr>
          <w:szCs w:val="24"/>
          <w:lang w:eastAsia="ar-SA"/>
        </w:rPr>
        <w:t>1) Совершенствование электрохимической защиты трубопроводов, емкостей и резервуаров для хранения нефтепродуктов от коррозии, контроль за их состоянием.</w:t>
      </w:r>
    </w:p>
    <w:p>
      <w:pPr>
        <w:pStyle w:val="Normal"/>
        <w:suppressAutoHyphens w:val="true"/>
        <w:spacing w:lineRule="auto" w:line="276"/>
        <w:ind w:firstLine="709"/>
        <w:rPr>
          <w:i/>
          <w:i/>
          <w:szCs w:val="24"/>
          <w:lang w:eastAsia="ar-SA"/>
        </w:rPr>
      </w:pPr>
      <w:r>
        <w:rPr>
          <w:szCs w:val="24"/>
          <w:lang w:eastAsia="ar-SA"/>
        </w:rPr>
        <w:t>Для уменьшения аварий производится дефектоскопия труб и емкостей, применяются антикоррозийные покрытия, ингибиторы коррозии.</w:t>
      </w:r>
    </w:p>
    <w:p>
      <w:pPr>
        <w:pStyle w:val="Normal"/>
        <w:suppressAutoHyphens w:val="true"/>
        <w:spacing w:lineRule="auto" w:line="276"/>
        <w:ind w:firstLine="426"/>
        <w:rPr>
          <w:i/>
          <w:i/>
          <w:szCs w:val="24"/>
          <w:lang w:eastAsia="ar-SA"/>
        </w:rPr>
      </w:pPr>
      <w:r>
        <w:rPr>
          <w:szCs w:val="24"/>
          <w:lang w:eastAsia="ar-SA"/>
        </w:rPr>
        <w:t>2) Своевременный ремонт и замена аварийно-опасных элементов хранения и участков трубопроводов.</w:t>
      </w:r>
    </w:p>
    <w:p>
      <w:pPr>
        <w:pStyle w:val="Normal"/>
        <w:suppressAutoHyphens w:val="true"/>
        <w:spacing w:lineRule="auto" w:line="276"/>
        <w:ind w:firstLine="426"/>
        <w:rPr>
          <w:i/>
          <w:i/>
          <w:szCs w:val="24"/>
          <w:lang w:eastAsia="ar-SA"/>
        </w:rPr>
      </w:pPr>
      <w:r>
        <w:rPr>
          <w:szCs w:val="24"/>
          <w:lang w:eastAsia="ar-SA"/>
        </w:rPr>
        <w:t>3) Формирование на предприятиях аварийных подразделений, обеспеченных соответствующими специализированными машинами и механизмами.</w:t>
      </w:r>
    </w:p>
    <w:p>
      <w:pPr>
        <w:pStyle w:val="Normal"/>
        <w:suppressAutoHyphens w:val="true"/>
        <w:spacing w:lineRule="auto" w:line="276"/>
        <w:ind w:firstLine="709"/>
        <w:rPr>
          <w:i/>
          <w:i/>
          <w:szCs w:val="24"/>
          <w:lang w:eastAsia="ar-SA"/>
        </w:rPr>
      </w:pPr>
      <w:r>
        <w:rPr>
          <w:szCs w:val="24"/>
          <w:lang w:eastAsia="ar-SA"/>
        </w:rPr>
        <w:t>Как показывает анализ, основными причинами взрывов газа являются изношенность газовых трубопроводов, бытовых приборов и оборудования, а также самовольное подключение жителей к газовым сетям. Большое количество взрывов газа в жилых домах связано с бесконтрольным использованием населением газовых баллонов.</w:t>
      </w:r>
    </w:p>
    <w:p>
      <w:pPr>
        <w:pStyle w:val="Normal"/>
        <w:suppressAutoHyphens w:val="true"/>
        <w:spacing w:lineRule="auto" w:line="276"/>
        <w:ind w:firstLine="709"/>
        <w:rPr>
          <w:i/>
          <w:i/>
          <w:szCs w:val="24"/>
          <w:lang w:eastAsia="ar-SA"/>
        </w:rPr>
      </w:pPr>
      <w:r>
        <w:rPr>
          <w:szCs w:val="24"/>
          <w:lang w:eastAsia="ar-SA"/>
        </w:rPr>
        <w:t>Меры по предупреждению данных ЧС в основном связаны с осуществлением реконструкции и капитального ремонта теплоэнергетических систем и сетей жилищно-коммунального хозяйства, жилого фонда, находящегося в муниципальной собственности, а также принятием специальных программ по указанной проблеме.</w:t>
      </w:r>
    </w:p>
    <w:p>
      <w:pPr>
        <w:pStyle w:val="Normal"/>
        <w:suppressAutoHyphens w:val="true"/>
        <w:spacing w:lineRule="auto" w:line="276"/>
        <w:ind w:firstLine="709"/>
        <w:rPr>
          <w:i/>
          <w:i/>
          <w:szCs w:val="24"/>
          <w:lang w:eastAsia="ar-SA"/>
        </w:rPr>
      </w:pPr>
      <w:r>
        <w:rPr>
          <w:szCs w:val="24"/>
          <w:lang w:eastAsia="ar-SA"/>
        </w:rPr>
        <w:t>Размещение эвакуированного населения необходимо предусматривать в зданиях общественного назначения (гостиницах, домах отдыха, кинотеатрах, спортивных сооружениях, общежитиях и тому подобных). Порядок оповещения и размещения должен доводиться до всех категорий населения. Регистрация эвакоконтингента производится непосредственно в местах его размещения.</w:t>
      </w:r>
    </w:p>
    <w:p>
      <w:pPr>
        <w:pStyle w:val="Normal"/>
        <w:suppressAutoHyphens w:val="true"/>
        <w:spacing w:lineRule="auto" w:line="276"/>
        <w:ind w:firstLine="709"/>
        <w:rPr>
          <w:i/>
          <w:i/>
          <w:szCs w:val="24"/>
          <w:lang w:eastAsia="ar-SA"/>
        </w:rPr>
      </w:pPr>
      <w:r>
        <w:rPr>
          <w:szCs w:val="24"/>
          <w:lang w:eastAsia="ar-SA"/>
        </w:rPr>
        <w:t>Транспортное обеспечение и временное размещение эваконаселения осуществляется по заранее отработанным планам и в оперативном порядке.</w:t>
      </w:r>
    </w:p>
    <w:p>
      <w:pPr>
        <w:pStyle w:val="Normal"/>
        <w:suppressAutoHyphens w:val="true"/>
        <w:spacing w:lineRule="auto" w:line="276"/>
        <w:ind w:firstLine="709"/>
        <w:rPr>
          <w:lang w:eastAsia="ar-SA"/>
        </w:rPr>
      </w:pPr>
      <w:bookmarkStart w:id="333" w:name="_Hlk505602293"/>
      <w:bookmarkEnd w:id="333"/>
      <w:r>
        <w:rPr>
          <w:szCs w:val="24"/>
          <w:lang w:eastAsia="ar-SA"/>
        </w:rPr>
        <w:t>Конкретные мероприятия и размещение сооружений по предотвращению чрезвычайных ситуаций техногенного характера определяются в составе документации по планировке территории и проектной документации.</w:t>
      </w:r>
    </w:p>
    <w:p>
      <w:pPr>
        <w:pStyle w:val="Normal"/>
        <w:keepNext w:val="true"/>
        <w:numPr>
          <w:ilvl w:val="0"/>
          <w:numId w:val="0"/>
        </w:numPr>
        <w:tabs>
          <w:tab w:val="clear" w:pos="708"/>
          <w:tab w:val="left" w:pos="1276" w:leader="none"/>
        </w:tabs>
        <w:spacing w:lineRule="auto" w:line="276" w:before="120" w:after="200"/>
        <w:jc w:val="left"/>
        <w:outlineLvl w:val="2"/>
        <w:rPr>
          <w:rFonts w:eastAsia="Times New Roman"/>
          <w:b/>
          <w:b/>
          <w:bCs/>
          <w:iCs/>
          <w:szCs w:val="28"/>
          <w:lang w:eastAsia="ru-RU"/>
        </w:rPr>
      </w:pPr>
      <w:bookmarkStart w:id="334" w:name="_Hlk505602293"/>
      <w:bookmarkStart w:id="335" w:name="_Toc182210525"/>
      <w:bookmarkStart w:id="336" w:name="_Toc80964136"/>
      <w:bookmarkStart w:id="337" w:name="_Toc524627396"/>
      <w:bookmarkStart w:id="338" w:name="_Toc495308461"/>
      <w:bookmarkStart w:id="339" w:name="_Toc494982765"/>
      <w:bookmarkStart w:id="340" w:name="_Toc494115615"/>
      <w:bookmarkStart w:id="341" w:name="_Toc404855099"/>
      <w:bookmarkEnd w:id="334"/>
      <w:r>
        <w:rPr>
          <w:rFonts w:eastAsia="Times New Roman"/>
          <w:b/>
          <w:bCs/>
          <w:iCs/>
          <w:szCs w:val="28"/>
          <w:lang w:eastAsia="ru-RU"/>
        </w:rPr>
        <w:t>5.3 Перечень возможных источников чрезвычайных ситуаций биолого-социального характера</w:t>
      </w:r>
      <w:bookmarkEnd w:id="335"/>
      <w:bookmarkEnd w:id="336"/>
      <w:bookmarkEnd w:id="337"/>
      <w:bookmarkEnd w:id="338"/>
      <w:bookmarkEnd w:id="339"/>
      <w:bookmarkEnd w:id="340"/>
      <w:bookmarkEnd w:id="341"/>
    </w:p>
    <w:p>
      <w:pPr>
        <w:pStyle w:val="Normal"/>
        <w:spacing w:lineRule="auto" w:line="276"/>
        <w:ind w:firstLine="709"/>
        <w:rPr>
          <w:b/>
          <w:b/>
          <w:szCs w:val="24"/>
        </w:rPr>
      </w:pPr>
      <w:r>
        <w:rPr>
          <w:b/>
          <w:szCs w:val="24"/>
        </w:rPr>
        <w:t>Опасность эпидемий</w:t>
      </w:r>
    </w:p>
    <w:p>
      <w:pPr>
        <w:pStyle w:val="Normal"/>
        <w:spacing w:lineRule="auto" w:line="276"/>
        <w:ind w:firstLine="709"/>
        <w:rPr>
          <w:szCs w:val="24"/>
        </w:rPr>
      </w:pPr>
      <w:r>
        <w:rPr>
          <w:szCs w:val="24"/>
        </w:rPr>
        <w:t xml:space="preserve">На территории района природных очагов особо опасных инфекционных заболеваний не отмечается. Зон неблагоприятных по санитарно-эпидемиологическим показателям нет. </w:t>
      </w:r>
    </w:p>
    <w:p>
      <w:pPr>
        <w:pStyle w:val="Normal"/>
        <w:spacing w:lineRule="auto" w:line="276"/>
        <w:ind w:firstLine="709"/>
        <w:rPr>
          <w:szCs w:val="24"/>
        </w:rPr>
      </w:pPr>
      <w:r>
        <w:rPr>
          <w:szCs w:val="24"/>
        </w:rPr>
        <w:t>Согласно многолетним данным от 52–70 % от всех случаев инфекционных заболеваний приходится на грипп и острые респираторные заболевания.</w:t>
      </w:r>
    </w:p>
    <w:p>
      <w:pPr>
        <w:pStyle w:val="Normal"/>
        <w:spacing w:lineRule="auto" w:line="276"/>
        <w:ind w:firstLine="709"/>
        <w:rPr>
          <w:szCs w:val="24"/>
        </w:rPr>
      </w:pPr>
      <w:r>
        <w:rPr>
          <w:szCs w:val="24"/>
        </w:rPr>
        <w:t>Риск возникновения ЧС в области возникновения инфекционной заболеваемости людей маловероятен. Среди жителей населенных пунктов поселения возможны единичные случаи заболевания туляремией, клещевым энцефалитом.</w:t>
      </w:r>
    </w:p>
    <w:p>
      <w:pPr>
        <w:pStyle w:val="Normal"/>
        <w:spacing w:lineRule="auto" w:line="276"/>
        <w:ind w:firstLine="709"/>
        <w:rPr>
          <w:szCs w:val="24"/>
        </w:rPr>
      </w:pPr>
      <w:r>
        <w:rPr>
          <w:szCs w:val="24"/>
        </w:rPr>
        <w:t>Массовых заболеваний не наблюдается.</w:t>
      </w:r>
    </w:p>
    <w:p>
      <w:pPr>
        <w:pStyle w:val="Normal"/>
        <w:spacing w:lineRule="auto" w:line="276"/>
        <w:ind w:firstLine="709"/>
        <w:rPr>
          <w:szCs w:val="24"/>
        </w:rPr>
      </w:pPr>
      <w:r>
        <w:rPr>
          <w:szCs w:val="24"/>
        </w:rPr>
        <w:t>Масштаб возможных ЧС — муниципальная.</w:t>
      </w:r>
    </w:p>
    <w:p>
      <w:pPr>
        <w:pStyle w:val="Normal"/>
        <w:spacing w:lineRule="auto" w:line="276"/>
        <w:ind w:firstLine="709"/>
        <w:rPr>
          <w:b/>
          <w:b/>
          <w:szCs w:val="24"/>
        </w:rPr>
      </w:pPr>
      <w:r>
        <w:rPr>
          <w:b/>
          <w:szCs w:val="24"/>
        </w:rPr>
        <w:t>Опасность эпизоотий</w:t>
      </w:r>
    </w:p>
    <w:p>
      <w:pPr>
        <w:pStyle w:val="Normal"/>
        <w:spacing w:lineRule="auto" w:line="276"/>
        <w:ind w:firstLine="709"/>
        <w:rPr>
          <w:szCs w:val="24"/>
        </w:rPr>
      </w:pPr>
      <w:r>
        <w:rPr>
          <w:szCs w:val="24"/>
        </w:rPr>
        <w:t xml:space="preserve">Риск возникновения ЧС, связанных с риском заболеваемости сельскохозяйственных животных, маловероятен. </w:t>
      </w:r>
    </w:p>
    <w:p>
      <w:pPr>
        <w:pStyle w:val="Normal"/>
        <w:spacing w:lineRule="auto" w:line="276"/>
        <w:ind w:firstLine="709"/>
        <w:rPr>
          <w:szCs w:val="24"/>
        </w:rPr>
      </w:pPr>
      <w:r>
        <w:rPr>
          <w:szCs w:val="24"/>
        </w:rPr>
        <w:t>В связи с проведением полного комплекса противоэпизоотических мероприятий вспышек сибирской язвы, ящура, чумы свиней, гриппа птиц не прогнозируется. Возможен всплеск заболевания бешенством животных в период миграции.</w:t>
      </w:r>
    </w:p>
    <w:p>
      <w:pPr>
        <w:pStyle w:val="Normal"/>
        <w:spacing w:lineRule="auto" w:line="276"/>
        <w:ind w:firstLine="709"/>
        <w:rPr>
          <w:szCs w:val="24"/>
        </w:rPr>
      </w:pPr>
      <w:r>
        <w:rPr>
          <w:szCs w:val="24"/>
        </w:rPr>
        <w:t>Масштаб возможных ЧС — межмуниципальные.</w:t>
      </w:r>
    </w:p>
    <w:p>
      <w:pPr>
        <w:pStyle w:val="Normal"/>
        <w:spacing w:lineRule="auto" w:line="276"/>
        <w:ind w:firstLine="709"/>
        <w:rPr>
          <w:szCs w:val="24"/>
        </w:rPr>
      </w:pPr>
      <w:r>
        <w:rPr>
          <w:szCs w:val="24"/>
        </w:rPr>
        <w:t>Источники ЧС биолого-социального характера на территории Катенинского сельского поселения отсутствуют.</w:t>
      </w:r>
    </w:p>
    <w:p>
      <w:pPr>
        <w:pStyle w:val="Normal"/>
        <w:spacing w:lineRule="auto" w:line="276"/>
        <w:ind w:firstLine="709"/>
        <w:rPr>
          <w:b/>
          <w:b/>
          <w:szCs w:val="24"/>
        </w:rPr>
      </w:pPr>
      <w:r>
        <w:rPr>
          <w:b/>
          <w:szCs w:val="24"/>
        </w:rPr>
        <w:t xml:space="preserve">Мероприятия по предотвращению чрезвычайных ситуаций биолого-социального характера </w:t>
      </w:r>
    </w:p>
    <w:p>
      <w:pPr>
        <w:pStyle w:val="Normal"/>
        <w:spacing w:lineRule="auto" w:line="276"/>
        <w:ind w:firstLine="709"/>
        <w:rPr>
          <w:rFonts w:eastAsia="Times New Roman"/>
          <w:b/>
          <w:b/>
          <w:szCs w:val="24"/>
        </w:rPr>
      </w:pPr>
      <w:r>
        <w:rPr/>
        <w:t>Для предотвращения биолого-социальных чрезвычайных ситуаций необходимо проведение мероприятий по следующим направлениям:</w:t>
      </w:r>
    </w:p>
    <w:p>
      <w:pPr>
        <w:pStyle w:val="Normal"/>
        <w:numPr>
          <w:ilvl w:val="0"/>
          <w:numId w:val="43"/>
        </w:numPr>
        <w:spacing w:lineRule="auto" w:line="276" w:before="0" w:after="200"/>
        <w:ind w:left="0" w:firstLine="426"/>
        <w:contextualSpacing/>
        <w:rPr>
          <w:rFonts w:eastAsia="Times New Roman"/>
          <w:b/>
          <w:b/>
          <w:szCs w:val="24"/>
        </w:rPr>
      </w:pPr>
      <w:r>
        <w:rPr/>
        <w:t>внедрение комплексного подхода к реализации мер по предупреждению распространения инфекций, включающий надзор, профилактику и лечение инфекционных болезней;</w:t>
      </w:r>
    </w:p>
    <w:p>
      <w:pPr>
        <w:pStyle w:val="Normal"/>
        <w:numPr>
          <w:ilvl w:val="0"/>
          <w:numId w:val="43"/>
        </w:numPr>
        <w:spacing w:lineRule="auto" w:line="276" w:before="0" w:after="200"/>
        <w:ind w:left="0" w:firstLine="426"/>
        <w:contextualSpacing/>
        <w:rPr>
          <w:rFonts w:eastAsia="Times New Roman"/>
          <w:b/>
          <w:b/>
          <w:szCs w:val="24"/>
        </w:rPr>
      </w:pPr>
      <w:r>
        <w:rPr/>
        <w:t>наращивание усилий по профилактике инфекционных болезней, в том числе путем расширения программ иммунизации населения, проведения информационно-просветительской работы и социальной поддержке групп населения, наиболее уязвимых к инфекционным болезням.</w:t>
      </w:r>
    </w:p>
    <w:p>
      <w:pPr>
        <w:pStyle w:val="Normal"/>
        <w:keepNext w:val="true"/>
        <w:numPr>
          <w:ilvl w:val="0"/>
          <w:numId w:val="0"/>
        </w:numPr>
        <w:tabs>
          <w:tab w:val="clear" w:pos="708"/>
          <w:tab w:val="left" w:pos="1276" w:leader="none"/>
        </w:tabs>
        <w:spacing w:lineRule="auto" w:line="276" w:before="120" w:after="200"/>
        <w:jc w:val="left"/>
        <w:outlineLvl w:val="2"/>
        <w:rPr>
          <w:rFonts w:eastAsia="Times New Roman"/>
          <w:b/>
          <w:b/>
          <w:bCs/>
          <w:iCs/>
          <w:szCs w:val="28"/>
          <w:lang w:eastAsia="ru-RU"/>
        </w:rPr>
      </w:pPr>
      <w:bookmarkStart w:id="342" w:name="_Toc182210526"/>
      <w:bookmarkStart w:id="343" w:name="_Toc80964137"/>
      <w:bookmarkStart w:id="344" w:name="_Toc524627397"/>
      <w:bookmarkStart w:id="345" w:name="_Toc474218805"/>
      <w:bookmarkStart w:id="346" w:name="_Toc461448744"/>
      <w:r>
        <w:rPr>
          <w:rFonts w:eastAsia="Times New Roman"/>
          <w:b/>
          <w:bCs/>
          <w:iCs/>
          <w:szCs w:val="28"/>
          <w:lang w:eastAsia="ru-RU"/>
        </w:rPr>
        <w:t xml:space="preserve">5.4 </w:t>
      </w:r>
      <w:bookmarkEnd w:id="345"/>
      <w:bookmarkEnd w:id="346"/>
      <w:r>
        <w:rPr>
          <w:rFonts w:eastAsia="Times New Roman"/>
          <w:b/>
          <w:bCs/>
          <w:iCs/>
          <w:szCs w:val="28"/>
          <w:lang w:eastAsia="ru-RU"/>
        </w:rPr>
        <w:t>Перечень мероприятий по обеспечению пожарной безопасности</w:t>
      </w:r>
      <w:bookmarkEnd w:id="342"/>
      <w:bookmarkEnd w:id="343"/>
      <w:bookmarkEnd w:id="344"/>
    </w:p>
    <w:p>
      <w:pPr>
        <w:pStyle w:val="Normal"/>
        <w:spacing w:lineRule="auto" w:line="276"/>
        <w:ind w:firstLine="709"/>
        <w:rPr>
          <w:szCs w:val="24"/>
        </w:rPr>
      </w:pPr>
      <w:r>
        <w:rPr>
          <w:szCs w:val="24"/>
        </w:rPr>
        <w:t>В соответствии с Федеральным законом от 22.07.2008 № 123-ФЗ «Технический регламент о требованиях пожарной безопасности» к опасным факторам пожара, воздействующим на людей и имущество, относятся:</w:t>
      </w:r>
    </w:p>
    <w:p>
      <w:pPr>
        <w:pStyle w:val="Normal"/>
        <w:tabs>
          <w:tab w:val="clear" w:pos="708"/>
          <w:tab w:val="left" w:pos="0" w:leader="none"/>
        </w:tabs>
        <w:spacing w:lineRule="auto" w:line="276"/>
        <w:ind w:firstLine="426"/>
        <w:rPr>
          <w:szCs w:val="24"/>
        </w:rPr>
      </w:pPr>
      <w:r>
        <w:rPr>
          <w:szCs w:val="24"/>
        </w:rPr>
        <w:t>–</w:t>
      </w:r>
      <w:r>
        <w:rPr>
          <w:szCs w:val="24"/>
        </w:rPr>
        <w:tab/>
        <w:t>пламя и искры;</w:t>
      </w:r>
    </w:p>
    <w:p>
      <w:pPr>
        <w:pStyle w:val="Normal"/>
        <w:tabs>
          <w:tab w:val="clear" w:pos="708"/>
          <w:tab w:val="left" w:pos="0" w:leader="none"/>
        </w:tabs>
        <w:spacing w:lineRule="auto" w:line="276"/>
        <w:ind w:firstLine="426"/>
        <w:rPr>
          <w:szCs w:val="24"/>
        </w:rPr>
      </w:pPr>
      <w:r>
        <w:rPr>
          <w:szCs w:val="24"/>
        </w:rPr>
        <w:t>–</w:t>
      </w:r>
      <w:r>
        <w:rPr>
          <w:szCs w:val="24"/>
        </w:rPr>
        <w:tab/>
        <w:t>тепловой поток;</w:t>
      </w:r>
    </w:p>
    <w:p>
      <w:pPr>
        <w:pStyle w:val="Normal"/>
        <w:tabs>
          <w:tab w:val="clear" w:pos="708"/>
          <w:tab w:val="left" w:pos="0" w:leader="none"/>
        </w:tabs>
        <w:spacing w:lineRule="auto" w:line="276"/>
        <w:ind w:firstLine="426"/>
        <w:rPr>
          <w:szCs w:val="24"/>
        </w:rPr>
      </w:pPr>
      <w:r>
        <w:rPr>
          <w:szCs w:val="24"/>
        </w:rPr>
        <w:t>–</w:t>
      </w:r>
      <w:r>
        <w:rPr>
          <w:szCs w:val="24"/>
        </w:rPr>
        <w:tab/>
        <w:t>повышенная температура окружающей среды;</w:t>
      </w:r>
    </w:p>
    <w:p>
      <w:pPr>
        <w:pStyle w:val="Normal"/>
        <w:tabs>
          <w:tab w:val="clear" w:pos="708"/>
          <w:tab w:val="left" w:pos="0" w:leader="none"/>
        </w:tabs>
        <w:spacing w:lineRule="auto" w:line="276"/>
        <w:ind w:firstLine="426"/>
        <w:rPr>
          <w:szCs w:val="24"/>
        </w:rPr>
      </w:pPr>
      <w:r>
        <w:rPr>
          <w:szCs w:val="24"/>
        </w:rPr>
        <w:t>–</w:t>
      </w:r>
      <w:r>
        <w:rPr>
          <w:szCs w:val="24"/>
        </w:rPr>
        <w:tab/>
        <w:t>повышенная концентрация токсичных продуктов горения и термического разложения;</w:t>
      </w:r>
    </w:p>
    <w:p>
      <w:pPr>
        <w:pStyle w:val="Normal"/>
        <w:tabs>
          <w:tab w:val="clear" w:pos="708"/>
          <w:tab w:val="left" w:pos="0" w:leader="none"/>
        </w:tabs>
        <w:spacing w:lineRule="auto" w:line="276"/>
        <w:ind w:firstLine="426"/>
        <w:rPr>
          <w:szCs w:val="24"/>
        </w:rPr>
      </w:pPr>
      <w:r>
        <w:rPr>
          <w:szCs w:val="24"/>
        </w:rPr>
        <w:t>–</w:t>
      </w:r>
      <w:r>
        <w:rPr>
          <w:szCs w:val="24"/>
        </w:rPr>
        <w:tab/>
        <w:t>пониженная концентрация кислорода;</w:t>
      </w:r>
    </w:p>
    <w:p>
      <w:pPr>
        <w:pStyle w:val="Normal"/>
        <w:tabs>
          <w:tab w:val="clear" w:pos="708"/>
          <w:tab w:val="left" w:pos="0" w:leader="none"/>
        </w:tabs>
        <w:spacing w:lineRule="auto" w:line="276"/>
        <w:ind w:firstLine="426"/>
        <w:rPr>
          <w:szCs w:val="24"/>
        </w:rPr>
      </w:pPr>
      <w:r>
        <w:rPr>
          <w:szCs w:val="24"/>
        </w:rPr>
        <w:t>–</w:t>
      </w:r>
      <w:r>
        <w:rPr>
          <w:szCs w:val="24"/>
        </w:rPr>
        <w:tab/>
        <w:t>снижение видимости в дыму.</w:t>
      </w:r>
    </w:p>
    <w:p>
      <w:pPr>
        <w:pStyle w:val="Normal"/>
        <w:spacing w:lineRule="auto" w:line="276"/>
        <w:ind w:firstLine="709"/>
        <w:rPr>
          <w:szCs w:val="24"/>
        </w:rPr>
      </w:pPr>
      <w:r>
        <w:rPr>
          <w:szCs w:val="24"/>
        </w:rPr>
        <w:t>К сопутствующим проявлениям опасных факторов пожара относятся:</w:t>
      </w:r>
    </w:p>
    <w:p>
      <w:pPr>
        <w:pStyle w:val="Normal"/>
        <w:tabs>
          <w:tab w:val="clear" w:pos="708"/>
          <w:tab w:val="left" w:pos="0" w:leader="none"/>
        </w:tabs>
        <w:spacing w:lineRule="auto" w:line="276"/>
        <w:ind w:firstLine="426"/>
        <w:rPr>
          <w:szCs w:val="24"/>
        </w:rPr>
      </w:pPr>
      <w:r>
        <w:rPr>
          <w:szCs w:val="24"/>
        </w:rPr>
        <w:t>–</w:t>
      </w:r>
      <w:r>
        <w:rPr>
          <w:szCs w:val="24"/>
        </w:rPr>
        <w:tab/>
        <w:t>осколки, части разрушившихся зданий, сооружений, строений, транспортных средств, технологических установок, оборудования, агрегатов, изделий и иного имущества;</w:t>
      </w:r>
    </w:p>
    <w:p>
      <w:pPr>
        <w:pStyle w:val="Normal"/>
        <w:tabs>
          <w:tab w:val="clear" w:pos="708"/>
          <w:tab w:val="left" w:pos="0" w:leader="none"/>
        </w:tabs>
        <w:spacing w:lineRule="auto" w:line="276"/>
        <w:ind w:firstLine="426"/>
        <w:rPr>
          <w:szCs w:val="24"/>
        </w:rPr>
      </w:pPr>
      <w:r>
        <w:rPr>
          <w:szCs w:val="24"/>
        </w:rPr>
        <w:t>–</w:t>
      </w:r>
      <w:r>
        <w:rPr>
          <w:szCs w:val="24"/>
        </w:rPr>
        <w:tab/>
        <w:t>радиоактивные и токсичные вещества и материалы, попавшие в окружающую среду из разрушенных технологических установок, оборудования, агрегатов, изделий и иного имущества;</w:t>
      </w:r>
    </w:p>
    <w:p>
      <w:pPr>
        <w:pStyle w:val="Normal"/>
        <w:tabs>
          <w:tab w:val="clear" w:pos="708"/>
          <w:tab w:val="left" w:pos="0" w:leader="none"/>
        </w:tabs>
        <w:spacing w:lineRule="auto" w:line="276"/>
        <w:ind w:firstLine="426"/>
        <w:rPr>
          <w:szCs w:val="24"/>
        </w:rPr>
      </w:pPr>
      <w:r>
        <w:rPr>
          <w:szCs w:val="24"/>
        </w:rPr>
        <w:t>–</w:t>
      </w:r>
      <w:r>
        <w:rPr>
          <w:szCs w:val="24"/>
        </w:rPr>
        <w:tab/>
        <w:t>вынос высокого напряжения на токопроводящие части технологических установок, оборудования, агрегатов, изделий и иного имущества;</w:t>
      </w:r>
    </w:p>
    <w:p>
      <w:pPr>
        <w:pStyle w:val="Normal"/>
        <w:tabs>
          <w:tab w:val="clear" w:pos="708"/>
          <w:tab w:val="left" w:pos="0" w:leader="none"/>
        </w:tabs>
        <w:spacing w:lineRule="auto" w:line="276"/>
        <w:ind w:firstLine="426"/>
        <w:rPr>
          <w:szCs w:val="24"/>
        </w:rPr>
      </w:pPr>
      <w:r>
        <w:rPr>
          <w:szCs w:val="24"/>
        </w:rPr>
        <w:t>–</w:t>
      </w:r>
      <w:r>
        <w:rPr>
          <w:szCs w:val="24"/>
        </w:rPr>
        <w:tab/>
        <w:t>опасные факторы взрыва, происшедшего вследствие пожара;</w:t>
      </w:r>
    </w:p>
    <w:p>
      <w:pPr>
        <w:pStyle w:val="Normal"/>
        <w:tabs>
          <w:tab w:val="clear" w:pos="708"/>
          <w:tab w:val="left" w:pos="0" w:leader="none"/>
        </w:tabs>
        <w:spacing w:lineRule="auto" w:line="276"/>
        <w:ind w:firstLine="426"/>
        <w:rPr>
          <w:szCs w:val="24"/>
        </w:rPr>
      </w:pPr>
      <w:r>
        <w:rPr>
          <w:szCs w:val="24"/>
        </w:rPr>
        <w:t>–</w:t>
      </w:r>
      <w:r>
        <w:rPr>
          <w:szCs w:val="24"/>
        </w:rPr>
        <w:tab/>
        <w:t>воздействие огнетушащих веществ.</w:t>
      </w:r>
    </w:p>
    <w:p>
      <w:pPr>
        <w:pStyle w:val="Normal"/>
        <w:spacing w:lineRule="auto" w:line="276"/>
        <w:ind w:firstLine="709"/>
        <w:rPr>
          <w:szCs w:val="24"/>
        </w:rPr>
      </w:pPr>
      <w:r>
        <w:rPr>
          <w:szCs w:val="24"/>
        </w:rPr>
        <w:t>В соответствии с Федеральным законом от 22.07.2008 № 123-ФЗ «Технический регламент о требованиях пожарной безопасности»: «Планировка и застройка территорий поселений должны осуществляться в соответствии с генеральными планами поселений, учитывающими требования пожарной безопасности, установленные настоящим Федеральным законом».</w:t>
      </w:r>
    </w:p>
    <w:p>
      <w:pPr>
        <w:pStyle w:val="Normal"/>
        <w:numPr>
          <w:ilvl w:val="0"/>
          <w:numId w:val="53"/>
        </w:numPr>
        <w:tabs>
          <w:tab w:val="clear" w:pos="708"/>
          <w:tab w:val="left" w:pos="709" w:leader="none"/>
        </w:tabs>
        <w:spacing w:lineRule="auto" w:line="276" w:before="0" w:after="200"/>
        <w:ind w:left="0" w:firstLine="425"/>
        <w:contextualSpacing/>
        <w:rPr>
          <w:iCs/>
          <w:szCs w:val="24"/>
        </w:rPr>
      </w:pPr>
      <w:r>
        <w:rPr>
          <w:szCs w:val="24"/>
        </w:rPr>
        <w:t>«</w:t>
      </w:r>
      <w:r>
        <w:rPr>
          <w:iCs/>
          <w:szCs w:val="24"/>
        </w:rPr>
        <w:t>Каждый объект защиты должен иметь систему обеспечения пожарной безопасности.</w:t>
      </w:r>
    </w:p>
    <w:p>
      <w:pPr>
        <w:pStyle w:val="Normal"/>
        <w:numPr>
          <w:ilvl w:val="0"/>
          <w:numId w:val="53"/>
        </w:numPr>
        <w:tabs>
          <w:tab w:val="clear" w:pos="708"/>
          <w:tab w:val="left" w:pos="709" w:leader="none"/>
        </w:tabs>
        <w:spacing w:lineRule="auto" w:line="276" w:before="0" w:after="200"/>
        <w:ind w:left="0" w:firstLine="425"/>
        <w:contextualSpacing/>
        <w:rPr>
          <w:iCs/>
          <w:szCs w:val="24"/>
          <w:lang w:eastAsia="ru-RU"/>
        </w:rPr>
      </w:pPr>
      <w:r>
        <w:rPr>
          <w:iCs/>
          <w:szCs w:val="24"/>
          <w:lang w:eastAsia="ru-RU"/>
        </w:rPr>
        <w:t>Целью создания системы обеспечения пожарной безопасности объекта защиты является предотвращение пожара, обеспечение безопасности людей и защита имущества при пожаре.</w:t>
      </w:r>
    </w:p>
    <w:p>
      <w:pPr>
        <w:pStyle w:val="Normal"/>
        <w:numPr>
          <w:ilvl w:val="0"/>
          <w:numId w:val="53"/>
        </w:numPr>
        <w:tabs>
          <w:tab w:val="clear" w:pos="708"/>
          <w:tab w:val="left" w:pos="709" w:leader="none"/>
        </w:tabs>
        <w:spacing w:lineRule="auto" w:line="276" w:before="0" w:after="200"/>
        <w:ind w:left="0" w:firstLine="425"/>
        <w:contextualSpacing/>
        <w:rPr>
          <w:iCs/>
          <w:szCs w:val="24"/>
          <w:lang w:eastAsia="ru-RU"/>
        </w:rPr>
      </w:pPr>
      <w:r>
        <w:rPr>
          <w:iCs/>
          <w:szCs w:val="24"/>
          <w:lang w:eastAsia="ru-RU"/>
        </w:rPr>
        <w:t>Система обеспечения пожарной безопасности объекта защиты включает в себя систему предотвращения пожара, систему противопожарной защиты, комплекс организационно-технических мероприятий по обеспечению пожарной безопасности.</w:t>
      </w:r>
    </w:p>
    <w:p>
      <w:pPr>
        <w:pStyle w:val="Normal"/>
        <w:numPr>
          <w:ilvl w:val="0"/>
          <w:numId w:val="53"/>
        </w:numPr>
        <w:tabs>
          <w:tab w:val="clear" w:pos="708"/>
          <w:tab w:val="left" w:pos="709" w:leader="none"/>
        </w:tabs>
        <w:spacing w:lineRule="auto" w:line="276" w:before="0" w:after="200"/>
        <w:ind w:left="0" w:firstLine="425"/>
        <w:contextualSpacing/>
        <w:rPr>
          <w:szCs w:val="24"/>
        </w:rPr>
      </w:pPr>
      <w:r>
        <w:rPr>
          <w:iCs/>
          <w:szCs w:val="24"/>
          <w:lang w:eastAsia="ru-RU"/>
        </w:rPr>
        <w:t>Система обеспечения пожарной безопасности объекта защиты в обязательном порядке должна содержать комплекс мероприятий, исключающих возможность превышения значений допустимого пожарного риска, установленного настоящим Федеральным законом, и направленных на предотвращение опасности причинения вреда третьим лицам в результате пожара» (статья 5 Федерального закона от 22.07.2008 № 123-ФЗ «</w:t>
      </w:r>
      <w:r>
        <w:rPr>
          <w:szCs w:val="24"/>
        </w:rPr>
        <w:t>Технический регламент о требованиях пожарной безопасности»).</w:t>
      </w:r>
    </w:p>
    <w:p>
      <w:pPr>
        <w:pStyle w:val="Normal"/>
        <w:spacing w:lineRule="auto" w:line="276"/>
        <w:ind w:firstLine="709"/>
        <w:rPr>
          <w:szCs w:val="24"/>
          <w:lang w:eastAsia="ru-RU"/>
        </w:rPr>
      </w:pPr>
      <w:r>
        <w:rPr>
          <w:szCs w:val="24"/>
          <w:lang w:eastAsia="ru-RU"/>
        </w:rPr>
        <w:t>«Пожарная безопасность объекта защиты считается обеспеченной при выполнении одного из следующих условий:</w:t>
      </w:r>
    </w:p>
    <w:p>
      <w:pPr>
        <w:pStyle w:val="Normal"/>
        <w:numPr>
          <w:ilvl w:val="0"/>
          <w:numId w:val="54"/>
        </w:numPr>
        <w:tabs>
          <w:tab w:val="clear" w:pos="708"/>
          <w:tab w:val="left" w:pos="709" w:leader="none"/>
        </w:tabs>
        <w:spacing w:lineRule="auto" w:line="276" w:before="0" w:after="200"/>
        <w:ind w:left="0" w:firstLine="425"/>
        <w:contextualSpacing/>
        <w:rPr>
          <w:szCs w:val="24"/>
          <w:lang w:eastAsia="ru-RU"/>
        </w:rPr>
      </w:pPr>
      <w:r>
        <w:rPr>
          <w:szCs w:val="24"/>
          <w:lang w:eastAsia="ru-RU"/>
        </w:rPr>
        <w:t xml:space="preserve">В полном объеме выполнены требования пожарной безопасности, установленные техническими регламентами, принятыми в соответствии с Федеральным </w:t>
      </w:r>
      <w:hyperlink r:id="rId158">
        <w:r>
          <w:rPr>
            <w:szCs w:val="24"/>
            <w:lang w:eastAsia="ru-RU"/>
          </w:rPr>
          <w:t>законом</w:t>
        </w:r>
      </w:hyperlink>
      <w:r>
        <w:rPr>
          <w:szCs w:val="24"/>
          <w:lang w:eastAsia="ru-RU"/>
        </w:rPr>
        <w:t xml:space="preserve"> «О техническом регулировании», и пожарный риск не превышает допустимых значений, установленных настоящим Федеральным законом;</w:t>
      </w:r>
    </w:p>
    <w:p>
      <w:pPr>
        <w:pStyle w:val="Normal"/>
        <w:numPr>
          <w:ilvl w:val="0"/>
          <w:numId w:val="54"/>
        </w:numPr>
        <w:tabs>
          <w:tab w:val="clear" w:pos="708"/>
          <w:tab w:val="left" w:pos="709" w:leader="none"/>
        </w:tabs>
        <w:spacing w:lineRule="auto" w:line="276" w:before="0" w:after="200"/>
        <w:ind w:left="0" w:firstLine="425"/>
        <w:contextualSpacing/>
        <w:rPr>
          <w:iCs/>
          <w:szCs w:val="24"/>
          <w:lang w:eastAsia="ru-RU"/>
        </w:rPr>
      </w:pPr>
      <w:r>
        <w:rPr>
          <w:szCs w:val="24"/>
          <w:lang w:eastAsia="ru-RU"/>
        </w:rPr>
        <w:t xml:space="preserve">В полном объеме выполнены требования пожарной безопасности, установленные техническими регламентами, принятыми в соответствии с Федеральным </w:t>
      </w:r>
      <w:hyperlink r:id="rId159">
        <w:r>
          <w:rPr>
            <w:szCs w:val="24"/>
            <w:lang w:eastAsia="ru-RU"/>
          </w:rPr>
          <w:t>законом</w:t>
        </w:r>
      </w:hyperlink>
      <w:r>
        <w:rPr>
          <w:szCs w:val="24"/>
          <w:lang w:eastAsia="ru-RU"/>
        </w:rPr>
        <w:t xml:space="preserve"> «О техническом регулировании» и нормативными документами по пожарной безопасности» </w:t>
      </w:r>
      <w:r>
        <w:rPr>
          <w:szCs w:val="24"/>
        </w:rPr>
        <w:t>(статья 6 Федерального закона от 22.07.2008 № 123-ФЗ «Технический регламент о требованиях пожарной безопасности»).</w:t>
      </w:r>
    </w:p>
    <w:p>
      <w:pPr>
        <w:pStyle w:val="Normal"/>
        <w:spacing w:lineRule="auto" w:line="276"/>
        <w:ind w:firstLine="709"/>
        <w:rPr>
          <w:iCs/>
          <w:szCs w:val="24"/>
          <w:lang w:eastAsia="ru-RU"/>
        </w:rPr>
      </w:pPr>
      <w:r>
        <w:rPr>
          <w:iCs/>
          <w:szCs w:val="24"/>
          <w:lang w:eastAsia="ru-RU"/>
        </w:rPr>
        <w:t xml:space="preserve">«Пожарная безопасность городских и сельских поселений, городских округов и закрытых административно-территориальных образований обеспечивается в рамках реализации мер пожарной безопасности соответствующими органами государственной власти, органами местного самоуправления в соответствии со </w:t>
      </w:r>
      <w:hyperlink r:id="rId160">
        <w:r>
          <w:rPr>
            <w:szCs w:val="24"/>
            <w:lang w:eastAsia="ru-RU"/>
          </w:rPr>
          <w:t>статьей 63</w:t>
        </w:r>
      </w:hyperlink>
      <w:r>
        <w:rPr>
          <w:iCs/>
          <w:szCs w:val="24"/>
          <w:lang w:eastAsia="ru-RU"/>
        </w:rPr>
        <w:t xml:space="preserve"> настоящего Федерального закона»</w:t>
      </w:r>
      <w:r>
        <w:rPr>
          <w:szCs w:val="24"/>
        </w:rPr>
        <w:t xml:space="preserve"> </w:t>
        <w:br/>
        <w:t>(Статья 6 Федерального закона от 22.07.2008 № 123-ФЗ «Технический регламент о требованиях пожарной безопасности»).</w:t>
      </w:r>
    </w:p>
    <w:p>
      <w:pPr>
        <w:pStyle w:val="Normal"/>
        <w:tabs>
          <w:tab w:val="clear" w:pos="708"/>
          <w:tab w:val="left" w:pos="993" w:leader="none"/>
        </w:tabs>
        <w:spacing w:lineRule="auto" w:line="276"/>
        <w:ind w:firstLine="709"/>
        <w:rPr>
          <w:rFonts w:eastAsia="Times New Roman"/>
          <w:szCs w:val="24"/>
        </w:rPr>
      </w:pPr>
      <w:r>
        <w:rPr>
          <w:rFonts w:eastAsia="Times New Roman"/>
          <w:szCs w:val="24"/>
          <w:lang w:eastAsia="ru-RU"/>
        </w:rPr>
        <w:t xml:space="preserve">Исходя из постановления Правительства Российской Федерации от 16.04.2011 установлены </w:t>
      </w:r>
      <w:r>
        <w:rPr>
          <w:rFonts w:eastAsia="Times New Roman"/>
          <w:szCs w:val="24"/>
        </w:rPr>
        <w:t>меры противопожарного обустройства лесов:</w:t>
      </w:r>
    </w:p>
    <w:p>
      <w:pPr>
        <w:pStyle w:val="Normal"/>
        <w:widowControl w:val="false"/>
        <w:numPr>
          <w:ilvl w:val="0"/>
          <w:numId w:val="55"/>
        </w:numPr>
        <w:tabs>
          <w:tab w:val="clear" w:pos="708"/>
          <w:tab w:val="left" w:pos="0" w:leader="none"/>
        </w:tabs>
        <w:spacing w:lineRule="auto" w:line="276" w:before="0" w:after="200"/>
        <w:ind w:left="0" w:firstLine="425"/>
        <w:contextualSpacing/>
        <w:rPr>
          <w:szCs w:val="24"/>
        </w:rPr>
      </w:pPr>
      <w:r>
        <w:rPr>
          <w:szCs w:val="24"/>
        </w:rPr>
        <w:t>Прочистка просек, прочистка противопожарных минерализованных полос и их обновление;</w:t>
      </w:r>
    </w:p>
    <w:p>
      <w:pPr>
        <w:pStyle w:val="Normal"/>
        <w:widowControl w:val="false"/>
        <w:numPr>
          <w:ilvl w:val="0"/>
          <w:numId w:val="55"/>
        </w:numPr>
        <w:tabs>
          <w:tab w:val="clear" w:pos="708"/>
          <w:tab w:val="left" w:pos="0" w:leader="none"/>
        </w:tabs>
        <w:spacing w:lineRule="auto" w:line="276" w:before="0" w:after="200"/>
        <w:ind w:left="0" w:firstLine="425"/>
        <w:contextualSpacing/>
        <w:rPr>
          <w:szCs w:val="24"/>
        </w:rPr>
      </w:pPr>
      <w:r>
        <w:rPr>
          <w:szCs w:val="24"/>
        </w:rPr>
        <w:t>Эксплуатация пожарных водоемов и подъездов к источникам водоснабжения;</w:t>
      </w:r>
    </w:p>
    <w:p>
      <w:pPr>
        <w:pStyle w:val="Normal"/>
        <w:widowControl w:val="false"/>
        <w:numPr>
          <w:ilvl w:val="0"/>
          <w:numId w:val="55"/>
        </w:numPr>
        <w:tabs>
          <w:tab w:val="clear" w:pos="708"/>
          <w:tab w:val="left" w:pos="0" w:leader="none"/>
        </w:tabs>
        <w:spacing w:lineRule="auto" w:line="276" w:before="0" w:after="200"/>
        <w:ind w:left="0" w:firstLine="425"/>
        <w:contextualSpacing/>
        <w:rPr>
          <w:szCs w:val="24"/>
        </w:rPr>
      </w:pPr>
      <w:r>
        <w:rPr>
          <w:szCs w:val="24"/>
        </w:rPr>
        <w:t xml:space="preserve">Благоустройство зон отдыха граждан, пребывающих в лесах в соответствии со </w:t>
      </w:r>
      <w:hyperlink r:id="rId161">
        <w:r>
          <w:rPr>
            <w:szCs w:val="24"/>
          </w:rPr>
          <w:t>статьей 11</w:t>
        </w:r>
      </w:hyperlink>
      <w:r>
        <w:rPr>
          <w:szCs w:val="24"/>
        </w:rPr>
        <w:t xml:space="preserve"> Лесного кодекса Российской Федерации;</w:t>
      </w:r>
    </w:p>
    <w:p>
      <w:pPr>
        <w:pStyle w:val="Normal"/>
        <w:widowControl w:val="false"/>
        <w:numPr>
          <w:ilvl w:val="0"/>
          <w:numId w:val="55"/>
        </w:numPr>
        <w:tabs>
          <w:tab w:val="clear" w:pos="708"/>
          <w:tab w:val="left" w:pos="0" w:leader="none"/>
        </w:tabs>
        <w:spacing w:lineRule="auto" w:line="276" w:before="0" w:after="200"/>
        <w:ind w:left="0" w:firstLine="425"/>
        <w:contextualSpacing/>
        <w:rPr>
          <w:szCs w:val="24"/>
        </w:rPr>
      </w:pPr>
      <w:r>
        <w:rPr>
          <w:szCs w:val="24"/>
        </w:rPr>
        <w:t>Установка и эксплуатация шлагбаумов, устройство преград, обеспечивающих ограничение пребывания граждан в лесах в целях обеспечения пожарной безопасности;</w:t>
      </w:r>
    </w:p>
    <w:p>
      <w:pPr>
        <w:pStyle w:val="Normal"/>
        <w:widowControl w:val="false"/>
        <w:numPr>
          <w:ilvl w:val="0"/>
          <w:numId w:val="55"/>
        </w:numPr>
        <w:tabs>
          <w:tab w:val="clear" w:pos="708"/>
          <w:tab w:val="left" w:pos="0" w:leader="none"/>
        </w:tabs>
        <w:spacing w:lineRule="auto" w:line="276" w:before="0" w:after="200"/>
        <w:ind w:left="0" w:firstLine="425"/>
        <w:contextualSpacing/>
        <w:rPr>
          <w:szCs w:val="24"/>
        </w:rPr>
      </w:pPr>
      <w:r>
        <w:rPr>
          <w:szCs w:val="24"/>
        </w:rPr>
        <w:t>Создание и содержание противопожарных заслонов и устройство лиственных опушек;</w:t>
      </w:r>
    </w:p>
    <w:p>
      <w:pPr>
        <w:pStyle w:val="Normal"/>
        <w:widowControl w:val="false"/>
        <w:numPr>
          <w:ilvl w:val="0"/>
          <w:numId w:val="55"/>
        </w:numPr>
        <w:tabs>
          <w:tab w:val="clear" w:pos="708"/>
          <w:tab w:val="left" w:pos="0" w:leader="none"/>
        </w:tabs>
        <w:spacing w:lineRule="auto" w:line="276" w:before="0" w:after="200"/>
        <w:ind w:left="0" w:firstLine="425"/>
        <w:contextualSpacing/>
        <w:rPr>
          <w:szCs w:val="24"/>
        </w:rPr>
      </w:pPr>
      <w:r>
        <w:rPr>
          <w:szCs w:val="24"/>
        </w:rPr>
        <w:t>Установка и размещение стендов и других знаков и указателей, содержащих информацию о мерах пожарной безопасности в лесах.</w:t>
      </w:r>
    </w:p>
    <w:p>
      <w:pPr>
        <w:pStyle w:val="Normal"/>
        <w:widowControl w:val="false"/>
        <w:spacing w:lineRule="auto" w:line="276"/>
        <w:ind w:firstLine="709"/>
        <w:rPr>
          <w:rFonts w:eastAsia="Times New Roman"/>
          <w:b/>
          <w:b/>
          <w:bCs/>
          <w:szCs w:val="24"/>
        </w:rPr>
      </w:pPr>
      <w:r>
        <w:rPr>
          <w:rFonts w:eastAsia="Times New Roman"/>
          <w:b/>
          <w:bCs/>
          <w:szCs w:val="24"/>
        </w:rPr>
        <w:t>Общие требования пожарной безопасности в лесах</w:t>
      </w:r>
    </w:p>
    <w:p>
      <w:pPr>
        <w:pStyle w:val="Normal"/>
        <w:widowControl w:val="false"/>
        <w:tabs>
          <w:tab w:val="clear" w:pos="708"/>
          <w:tab w:val="left" w:pos="993" w:leader="none"/>
          <w:tab w:val="left" w:pos="1560" w:leader="none"/>
        </w:tabs>
        <w:spacing w:lineRule="auto" w:line="276"/>
        <w:ind w:firstLine="709"/>
        <w:rPr>
          <w:rFonts w:eastAsia="Times New Roman"/>
          <w:bCs/>
          <w:szCs w:val="24"/>
        </w:rPr>
      </w:pPr>
      <w:r>
        <w:rPr>
          <w:rFonts w:eastAsia="Times New Roman"/>
          <w:bCs/>
          <w:szCs w:val="24"/>
        </w:rPr>
        <w:t>В период со дня схода снежного покрова до установления устойчивой дождливой осенней погоды или образования снежного покрова в лесах запрещается:</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разводить костры в хвойных молодняках, на гарях, на участках поврежденного леса, торфяниках, в местах рубок (на лесосеках), не очищенных от порубочных остатков и заготовленной древесины, в местах с подсохшей травой, а также под кронами деревьев. В других местах разведение костров допускается на площадках, отделенных противопожарной минерализованной (то есть очищенной до минерального слоя почвы) полосой шириной не менее 0,5 метра. После завершения сжигания порубочных остатков или использования с иной целью костер должен быть тщательно засыпан землей или залит водой до полного прекращения тления (</w:t>
      </w:r>
      <w:hyperlink r:id="rId162">
        <w:r>
          <w:rPr>
            <w:szCs w:val="24"/>
          </w:rPr>
          <w:t>постановлени</w:t>
        </w:r>
      </w:hyperlink>
      <w:r>
        <w:rPr>
          <w:szCs w:val="24"/>
        </w:rPr>
        <w:t>е</w:t>
      </w:r>
      <w:r>
        <w:rPr>
          <w:rFonts w:eastAsia="Times New Roman"/>
          <w:bCs/>
          <w:szCs w:val="24"/>
        </w:rPr>
        <w:t xml:space="preserve"> Правительства Российской Федерации от 05.05.2011 № 343);</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бросать горящие спички, окурки и горячую золу из курительных трубок, стекло (стеклянные бутылки, банки и другое);</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употреблять при охоте пыжи из горючих или тлеющих материалов;</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оставлять промасленные или пропитанные бензином, керосином или иными горючими веществами материалы (бумагу, ткань, паклю, вату и другое) в не предусмотренных специально для этого местах;</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заправлять горючим топливные баки двигателей внутреннего сгорания при работе двигателя, использовать машины с неисправной системой питания двигателя, а также курить или пользоваться открытым огнем вблизи машин, заправляемых горючим;</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 xml:space="preserve">выполнять работы с открытым огнем на торфяниках (пункт введен </w:t>
      </w:r>
      <w:hyperlink r:id="rId163">
        <w:r>
          <w:rPr>
            <w:szCs w:val="24"/>
          </w:rPr>
          <w:t>постановлением</w:t>
        </w:r>
      </w:hyperlink>
      <w:r>
        <w:rPr>
          <w:rFonts w:eastAsia="Times New Roman"/>
          <w:bCs/>
          <w:szCs w:val="24"/>
        </w:rPr>
        <w:t xml:space="preserve"> Правительства Российской Федерации от 05.05.2011 № 343);</w:t>
      </w:r>
    </w:p>
    <w:p>
      <w:pPr>
        <w:pStyle w:val="Normal"/>
        <w:widowControl w:val="false"/>
        <w:numPr>
          <w:ilvl w:val="0"/>
          <w:numId w:val="57"/>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засорять леса бытовыми, строительными, промышленными и иными отходами и мусором.</w:t>
      </w:r>
    </w:p>
    <w:p>
      <w:pPr>
        <w:pStyle w:val="Normal"/>
        <w:widowControl w:val="false"/>
        <w:tabs>
          <w:tab w:val="clear" w:pos="708"/>
          <w:tab w:val="left" w:pos="993" w:leader="none"/>
          <w:tab w:val="left" w:pos="1560" w:leader="none"/>
        </w:tabs>
        <w:spacing w:lineRule="auto" w:line="276" w:before="0" w:after="200"/>
        <w:ind w:firstLine="709"/>
        <w:contextualSpacing/>
        <w:rPr>
          <w:rFonts w:eastAsia="Times New Roman"/>
          <w:bCs/>
          <w:szCs w:val="24"/>
        </w:rPr>
      </w:pPr>
      <w:r>
        <w:rPr>
          <w:rFonts w:eastAsia="Times New Roman"/>
          <w:bCs/>
          <w:szCs w:val="24"/>
        </w:rPr>
        <w:t>Сжигание мусора, вывозимого из населенных пунктов, может производиться вблизи леса только на специально отведенных местах при условии, что:</w:t>
      </w:r>
    </w:p>
    <w:p>
      <w:pPr>
        <w:pStyle w:val="Normal"/>
        <w:numPr>
          <w:ilvl w:val="0"/>
          <w:numId w:val="58"/>
        </w:numPr>
        <w:tabs>
          <w:tab w:val="clear" w:pos="708"/>
          <w:tab w:val="left" w:pos="0" w:leader="none"/>
        </w:tabs>
        <w:spacing w:lineRule="auto" w:line="276" w:before="0" w:after="200"/>
        <w:ind w:left="0" w:firstLine="425"/>
        <w:contextualSpacing/>
        <w:rPr>
          <w:rFonts w:eastAsia="Times New Roman"/>
          <w:bCs/>
          <w:szCs w:val="24"/>
        </w:rPr>
      </w:pPr>
      <w:r>
        <w:rPr>
          <w:rFonts w:eastAsia="Times New Roman"/>
          <w:bCs/>
          <w:szCs w:val="24"/>
        </w:rPr>
        <w:t>Места для сжигания мусора (котлованы или площадки) располагаются на расстоянии не менее:</w:t>
      </w:r>
    </w:p>
    <w:p>
      <w:pPr>
        <w:pStyle w:val="Normal"/>
        <w:numPr>
          <w:ilvl w:val="0"/>
          <w:numId w:val="56"/>
        </w:numPr>
        <w:spacing w:lineRule="auto" w:line="276" w:before="0" w:after="200"/>
        <w:ind w:left="851" w:hanging="284"/>
        <w:contextualSpacing/>
        <w:rPr>
          <w:rFonts w:eastAsia="Times New Roman"/>
          <w:bCs/>
          <w:szCs w:val="24"/>
        </w:rPr>
      </w:pPr>
      <w:r>
        <w:rPr>
          <w:rFonts w:eastAsia="Times New Roman"/>
          <w:bCs/>
          <w:szCs w:val="24"/>
        </w:rPr>
        <w:t>100 метров от хвойного леса или отдельно растущих хвойных деревьев и молодняка;</w:t>
      </w:r>
    </w:p>
    <w:p>
      <w:pPr>
        <w:pStyle w:val="Normal"/>
        <w:numPr>
          <w:ilvl w:val="0"/>
          <w:numId w:val="56"/>
        </w:numPr>
        <w:spacing w:lineRule="auto" w:line="276" w:before="0" w:after="200"/>
        <w:ind w:left="851" w:hanging="284"/>
        <w:contextualSpacing/>
        <w:rPr>
          <w:rFonts w:eastAsia="Times New Roman"/>
          <w:bCs/>
          <w:szCs w:val="24"/>
        </w:rPr>
      </w:pPr>
      <w:r>
        <w:rPr>
          <w:rFonts w:eastAsia="Times New Roman"/>
          <w:bCs/>
          <w:szCs w:val="24"/>
        </w:rPr>
        <w:t>50 метров от лиственного леса или отдельно растущих лиственных деревьев;</w:t>
      </w:r>
    </w:p>
    <w:p>
      <w:pPr>
        <w:pStyle w:val="Normal"/>
        <w:numPr>
          <w:ilvl w:val="0"/>
          <w:numId w:val="58"/>
        </w:numPr>
        <w:tabs>
          <w:tab w:val="clear" w:pos="708"/>
          <w:tab w:val="left" w:pos="0" w:leader="none"/>
        </w:tabs>
        <w:spacing w:lineRule="auto" w:line="276" w:before="0" w:after="200"/>
        <w:ind w:left="0" w:firstLine="425"/>
        <w:contextualSpacing/>
        <w:rPr>
          <w:rFonts w:eastAsia="Times New Roman"/>
          <w:bCs/>
          <w:szCs w:val="24"/>
        </w:rPr>
      </w:pPr>
      <w:r>
        <w:rPr>
          <w:rFonts w:eastAsia="Times New Roman"/>
          <w:bCs/>
          <w:szCs w:val="24"/>
        </w:rPr>
        <w:t xml:space="preserve">Территория вокруг мест для сжигания мусора (котлованов или площадок) должна быть очищена в радиусе 25–30 метров от сухостойных деревьев, валежника, порубочных остатков, других горючих материалов и отделена двумя противопожарными минерализованными полосами шириной не менее 1,4 метра каждая, а вблизи хвойного леса на сухих почвах — двумя противопожарными минерализованными полосами шириной не менее 2,6 метра каждая, с расстоянием между ними 5 метров (в редакции </w:t>
      </w:r>
      <w:hyperlink r:id="rId164">
        <w:r>
          <w:rPr>
            <w:szCs w:val="24"/>
          </w:rPr>
          <w:t>постановления</w:t>
        </w:r>
      </w:hyperlink>
      <w:r>
        <w:rPr>
          <w:rFonts w:eastAsia="Times New Roman"/>
          <w:bCs/>
          <w:szCs w:val="24"/>
        </w:rPr>
        <w:t xml:space="preserve"> Правительства Российской Федерации от 05.05.2011 № 343);</w:t>
      </w:r>
    </w:p>
    <w:p>
      <w:pPr>
        <w:pStyle w:val="Normal"/>
        <w:widowControl w:val="false"/>
        <w:numPr>
          <w:ilvl w:val="0"/>
          <w:numId w:val="58"/>
        </w:numPr>
        <w:tabs>
          <w:tab w:val="clear" w:pos="708"/>
          <w:tab w:val="left" w:pos="0" w:leader="none"/>
        </w:tabs>
        <w:spacing w:lineRule="auto" w:line="276" w:before="0" w:after="200"/>
        <w:ind w:left="0" w:firstLine="425"/>
        <w:contextualSpacing/>
        <w:rPr>
          <w:rFonts w:eastAsia="Times New Roman"/>
          <w:bCs/>
          <w:szCs w:val="24"/>
        </w:rPr>
      </w:pPr>
      <w:r>
        <w:rPr>
          <w:rFonts w:eastAsia="Times New Roman"/>
          <w:bCs/>
          <w:szCs w:val="24"/>
        </w:rPr>
        <w:t>В период пожароопасного сезона сжигание мусора разрешается производить только при отсутствии пожарной опасности в лесу по условиям погоды и под контролем ответственных лиц;</w:t>
      </w:r>
    </w:p>
    <w:p>
      <w:pPr>
        <w:pStyle w:val="Normal"/>
        <w:widowControl w:val="false"/>
        <w:numPr>
          <w:ilvl w:val="0"/>
          <w:numId w:val="58"/>
        </w:numPr>
        <w:tabs>
          <w:tab w:val="clear" w:pos="708"/>
          <w:tab w:val="left" w:pos="0" w:leader="none"/>
        </w:tabs>
        <w:spacing w:lineRule="auto" w:line="276" w:before="0" w:after="200"/>
        <w:ind w:left="0" w:firstLine="425"/>
        <w:contextualSpacing/>
        <w:rPr>
          <w:rFonts w:eastAsia="Times New Roman"/>
          <w:bCs/>
          <w:szCs w:val="24"/>
        </w:rPr>
      </w:pPr>
      <w:r>
        <w:rPr>
          <w:rFonts w:eastAsia="Times New Roman"/>
          <w:bCs/>
          <w:szCs w:val="24"/>
        </w:rPr>
        <w:t xml:space="preserve">Запрещается выжигание хвороста, лесной подстилки, сухой травы и других лесных горючих материалов на земельных участках, непосредственно примыкающих к лесам, защитным и лесным насаждениям и не отделенных противопожарной минерализованной полосой шириной не менее 0,5 метра (пункт в редакции </w:t>
      </w:r>
      <w:hyperlink r:id="rId165">
        <w:r>
          <w:rPr>
            <w:szCs w:val="24"/>
          </w:rPr>
          <w:t>постановления</w:t>
        </w:r>
      </w:hyperlink>
      <w:r>
        <w:rPr>
          <w:rFonts w:eastAsia="Times New Roman"/>
          <w:bCs/>
          <w:szCs w:val="24"/>
        </w:rPr>
        <w:t xml:space="preserve"> Правительства Российской Федерации от 05.05.2011 № 343).</w:t>
      </w:r>
    </w:p>
    <w:p>
      <w:pPr>
        <w:pStyle w:val="Normal"/>
        <w:widowControl w:val="false"/>
        <w:tabs>
          <w:tab w:val="clear" w:pos="708"/>
          <w:tab w:val="left" w:pos="993" w:leader="none"/>
          <w:tab w:val="left" w:pos="1560" w:leader="none"/>
        </w:tabs>
        <w:spacing w:lineRule="auto" w:line="276"/>
        <w:ind w:firstLine="709"/>
        <w:rPr>
          <w:rFonts w:eastAsia="Times New Roman"/>
          <w:bCs/>
          <w:szCs w:val="24"/>
        </w:rPr>
      </w:pPr>
      <w:r>
        <w:rPr>
          <w:rFonts w:eastAsia="Times New Roman"/>
          <w:bCs/>
          <w:szCs w:val="24"/>
        </w:rPr>
        <w:t>Юридические лица и граждане, осуществляющие использование лесов, обязаны:</w:t>
      </w:r>
    </w:p>
    <w:p>
      <w:pPr>
        <w:pStyle w:val="Normal"/>
        <w:numPr>
          <w:ilvl w:val="0"/>
          <w:numId w:val="56"/>
        </w:numPr>
        <w:tabs>
          <w:tab w:val="clear" w:pos="708"/>
          <w:tab w:val="left" w:pos="0" w:leader="none"/>
          <w:tab w:val="left" w:pos="709" w:leader="none"/>
          <w:tab w:val="left" w:pos="1134" w:leader="none"/>
        </w:tabs>
        <w:spacing w:lineRule="auto" w:line="276" w:before="0" w:after="200"/>
        <w:ind w:left="0" w:firstLine="426"/>
        <w:contextualSpacing/>
        <w:rPr>
          <w:rFonts w:eastAsia="Times New Roman"/>
          <w:bCs/>
          <w:szCs w:val="24"/>
        </w:rPr>
      </w:pPr>
      <w:r>
        <w:rPr>
          <w:rFonts w:eastAsia="Times New Roman"/>
          <w:bCs/>
          <w:szCs w:val="24"/>
        </w:rPr>
        <w:t xml:space="preserve">хранить горюче-смазочные материалы в закрытой таре, производить в период пожароопасного сезона очистку мест их хранения от растительного покрова, древесного мусора, других горючих материалов и отделение противопожарной минерализованной полосой шириной не менее 1,4 метра (в редакции </w:t>
      </w:r>
      <w:hyperlink r:id="rId166">
        <w:r>
          <w:rPr>
            <w:szCs w:val="24"/>
          </w:rPr>
          <w:t>постановления</w:t>
        </w:r>
      </w:hyperlink>
      <w:r>
        <w:rPr>
          <w:rFonts w:eastAsia="Times New Roman"/>
          <w:bCs/>
          <w:szCs w:val="24"/>
        </w:rPr>
        <w:t xml:space="preserve"> Правительства Российской Федерации от 05.05.2011 № 343);</w:t>
      </w:r>
    </w:p>
    <w:p>
      <w:pPr>
        <w:pStyle w:val="Normal"/>
        <w:numPr>
          <w:ilvl w:val="0"/>
          <w:numId w:val="56"/>
        </w:numPr>
        <w:tabs>
          <w:tab w:val="clear" w:pos="708"/>
          <w:tab w:val="left" w:pos="0" w:leader="none"/>
          <w:tab w:val="left" w:pos="709" w:leader="none"/>
          <w:tab w:val="left" w:pos="1134" w:leader="none"/>
        </w:tabs>
        <w:spacing w:lineRule="auto" w:line="276" w:before="0" w:after="200"/>
        <w:ind w:left="0" w:firstLine="426"/>
        <w:contextualSpacing/>
        <w:rPr>
          <w:rFonts w:eastAsia="Times New Roman"/>
          <w:bCs/>
          <w:szCs w:val="24"/>
        </w:rPr>
      </w:pPr>
      <w:r>
        <w:rPr>
          <w:rFonts w:eastAsia="Times New Roman"/>
          <w:bCs/>
          <w:szCs w:val="24"/>
        </w:rPr>
        <w:t>при корчевке пней с помощью взрывчатых веществ уведомлять о месте и времени проведения этих работ органы государственной власти или органы местного самоуправления, не менее чем за 10 дней до их начала, прекращать корчевку пней с помощью этих веществ при высокой пожарной опасности в лесу;</w:t>
      </w:r>
    </w:p>
    <w:p>
      <w:pPr>
        <w:pStyle w:val="Normal"/>
        <w:numPr>
          <w:ilvl w:val="0"/>
          <w:numId w:val="56"/>
        </w:numPr>
        <w:tabs>
          <w:tab w:val="clear" w:pos="708"/>
          <w:tab w:val="left" w:pos="0" w:leader="none"/>
          <w:tab w:val="left" w:pos="709" w:leader="none"/>
          <w:tab w:val="left" w:pos="1134" w:leader="none"/>
        </w:tabs>
        <w:spacing w:lineRule="auto" w:line="276" w:before="0" w:after="200"/>
        <w:ind w:left="0" w:firstLine="426"/>
        <w:contextualSpacing/>
        <w:rPr>
          <w:rFonts w:eastAsia="Times New Roman"/>
          <w:bCs/>
          <w:szCs w:val="24"/>
        </w:rPr>
      </w:pPr>
      <w:r>
        <w:rPr>
          <w:rFonts w:eastAsia="Times New Roman"/>
          <w:bCs/>
          <w:szCs w:val="24"/>
        </w:rPr>
        <w:t xml:space="preserve">соблюдать </w:t>
      </w:r>
      <w:hyperlink r:id="rId167">
        <w:r>
          <w:rPr>
            <w:szCs w:val="24"/>
          </w:rPr>
          <w:t>нормы</w:t>
        </w:r>
      </w:hyperlink>
      <w:r>
        <w:rPr>
          <w:rFonts w:eastAsia="Times New Roman"/>
          <w:bCs/>
          <w:szCs w:val="24"/>
        </w:rPr>
        <w:t xml:space="preserve"> наличия средств предупреждения и тушения лесных пожаров при использовании лесов, утверждаемые Министерством природных ресурсов и экологии Российской Федерации, а также содержать средства предупреждения и тушения лесных пожаров в период пожароопасного сезона в готовности, обеспечивающей возможность их немедленного использования (в редакциях постановлений Правительства Российской Федерации от 05.05.2011 </w:t>
      </w:r>
      <w:hyperlink r:id="rId168">
        <w:r>
          <w:rPr>
            <w:szCs w:val="24"/>
          </w:rPr>
          <w:t>№ 343</w:t>
        </w:r>
      </w:hyperlink>
      <w:r>
        <w:rPr>
          <w:rFonts w:eastAsia="Times New Roman"/>
          <w:bCs/>
          <w:szCs w:val="24"/>
        </w:rPr>
        <w:t xml:space="preserve">, от 01.11.2012 </w:t>
      </w:r>
      <w:hyperlink r:id="rId169">
        <w:r>
          <w:rPr>
            <w:szCs w:val="24"/>
          </w:rPr>
          <w:t>№ 1128</w:t>
        </w:r>
      </w:hyperlink>
      <w:r>
        <w:rPr>
          <w:rFonts w:eastAsia="Times New Roman"/>
          <w:bCs/>
          <w:szCs w:val="24"/>
        </w:rPr>
        <w:t>);</w:t>
      </w:r>
    </w:p>
    <w:p>
      <w:pPr>
        <w:pStyle w:val="Normal"/>
        <w:numPr>
          <w:ilvl w:val="0"/>
          <w:numId w:val="56"/>
        </w:numPr>
        <w:tabs>
          <w:tab w:val="clear" w:pos="708"/>
          <w:tab w:val="left" w:pos="0" w:leader="none"/>
          <w:tab w:val="left" w:pos="709" w:leader="none"/>
          <w:tab w:val="left" w:pos="1134" w:leader="none"/>
        </w:tabs>
        <w:spacing w:lineRule="auto" w:line="276" w:before="0" w:after="200"/>
        <w:ind w:left="0" w:firstLine="426"/>
        <w:contextualSpacing/>
        <w:rPr>
          <w:rFonts w:eastAsia="Times New Roman"/>
          <w:bCs/>
          <w:szCs w:val="24"/>
        </w:rPr>
      </w:pPr>
      <w:r>
        <w:rPr>
          <w:rFonts w:eastAsia="Times New Roman"/>
          <w:bCs/>
          <w:szCs w:val="24"/>
        </w:rPr>
        <w:t xml:space="preserve">в случае обнаружения лесного пожара на соответствующем лесном участке немедленно сообщить об этом в специализированную диспетчерскую службу и принять все возможные меры по недопущению распространения лесного пожара (в ред. </w:t>
      </w:r>
      <w:hyperlink r:id="rId170">
        <w:r>
          <w:rPr>
            <w:szCs w:val="24"/>
          </w:rPr>
          <w:t>постановления</w:t>
        </w:r>
      </w:hyperlink>
      <w:r>
        <w:rPr>
          <w:rFonts w:eastAsia="Times New Roman"/>
          <w:bCs/>
          <w:szCs w:val="24"/>
        </w:rPr>
        <w:t xml:space="preserve"> Правительства Российской Федерации от 05.05.2011 № 343);</w:t>
      </w:r>
    </w:p>
    <w:p>
      <w:pPr>
        <w:pStyle w:val="Normal"/>
        <w:widowControl w:val="false"/>
        <w:numPr>
          <w:ilvl w:val="0"/>
          <w:numId w:val="57"/>
        </w:numPr>
        <w:tabs>
          <w:tab w:val="clear" w:pos="708"/>
          <w:tab w:val="left" w:pos="0" w:leader="none"/>
          <w:tab w:val="left" w:pos="709" w:leader="none"/>
          <w:tab w:val="left" w:pos="1134" w:leader="none"/>
        </w:tabs>
        <w:spacing w:lineRule="auto" w:line="276" w:before="0" w:after="200"/>
        <w:ind w:left="0" w:firstLine="426"/>
        <w:contextualSpacing/>
        <w:rPr>
          <w:rFonts w:eastAsia="Times New Roman"/>
          <w:bCs/>
          <w:szCs w:val="24"/>
        </w:rPr>
      </w:pPr>
      <w:r>
        <w:rPr>
          <w:rFonts w:eastAsia="Times New Roman"/>
          <w:bCs/>
          <w:szCs w:val="24"/>
        </w:rPr>
        <w:t xml:space="preserve">перед началом пожароопасного сезона юридические лица, осуществляющие использование лесов, обязаны провести инструктаж своих работников, а также участников массовых мероприятий, проводимых ими в лесах, о соблюдении требований, а также о способах тушения лесных пожаров (в ред. </w:t>
      </w:r>
      <w:hyperlink r:id="rId171">
        <w:r>
          <w:rPr>
            <w:szCs w:val="24"/>
          </w:rPr>
          <w:t>постановления</w:t>
        </w:r>
      </w:hyperlink>
      <w:r>
        <w:rPr>
          <w:rFonts w:eastAsia="Times New Roman"/>
          <w:bCs/>
          <w:szCs w:val="24"/>
        </w:rPr>
        <w:t xml:space="preserve"> Правительства Российской Федерации от 05.05.2011 № 343);</w:t>
      </w:r>
    </w:p>
    <w:p>
      <w:pPr>
        <w:pStyle w:val="Normal"/>
        <w:widowControl w:val="false"/>
        <w:numPr>
          <w:ilvl w:val="0"/>
          <w:numId w:val="57"/>
        </w:numPr>
        <w:tabs>
          <w:tab w:val="clear" w:pos="708"/>
          <w:tab w:val="left" w:pos="0" w:leader="none"/>
          <w:tab w:val="left" w:pos="709" w:leader="none"/>
          <w:tab w:val="left" w:pos="1134" w:leader="none"/>
        </w:tabs>
        <w:spacing w:lineRule="auto" w:line="276" w:before="0" w:after="200"/>
        <w:ind w:left="0" w:firstLine="426"/>
        <w:contextualSpacing/>
        <w:rPr>
          <w:rFonts w:eastAsia="Times New Roman"/>
          <w:bCs/>
          <w:szCs w:val="24"/>
        </w:rPr>
      </w:pPr>
      <w:r>
        <w:rPr>
          <w:rFonts w:eastAsia="Times New Roman"/>
          <w:bCs/>
          <w:szCs w:val="24"/>
        </w:rPr>
        <w:t>организации, осуществляющие авиационные работы по охране и защите лесов, обязаны обо всех обнаруженных нарушениях информировать органы государственной власти или органы местного самоуправления.</w:t>
      </w:r>
    </w:p>
    <w:p>
      <w:pPr>
        <w:pStyle w:val="Normal"/>
        <w:widowControl w:val="false"/>
        <w:tabs>
          <w:tab w:val="clear" w:pos="708"/>
          <w:tab w:val="left" w:pos="993" w:leader="none"/>
          <w:tab w:val="left" w:pos="1701" w:leader="none"/>
        </w:tabs>
        <w:spacing w:lineRule="auto" w:line="276"/>
        <w:ind w:firstLine="709"/>
        <w:rPr>
          <w:rFonts w:eastAsia="Times New Roman"/>
          <w:b/>
          <w:b/>
          <w:bCs/>
          <w:i/>
          <w:i/>
          <w:szCs w:val="24"/>
        </w:rPr>
      </w:pPr>
      <w:r>
        <w:rPr>
          <w:rFonts w:eastAsia="Times New Roman"/>
          <w:b/>
          <w:bCs/>
          <w:i/>
          <w:szCs w:val="24"/>
        </w:rPr>
        <w:t>Предупреждение лесных пожаров</w:t>
      </w:r>
    </w:p>
    <w:p>
      <w:pPr>
        <w:pStyle w:val="Normal"/>
        <w:tabs>
          <w:tab w:val="clear" w:pos="708"/>
          <w:tab w:val="left" w:pos="993" w:leader="none"/>
          <w:tab w:val="left" w:pos="1701" w:leader="none"/>
        </w:tabs>
        <w:spacing w:lineRule="auto" w:line="276"/>
        <w:ind w:firstLine="709"/>
        <w:rPr>
          <w:rFonts w:eastAsia="Times New Roman"/>
          <w:bCs/>
          <w:szCs w:val="24"/>
        </w:rPr>
      </w:pPr>
      <w:r>
        <w:rPr>
          <w:rFonts w:eastAsia="Times New Roman"/>
          <w:bCs/>
          <w:szCs w:val="24"/>
        </w:rPr>
        <w:t>Предупреждение лесных пожаров включает в себя противопожарное обустройство лесов и обеспечение средствами предупреждения и тушения лесных пожаров.</w:t>
      </w:r>
    </w:p>
    <w:p>
      <w:pPr>
        <w:pStyle w:val="Normal"/>
        <w:tabs>
          <w:tab w:val="clear" w:pos="708"/>
          <w:tab w:val="left" w:pos="993" w:leader="none"/>
          <w:tab w:val="left" w:pos="1701" w:leader="none"/>
        </w:tabs>
        <w:spacing w:lineRule="auto" w:line="276"/>
        <w:ind w:firstLine="709"/>
        <w:rPr>
          <w:rFonts w:eastAsia="Times New Roman"/>
          <w:bCs/>
          <w:szCs w:val="24"/>
        </w:rPr>
      </w:pPr>
      <w:r>
        <w:rPr>
          <w:rFonts w:eastAsia="Times New Roman"/>
          <w:bCs/>
          <w:szCs w:val="24"/>
        </w:rPr>
        <w:t>Меры противопожарного обустройства лесов включают в себя:</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строительство, реконструкцию и эксплуатацию лесных дорог, предназначенных для охраны лесов от пожаров;</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строительство, реконструкцию и эксплуатацию посадочных площадок для самолетов, вертолетов, используемых в целях проведения авиационных работ по охране и защите лесов;</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прокладку просек, противопожарных разрывов, устройство противопожарных минерализованных полос;</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строительство, реконструкцию и эксплуатацию пожарных наблюдательных пунктов (вышек, мачт, павильонов и других наблюдательных пунктов), пунктов сосредоточения противопожарного инвентаря;</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устройство пожарных водоемов и подъездов к источникам противопожарного водоснабжения;</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проведение работ по гидромелиорации;</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снижение природной пожарной опасности лесов путем регулирования породного состава лесных насаждений и проведения санитарно-оздоровительных мероприятий;</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проведение профилактического контролируемого противопожарного выжигания хвороста, лесной подстилки, сухой травы и других лесных горючих материалов;</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прочистку просек, прочистку противопожарных минерализованных полос и их обновление;</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эксплуатацию пожарных водоемов и подъездов к источникам водоснабжения;</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 xml:space="preserve">благоустройство зон отдыха граждан, пребывающих в лесах в соответствии со </w:t>
      </w:r>
      <w:hyperlink r:id="rId172">
        <w:r>
          <w:rPr>
            <w:szCs w:val="24"/>
          </w:rPr>
          <w:t>статьей 11</w:t>
        </w:r>
      </w:hyperlink>
      <w:r>
        <w:rPr>
          <w:rFonts w:eastAsia="Times New Roman"/>
          <w:bCs/>
          <w:szCs w:val="24"/>
        </w:rPr>
        <w:t xml:space="preserve"> Лесного кодекса Российской Федерации;</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установку и эксплуатацию шлагбаумов, устройство преград, обеспечивающих ограничение пребывания граждан в лесах в целях обеспечения пожарной безопасности;</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создание и содержание противопожарных заслонов и устройство лиственных опушек;</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установку и размещение стендов и других знаков и указателей, содержащих информацию о мерах пожарной безопасности в лесах.</w:t>
      </w:r>
    </w:p>
    <w:p>
      <w:pPr>
        <w:pStyle w:val="Normal"/>
        <w:tabs>
          <w:tab w:val="clear" w:pos="708"/>
          <w:tab w:val="left" w:pos="993" w:leader="none"/>
          <w:tab w:val="left" w:pos="1701" w:leader="none"/>
        </w:tabs>
        <w:spacing w:lineRule="auto" w:line="276"/>
        <w:ind w:firstLine="709"/>
        <w:rPr>
          <w:rFonts w:eastAsia="Times New Roman"/>
          <w:bCs/>
          <w:szCs w:val="24"/>
        </w:rPr>
      </w:pPr>
      <w:r>
        <w:rPr>
          <w:rFonts w:eastAsia="Times New Roman"/>
          <w:bCs/>
          <w:szCs w:val="24"/>
        </w:rPr>
        <w:t>Указанные меры противопожарного обустройства лесов на лесных участках, предоставленных в постоянное (бессрочное) пользование, в аренду, осуществляются лицами, использующими леса на основании проекта освоения лесов.</w:t>
      </w:r>
    </w:p>
    <w:p>
      <w:pPr>
        <w:pStyle w:val="Normal"/>
        <w:tabs>
          <w:tab w:val="clear" w:pos="708"/>
          <w:tab w:val="left" w:pos="993" w:leader="none"/>
          <w:tab w:val="left" w:pos="1701" w:leader="none"/>
        </w:tabs>
        <w:spacing w:lineRule="auto" w:line="276"/>
        <w:ind w:firstLine="709"/>
        <w:rPr>
          <w:rFonts w:eastAsia="Times New Roman"/>
          <w:bCs/>
          <w:szCs w:val="24"/>
        </w:rPr>
      </w:pPr>
      <w:r>
        <w:rPr>
          <w:rFonts w:eastAsia="Times New Roman"/>
          <w:bCs/>
          <w:szCs w:val="24"/>
        </w:rPr>
        <w:t xml:space="preserve">Противопожарные расстояния, в пределах которых осуществляются вырубка деревьев, кустарников, лиан, очистка от захламления, устанавливаются в соответствии с Федеральным </w:t>
      </w:r>
      <w:hyperlink r:id="rId173">
        <w:r>
          <w:rPr>
            <w:szCs w:val="24"/>
          </w:rPr>
          <w:t>законом</w:t>
        </w:r>
      </w:hyperlink>
      <w:r>
        <w:rPr>
          <w:rFonts w:eastAsia="Times New Roman"/>
          <w:bCs/>
          <w:szCs w:val="24"/>
        </w:rPr>
        <w:t xml:space="preserve"> от 22.07.2008 № 123-ФЗ «Технический регламент о требованиях пожарной безопасности», а также «Лесным кодексом» РФ.</w:t>
      </w:r>
    </w:p>
    <w:p>
      <w:pPr>
        <w:pStyle w:val="Normal"/>
        <w:tabs>
          <w:tab w:val="clear" w:pos="708"/>
          <w:tab w:val="left" w:pos="993" w:leader="none"/>
          <w:tab w:val="left" w:pos="1701" w:leader="none"/>
        </w:tabs>
        <w:spacing w:lineRule="auto" w:line="276"/>
        <w:ind w:firstLine="709"/>
        <w:rPr>
          <w:rFonts w:eastAsia="Times New Roman"/>
          <w:bCs/>
          <w:szCs w:val="24"/>
        </w:rPr>
      </w:pPr>
      <w:r>
        <w:rPr>
          <w:rFonts w:eastAsia="Times New Roman"/>
          <w:bCs/>
          <w:szCs w:val="24"/>
        </w:rPr>
        <w:t>Обеспечение средствами предупреждения и тушения лесных пожаров включает в себя:</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приобретение противопожарного снаряжения и инвентаря;</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содержание пожарной техники и оборудования, систем связи и оповещения;</w:t>
      </w:r>
    </w:p>
    <w:p>
      <w:pPr>
        <w:pStyle w:val="Normal"/>
        <w:numPr>
          <w:ilvl w:val="0"/>
          <w:numId w:val="56"/>
        </w:numPr>
        <w:tabs>
          <w:tab w:val="clear" w:pos="708"/>
          <w:tab w:val="left" w:pos="0" w:leader="none"/>
        </w:tabs>
        <w:spacing w:lineRule="auto" w:line="276" w:before="0" w:after="200"/>
        <w:ind w:left="0" w:firstLine="426"/>
        <w:contextualSpacing/>
        <w:rPr>
          <w:rFonts w:eastAsia="Times New Roman"/>
          <w:bCs/>
          <w:szCs w:val="24"/>
        </w:rPr>
      </w:pPr>
      <w:r>
        <w:rPr>
          <w:rFonts w:eastAsia="Times New Roman"/>
          <w:bCs/>
          <w:szCs w:val="24"/>
        </w:rPr>
        <w:t>создание резерва пожарной техники и оборудования, противопожарного снаряжения и инвентаря, а также горюче-смазочных материалов;</w:t>
      </w:r>
    </w:p>
    <w:p>
      <w:pPr>
        <w:pStyle w:val="Normal"/>
        <w:spacing w:lineRule="auto" w:line="276" w:before="0" w:after="200"/>
        <w:ind w:firstLine="709"/>
        <w:contextualSpacing/>
        <w:rPr>
          <w:rFonts w:eastAsia="Times New Roman"/>
          <w:bCs/>
          <w:szCs w:val="24"/>
        </w:rPr>
      </w:pPr>
      <w:r>
        <w:rPr>
          <w:rFonts w:eastAsia="Times New Roman"/>
          <w:bCs/>
          <w:szCs w:val="24"/>
        </w:rPr>
        <w:t>Нормативы противопожарного обустройства лесов устанавливаются уполномоченным федеральным органом исполнительной власти.</w:t>
      </w:r>
    </w:p>
    <w:p>
      <w:pPr>
        <w:pStyle w:val="Normal"/>
        <w:tabs>
          <w:tab w:val="clear" w:pos="708"/>
          <w:tab w:val="left" w:pos="0" w:leader="none"/>
        </w:tabs>
        <w:spacing w:lineRule="auto" w:line="276" w:before="0" w:after="200"/>
        <w:ind w:firstLine="709"/>
        <w:contextualSpacing/>
        <w:rPr>
          <w:rFonts w:eastAsia="Times New Roman"/>
          <w:bCs/>
          <w:szCs w:val="24"/>
        </w:rPr>
      </w:pPr>
      <w:r>
        <w:rPr>
          <w:rFonts w:eastAsia="Times New Roman"/>
          <w:bCs/>
          <w:szCs w:val="24"/>
        </w:rPr>
        <w:t xml:space="preserve">Виды средств предупреждения и тушения лесных пожаров, нормативы обеспеченности данными средствами лиц, использующих леса, </w:t>
      </w:r>
      <w:hyperlink r:id="rId174">
        <w:r>
          <w:rPr>
            <w:szCs w:val="24"/>
          </w:rPr>
          <w:t>нормы</w:t>
        </w:r>
      </w:hyperlink>
      <w:r>
        <w:rPr>
          <w:rFonts w:eastAsia="Times New Roman"/>
          <w:bCs/>
          <w:szCs w:val="24"/>
        </w:rPr>
        <w:t xml:space="preserve"> наличия средств предупреждения и тушения лесных пожаров при использовании лесов определяются уполномоченным федеральным органом исполнительной власти.</w:t>
      </w:r>
    </w:p>
    <w:p>
      <w:pPr>
        <w:pStyle w:val="Normal"/>
        <w:spacing w:lineRule="auto" w:line="276"/>
        <w:ind w:firstLine="709"/>
        <w:rPr>
          <w:szCs w:val="24"/>
        </w:rPr>
      </w:pPr>
      <w:r>
        <w:rPr>
          <w:szCs w:val="24"/>
        </w:rPr>
        <w:t>Согласно СНиП 2.07.01-89* «Градостроительство. Планировка и застройка городских и сельских поселений»:</w:t>
      </w:r>
    </w:p>
    <w:p>
      <w:pPr>
        <w:pStyle w:val="Normal"/>
        <w:numPr>
          <w:ilvl w:val="0"/>
          <w:numId w:val="59"/>
        </w:numPr>
        <w:tabs>
          <w:tab w:val="clear" w:pos="708"/>
          <w:tab w:val="left" w:pos="0" w:leader="none"/>
          <w:tab w:val="left" w:pos="426" w:leader="none"/>
        </w:tabs>
        <w:spacing w:lineRule="auto" w:line="276"/>
        <w:ind w:left="0" w:firstLine="425"/>
        <w:rPr>
          <w:szCs w:val="24"/>
          <w:lang w:eastAsia="ru-RU"/>
        </w:rPr>
      </w:pPr>
      <w:r>
        <w:rPr>
          <w:szCs w:val="24"/>
          <w:lang w:eastAsia="ru-RU"/>
        </w:rPr>
        <w:t>Расстояния от границ застройки сельских поселений до лесных массивов должны быть не менее 50 м;</w:t>
      </w:r>
    </w:p>
    <w:p>
      <w:pPr>
        <w:pStyle w:val="Normal"/>
        <w:numPr>
          <w:ilvl w:val="0"/>
          <w:numId w:val="59"/>
        </w:numPr>
        <w:tabs>
          <w:tab w:val="clear" w:pos="708"/>
          <w:tab w:val="left" w:pos="0" w:leader="none"/>
          <w:tab w:val="left" w:pos="426" w:leader="none"/>
        </w:tabs>
        <w:spacing w:lineRule="auto" w:line="276"/>
        <w:ind w:left="0" w:firstLine="425"/>
        <w:rPr>
          <w:szCs w:val="24"/>
          <w:lang w:eastAsia="ru-RU"/>
        </w:rPr>
      </w:pPr>
      <w:r>
        <w:rPr>
          <w:szCs w:val="24"/>
          <w:lang w:eastAsia="ru-RU"/>
        </w:rPr>
        <w:t>В сельских поселениях для районов одно – двухэтажной индивидуальной застройки с приусадебными участками расстояние от границ приусадебных участков до лесных массивов допускается уменьшать, но принимать не менее 15 м.</w:t>
      </w:r>
    </w:p>
    <w:p>
      <w:pPr>
        <w:pStyle w:val="Normal"/>
        <w:spacing w:lineRule="auto" w:line="276"/>
        <w:ind w:firstLine="709"/>
        <w:rPr>
          <w:szCs w:val="24"/>
        </w:rPr>
      </w:pPr>
      <w:r>
        <w:rPr>
          <w:szCs w:val="24"/>
        </w:rPr>
        <w:t>Согласно статье 69 Федерального закона от 22.07.08 № 123-ФЗ «Технический регламент о требованиях пожарной безопасности», противопожарные расстояния между зданиями, сооружениями и лесничествами (лесопарками):</w:t>
      </w:r>
    </w:p>
    <w:p>
      <w:pPr>
        <w:pStyle w:val="Normal"/>
        <w:spacing w:lineRule="auto" w:line="276"/>
        <w:rPr>
          <w:szCs w:val="24"/>
        </w:rPr>
      </w:pPr>
      <w:r>
        <w:rPr>
          <w:szCs w:val="24"/>
        </w:rPr>
        <w:t>Противопожарные расстояния должны обеспечивать нераспространение пожара:</w:t>
      </w:r>
    </w:p>
    <w:p>
      <w:pPr>
        <w:pStyle w:val="Normal"/>
        <w:numPr>
          <w:ilvl w:val="0"/>
          <w:numId w:val="60"/>
        </w:numPr>
        <w:tabs>
          <w:tab w:val="clear" w:pos="708"/>
          <w:tab w:val="left" w:pos="0" w:leader="none"/>
        </w:tabs>
        <w:spacing w:lineRule="auto" w:line="276" w:before="0" w:after="200"/>
        <w:ind w:left="0" w:firstLine="425"/>
        <w:contextualSpacing/>
        <w:rPr>
          <w:szCs w:val="24"/>
        </w:rPr>
      </w:pPr>
      <w:r>
        <w:rPr>
          <w:szCs w:val="24"/>
        </w:rPr>
        <w:t>От лесных насаждений в лесничествах (лесопарках) до зданий и сооружений, расположенных:</w:t>
      </w:r>
    </w:p>
    <w:p>
      <w:pPr>
        <w:pStyle w:val="Normal"/>
        <w:numPr>
          <w:ilvl w:val="0"/>
          <w:numId w:val="61"/>
        </w:numPr>
        <w:tabs>
          <w:tab w:val="clear" w:pos="708"/>
          <w:tab w:val="left" w:pos="0" w:leader="none"/>
        </w:tabs>
        <w:spacing w:lineRule="auto" w:line="276" w:before="0" w:after="200"/>
        <w:ind w:left="851" w:hanging="284"/>
        <w:contextualSpacing/>
        <w:rPr>
          <w:szCs w:val="24"/>
        </w:rPr>
      </w:pPr>
      <w:r>
        <w:rPr>
          <w:szCs w:val="24"/>
        </w:rPr>
        <w:t>вне территорий лесничеств (лесопарков);</w:t>
      </w:r>
    </w:p>
    <w:p>
      <w:pPr>
        <w:pStyle w:val="Normal"/>
        <w:numPr>
          <w:ilvl w:val="0"/>
          <w:numId w:val="61"/>
        </w:numPr>
        <w:tabs>
          <w:tab w:val="clear" w:pos="708"/>
          <w:tab w:val="left" w:pos="0" w:leader="none"/>
        </w:tabs>
        <w:spacing w:lineRule="auto" w:line="276" w:before="0" w:after="200"/>
        <w:ind w:left="851" w:hanging="284"/>
        <w:contextualSpacing/>
        <w:rPr>
          <w:szCs w:val="24"/>
        </w:rPr>
      </w:pPr>
      <w:r>
        <w:rPr>
          <w:szCs w:val="24"/>
        </w:rPr>
        <w:t>на территориях лесничеств (лесопарков);</w:t>
      </w:r>
    </w:p>
    <w:p>
      <w:pPr>
        <w:pStyle w:val="Normal"/>
        <w:numPr>
          <w:ilvl w:val="0"/>
          <w:numId w:val="60"/>
        </w:numPr>
        <w:tabs>
          <w:tab w:val="clear" w:pos="708"/>
          <w:tab w:val="left" w:pos="0" w:leader="none"/>
        </w:tabs>
        <w:spacing w:lineRule="auto" w:line="276" w:before="0" w:after="200"/>
        <w:ind w:left="0" w:firstLine="425"/>
        <w:contextualSpacing/>
        <w:rPr>
          <w:szCs w:val="24"/>
        </w:rPr>
      </w:pPr>
      <w:r>
        <w:rPr>
          <w:szCs w:val="24"/>
        </w:rPr>
        <w:t>От лесных насаждений вне лесничеств (лесопарков) до зданий и сооружений;</w:t>
      </w:r>
    </w:p>
    <w:p>
      <w:pPr>
        <w:pStyle w:val="Normal"/>
        <w:numPr>
          <w:ilvl w:val="0"/>
          <w:numId w:val="60"/>
        </w:numPr>
        <w:tabs>
          <w:tab w:val="clear" w:pos="708"/>
          <w:tab w:val="left" w:pos="0" w:leader="none"/>
        </w:tabs>
        <w:spacing w:lineRule="auto" w:line="276" w:before="0" w:after="200"/>
        <w:ind w:left="0" w:firstLine="425"/>
        <w:contextualSpacing/>
        <w:rPr>
          <w:iCs/>
          <w:szCs w:val="24"/>
          <w:lang w:eastAsia="ru-RU"/>
        </w:rPr>
      </w:pPr>
      <w:r>
        <w:rPr>
          <w:iCs/>
          <w:szCs w:val="24"/>
          <w:lang w:eastAsia="ru-RU"/>
        </w:rPr>
        <w:t>Противопожарные расстояния от критически важных для национальной безопасности Российской Федерации объектов до границ лесных насаждений в лесничествах (лесопарках) должны составлять не менее 100 метров, если иное не установлено законодательством Российской Федерации.</w:t>
      </w:r>
    </w:p>
    <w:p>
      <w:pPr>
        <w:pStyle w:val="Normal"/>
        <w:widowControl w:val="false"/>
        <w:spacing w:lineRule="auto" w:line="276"/>
        <w:ind w:firstLine="709"/>
        <w:rPr>
          <w:rFonts w:eastAsia="Times New Roman"/>
          <w:b/>
          <w:b/>
          <w:bCs/>
          <w:szCs w:val="24"/>
        </w:rPr>
      </w:pPr>
      <w:r>
        <w:rPr>
          <w:rFonts w:eastAsia="Times New Roman"/>
          <w:b/>
          <w:bCs/>
          <w:szCs w:val="24"/>
        </w:rPr>
        <w:t>Общие требования пожарной безопасности в населенных пунктах</w:t>
      </w:r>
    </w:p>
    <w:p>
      <w:pPr>
        <w:pStyle w:val="Normal"/>
        <w:widowControl w:val="false"/>
        <w:spacing w:lineRule="auto" w:line="276"/>
        <w:ind w:firstLine="709"/>
        <w:rPr>
          <w:szCs w:val="24"/>
        </w:rPr>
      </w:pPr>
      <w:r>
        <w:rPr>
          <w:szCs w:val="24"/>
        </w:rPr>
        <w:t>При проектировании планировочной структуры и внутриквартальной транспортной сети следует руководствоваться требованиями статьи 4 СП 4.13.10.2013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pPr>
        <w:pStyle w:val="Normal"/>
        <w:tabs>
          <w:tab w:val="clear" w:pos="708"/>
          <w:tab w:val="left" w:pos="993" w:leader="none"/>
        </w:tabs>
        <w:spacing w:lineRule="auto" w:line="240"/>
        <w:ind w:firstLine="709"/>
        <w:rPr>
          <w:rFonts w:eastAsia="Times New Roman"/>
          <w:szCs w:val="24"/>
        </w:rPr>
      </w:pPr>
      <w:r>
        <w:rPr>
          <w:szCs w:val="24"/>
        </w:rPr>
        <w:t>«Противопожарные расстояния между жилыми и общественными зданиями, а также между жилыми, общественными зданиями и вспомогательными зданиями и сооружениями производственного, складского и технического назначения (за исключением объектов нефтегазовой индустрии, автостоянок грузовых автомобилей, специализированных складов, расходных складов горючего для энергообъектов и т.п.) в зависимости от степени огнестойкости и класса их конструктивной пожарной опасности принимаются в соответствии с</w:t>
      </w:r>
      <w:r>
        <w:rPr>
          <w:rFonts w:eastAsia="Times New Roman"/>
          <w:szCs w:val="24"/>
        </w:rPr>
        <w:t xml:space="preserve"> таблицей 5.8.</w:t>
      </w:r>
    </w:p>
    <w:p>
      <w:pPr>
        <w:pStyle w:val="Normal"/>
        <w:tabs>
          <w:tab w:val="clear" w:pos="708"/>
          <w:tab w:val="left" w:pos="993" w:leader="none"/>
        </w:tabs>
        <w:spacing w:lineRule="auto" w:line="240"/>
        <w:ind w:firstLine="709"/>
        <w:jc w:val="right"/>
        <w:rPr>
          <w:rFonts w:eastAsia="Times New Roman"/>
          <w:szCs w:val="24"/>
        </w:rPr>
      </w:pPr>
      <w:r>
        <w:rPr>
          <w:rFonts w:eastAsia="Times New Roman"/>
          <w:szCs w:val="24"/>
        </w:rPr>
        <w:t xml:space="preserve">Таблица </w:t>
      </w:r>
      <w:r>
        <w:rPr>
          <w:szCs w:val="24"/>
        </w:rPr>
        <w:t>5.8</w:t>
      </w:r>
    </w:p>
    <w:p>
      <w:pPr>
        <w:pStyle w:val="Normal"/>
        <w:tabs>
          <w:tab w:val="clear" w:pos="708"/>
          <w:tab w:val="left" w:pos="993" w:leader="none"/>
        </w:tabs>
        <w:spacing w:lineRule="auto" w:line="276"/>
        <w:jc w:val="center"/>
        <w:rPr>
          <w:rFonts w:eastAsia="Times New Roman"/>
          <w:szCs w:val="24"/>
        </w:rPr>
      </w:pPr>
      <w:r>
        <w:rPr>
          <w:rFonts w:eastAsia="Times New Roman"/>
          <w:szCs w:val="24"/>
        </w:rPr>
        <w:t>Требования к объемно планировочным и конструктивным решениям</w:t>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2448"/>
        <w:gridCol w:w="2135"/>
        <w:gridCol w:w="1371"/>
        <w:gridCol w:w="1371"/>
        <w:gridCol w:w="1371"/>
        <w:gridCol w:w="1224"/>
      </w:tblGrid>
      <w:tr>
        <w:trPr>
          <w:tblHeader w:val="true"/>
        </w:trPr>
        <w:tc>
          <w:tcPr>
            <w:tcW w:w="2448"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tabs>
                <w:tab w:val="clear" w:pos="708"/>
                <w:tab w:val="left" w:pos="993" w:leader="none"/>
              </w:tabs>
              <w:spacing w:lineRule="auto" w:line="240" w:before="0" w:after="200"/>
              <w:contextualSpacing/>
              <w:jc w:val="center"/>
              <w:rPr>
                <w:b/>
                <w:b/>
                <w:sz w:val="20"/>
                <w:szCs w:val="20"/>
              </w:rPr>
            </w:pPr>
            <w:r>
              <w:rPr>
                <w:b/>
                <w:sz w:val="20"/>
                <w:szCs w:val="20"/>
              </w:rPr>
              <w:t>Степень огнестойкости здания</w:t>
            </w:r>
          </w:p>
        </w:tc>
        <w:tc>
          <w:tcPr>
            <w:tcW w:w="2135"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tabs>
                <w:tab w:val="clear" w:pos="708"/>
                <w:tab w:val="left" w:pos="993" w:leader="none"/>
              </w:tabs>
              <w:spacing w:lineRule="auto" w:line="240" w:before="0" w:after="200"/>
              <w:contextualSpacing/>
              <w:jc w:val="center"/>
              <w:rPr>
                <w:b/>
                <w:b/>
                <w:sz w:val="20"/>
                <w:szCs w:val="20"/>
              </w:rPr>
            </w:pPr>
            <w:r>
              <w:rPr>
                <w:b/>
                <w:sz w:val="20"/>
                <w:szCs w:val="20"/>
              </w:rPr>
              <w:t>Класс конструктивной пожарной опасности</w:t>
            </w:r>
          </w:p>
        </w:tc>
        <w:tc>
          <w:tcPr>
            <w:tcW w:w="5337" w:type="dxa"/>
            <w:gridSpan w:val="4"/>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tabs>
                <w:tab w:val="clear" w:pos="708"/>
                <w:tab w:val="left" w:pos="993" w:leader="none"/>
              </w:tabs>
              <w:spacing w:lineRule="auto" w:line="240" w:before="0" w:after="200"/>
              <w:contextualSpacing/>
              <w:jc w:val="center"/>
              <w:rPr>
                <w:b/>
                <w:b/>
                <w:sz w:val="20"/>
                <w:szCs w:val="20"/>
              </w:rPr>
            </w:pPr>
            <w:r>
              <w:rPr>
                <w:b/>
                <w:sz w:val="20"/>
                <w:szCs w:val="20"/>
              </w:rPr>
              <w:t>Минимальные расстояния при степени огнестойкости и классе конструктивной пожарной опасности жилых и общественных зданий, м</w:t>
            </w:r>
          </w:p>
        </w:tc>
      </w:tr>
      <w:tr>
        <w:trPr>
          <w:tblHeader w:val="true"/>
        </w:trPr>
        <w:tc>
          <w:tcPr>
            <w:tcW w:w="2448" w:type="dxa"/>
            <w:vMerge w:val="continue"/>
            <w:tcBorders>
              <w:top w:val="single" w:sz="4" w:space="0" w:color="000000"/>
              <w:left w:val="single" w:sz="4" w:space="0" w:color="000000"/>
              <w:right w:val="single" w:sz="4" w:space="0" w:color="000000"/>
            </w:tcBorders>
            <w:shd w:color="auto" w:fill="auto" w:val="clear"/>
            <w:vAlign w:val="center"/>
          </w:tcPr>
          <w:p>
            <w:pPr>
              <w:pStyle w:val="Normal"/>
              <w:tabs>
                <w:tab w:val="clear" w:pos="708"/>
                <w:tab w:val="left" w:pos="993" w:leader="none"/>
              </w:tabs>
              <w:spacing w:lineRule="auto" w:line="240" w:before="0" w:after="200"/>
              <w:contextualSpacing/>
              <w:jc w:val="center"/>
              <w:rPr>
                <w:b/>
                <w:b/>
                <w:sz w:val="20"/>
                <w:szCs w:val="20"/>
              </w:rPr>
            </w:pPr>
            <w:r>
              <w:rPr>
                <w:b/>
                <w:sz w:val="20"/>
                <w:szCs w:val="20"/>
              </w:rPr>
            </w:r>
          </w:p>
        </w:tc>
        <w:tc>
          <w:tcPr>
            <w:tcW w:w="2135" w:type="dxa"/>
            <w:vMerge w:val="continue"/>
            <w:tcBorders>
              <w:top w:val="single" w:sz="4" w:space="0" w:color="000000"/>
              <w:left w:val="single" w:sz="4" w:space="0" w:color="000000"/>
              <w:right w:val="single" w:sz="4" w:space="0" w:color="000000"/>
            </w:tcBorders>
            <w:shd w:color="auto" w:fill="auto" w:val="clear"/>
            <w:vAlign w:val="center"/>
          </w:tcPr>
          <w:p>
            <w:pPr>
              <w:pStyle w:val="Normal"/>
              <w:tabs>
                <w:tab w:val="clear" w:pos="708"/>
                <w:tab w:val="left" w:pos="993" w:leader="none"/>
              </w:tabs>
              <w:spacing w:lineRule="auto" w:line="240" w:before="0" w:after="200"/>
              <w:contextualSpacing/>
              <w:jc w:val="center"/>
              <w:rPr>
                <w:b/>
                <w:b/>
                <w:sz w:val="20"/>
                <w:szCs w:val="20"/>
              </w:rPr>
            </w:pPr>
            <w:r>
              <w:rPr>
                <w:b/>
                <w:sz w:val="20"/>
                <w:szCs w:val="20"/>
              </w:rPr>
            </w:r>
          </w:p>
        </w:tc>
        <w:tc>
          <w:tcPr>
            <w:tcW w:w="1371" w:type="dxa"/>
            <w:tcBorders>
              <w:top w:val="single" w:sz="4" w:space="0" w:color="000000"/>
              <w:left w:val="single" w:sz="4" w:space="0" w:color="000000"/>
              <w:right w:val="single" w:sz="4" w:space="0" w:color="000000"/>
            </w:tcBorders>
            <w:shd w:color="auto" w:fill="auto" w:val="clear"/>
            <w:vAlign w:val="center"/>
          </w:tcPr>
          <w:p>
            <w:pPr>
              <w:pStyle w:val="Normal"/>
              <w:tabs>
                <w:tab w:val="clear" w:pos="708"/>
                <w:tab w:val="left" w:pos="993" w:leader="none"/>
              </w:tabs>
              <w:spacing w:lineRule="auto" w:line="240" w:before="0" w:after="200"/>
              <w:contextualSpacing/>
              <w:jc w:val="center"/>
              <w:rPr>
                <w:b/>
                <w:b/>
                <w:sz w:val="20"/>
                <w:szCs w:val="20"/>
                <w:lang w:val="en-US"/>
              </w:rPr>
            </w:pPr>
            <w:r>
              <w:rPr>
                <w:b/>
                <w:sz w:val="20"/>
                <w:szCs w:val="20"/>
                <w:lang w:val="en-US"/>
              </w:rPr>
              <w:t>I, II, III</w:t>
            </w:r>
          </w:p>
          <w:p>
            <w:pPr>
              <w:pStyle w:val="Normal"/>
              <w:tabs>
                <w:tab w:val="clear" w:pos="708"/>
                <w:tab w:val="left" w:pos="993" w:leader="none"/>
              </w:tabs>
              <w:spacing w:lineRule="auto" w:line="240" w:before="0" w:after="200"/>
              <w:contextualSpacing/>
              <w:jc w:val="center"/>
              <w:rPr>
                <w:b/>
                <w:b/>
                <w:sz w:val="20"/>
                <w:szCs w:val="20"/>
                <w:lang w:val="en-US"/>
              </w:rPr>
            </w:pPr>
            <w:r>
              <w:rPr>
                <w:b/>
                <w:sz w:val="20"/>
                <w:szCs w:val="20"/>
                <w:lang w:val="en-US"/>
              </w:rPr>
              <w:t>C0</w:t>
            </w:r>
          </w:p>
        </w:tc>
        <w:tc>
          <w:tcPr>
            <w:tcW w:w="1371" w:type="dxa"/>
            <w:tcBorders>
              <w:top w:val="single" w:sz="4" w:space="0" w:color="000000"/>
              <w:left w:val="single" w:sz="4" w:space="0" w:color="000000"/>
              <w:right w:val="single" w:sz="4" w:space="0" w:color="000000"/>
            </w:tcBorders>
            <w:shd w:color="auto" w:fill="auto" w:val="clear"/>
            <w:vAlign w:val="center"/>
          </w:tcPr>
          <w:p>
            <w:pPr>
              <w:pStyle w:val="Normal"/>
              <w:tabs>
                <w:tab w:val="clear" w:pos="708"/>
                <w:tab w:val="left" w:pos="993" w:leader="none"/>
              </w:tabs>
              <w:spacing w:lineRule="auto" w:line="240" w:before="0" w:after="200"/>
              <w:contextualSpacing/>
              <w:jc w:val="center"/>
              <w:rPr>
                <w:b/>
                <w:b/>
                <w:sz w:val="20"/>
                <w:szCs w:val="20"/>
                <w:lang w:val="en-US"/>
              </w:rPr>
            </w:pPr>
            <w:r>
              <w:rPr>
                <w:b/>
                <w:sz w:val="20"/>
                <w:szCs w:val="20"/>
                <w:lang w:val="en-US"/>
              </w:rPr>
              <w:t>II, III</w:t>
            </w:r>
          </w:p>
          <w:p>
            <w:pPr>
              <w:pStyle w:val="Normal"/>
              <w:tabs>
                <w:tab w:val="clear" w:pos="708"/>
                <w:tab w:val="left" w:pos="993" w:leader="none"/>
              </w:tabs>
              <w:spacing w:lineRule="auto" w:line="240" w:before="0" w:after="200"/>
              <w:contextualSpacing/>
              <w:jc w:val="center"/>
              <w:rPr>
                <w:b/>
                <w:b/>
                <w:sz w:val="20"/>
                <w:szCs w:val="20"/>
              </w:rPr>
            </w:pPr>
            <w:r>
              <w:rPr>
                <w:b/>
                <w:sz w:val="20"/>
                <w:szCs w:val="20"/>
                <w:lang w:val="en-US"/>
              </w:rPr>
              <w:t>C1</w:t>
            </w:r>
          </w:p>
        </w:tc>
        <w:tc>
          <w:tcPr>
            <w:tcW w:w="1371" w:type="dxa"/>
            <w:tcBorders>
              <w:top w:val="single" w:sz="4" w:space="0" w:color="000000"/>
              <w:left w:val="single" w:sz="4" w:space="0" w:color="000000"/>
              <w:right w:val="single" w:sz="4" w:space="0" w:color="000000"/>
            </w:tcBorders>
            <w:shd w:color="auto" w:fill="auto" w:val="clear"/>
            <w:vAlign w:val="center"/>
          </w:tcPr>
          <w:p>
            <w:pPr>
              <w:pStyle w:val="Normal"/>
              <w:tabs>
                <w:tab w:val="clear" w:pos="708"/>
                <w:tab w:val="left" w:pos="993" w:leader="none"/>
              </w:tabs>
              <w:spacing w:lineRule="auto" w:line="240" w:before="0" w:after="200"/>
              <w:contextualSpacing/>
              <w:jc w:val="center"/>
              <w:rPr>
                <w:b/>
                <w:b/>
                <w:sz w:val="20"/>
                <w:szCs w:val="20"/>
                <w:lang w:val="en-US"/>
              </w:rPr>
            </w:pPr>
            <w:r>
              <w:rPr>
                <w:b/>
                <w:sz w:val="20"/>
                <w:szCs w:val="20"/>
                <w:lang w:val="en-US"/>
              </w:rPr>
              <w:t xml:space="preserve">IV </w:t>
            </w:r>
          </w:p>
          <w:p>
            <w:pPr>
              <w:pStyle w:val="Normal"/>
              <w:tabs>
                <w:tab w:val="clear" w:pos="708"/>
                <w:tab w:val="left" w:pos="993" w:leader="none"/>
              </w:tabs>
              <w:spacing w:lineRule="auto" w:line="240" w:before="0" w:after="200"/>
              <w:contextualSpacing/>
              <w:jc w:val="center"/>
              <w:rPr>
                <w:b/>
                <w:b/>
                <w:sz w:val="20"/>
                <w:szCs w:val="20"/>
                <w:lang w:val="en-US"/>
              </w:rPr>
            </w:pPr>
            <w:r>
              <w:rPr>
                <w:b/>
                <w:sz w:val="20"/>
                <w:szCs w:val="20"/>
                <w:lang w:val="en-US"/>
              </w:rPr>
              <w:t>C0, C1</w:t>
            </w:r>
          </w:p>
        </w:tc>
        <w:tc>
          <w:tcPr>
            <w:tcW w:w="1224" w:type="dxa"/>
            <w:tcBorders>
              <w:top w:val="single" w:sz="4" w:space="0" w:color="000000"/>
              <w:left w:val="single" w:sz="4" w:space="0" w:color="000000"/>
              <w:right w:val="single" w:sz="4" w:space="0" w:color="000000"/>
            </w:tcBorders>
            <w:shd w:color="auto" w:fill="auto" w:val="clear"/>
            <w:vAlign w:val="center"/>
          </w:tcPr>
          <w:p>
            <w:pPr>
              <w:pStyle w:val="Normal"/>
              <w:tabs>
                <w:tab w:val="clear" w:pos="708"/>
                <w:tab w:val="left" w:pos="993" w:leader="none"/>
              </w:tabs>
              <w:spacing w:lineRule="auto" w:line="240" w:before="0" w:after="200"/>
              <w:contextualSpacing/>
              <w:jc w:val="center"/>
              <w:rPr>
                <w:b/>
                <w:b/>
                <w:sz w:val="20"/>
                <w:szCs w:val="20"/>
                <w:lang w:val="en-US"/>
              </w:rPr>
            </w:pPr>
            <w:r>
              <w:rPr>
                <w:b/>
                <w:sz w:val="20"/>
                <w:szCs w:val="20"/>
                <w:lang w:val="en-US"/>
              </w:rPr>
              <w:t>IV, V</w:t>
            </w:r>
          </w:p>
          <w:p>
            <w:pPr>
              <w:pStyle w:val="Normal"/>
              <w:tabs>
                <w:tab w:val="clear" w:pos="708"/>
                <w:tab w:val="left" w:pos="993" w:leader="none"/>
              </w:tabs>
              <w:spacing w:lineRule="auto" w:line="240" w:before="0" w:after="200"/>
              <w:contextualSpacing/>
              <w:jc w:val="center"/>
              <w:rPr>
                <w:b/>
                <w:b/>
                <w:sz w:val="20"/>
                <w:szCs w:val="20"/>
                <w:lang w:val="en-US"/>
              </w:rPr>
            </w:pPr>
            <w:r>
              <w:rPr>
                <w:b/>
                <w:sz w:val="20"/>
                <w:szCs w:val="20"/>
                <w:lang w:val="en-US"/>
              </w:rPr>
              <w:t>C2, C3</w:t>
            </w:r>
          </w:p>
        </w:tc>
      </w:tr>
    </w:tbl>
    <w:p>
      <w:pPr>
        <w:pStyle w:val="Normal"/>
        <w:tabs>
          <w:tab w:val="clear" w:pos="708"/>
          <w:tab w:val="left" w:pos="993" w:leader="none"/>
        </w:tabs>
        <w:spacing w:lineRule="auto" w:line="12" w:before="0" w:after="200"/>
        <w:ind w:left="720" w:hanging="0"/>
        <w:contextualSpacing/>
        <w:rPr>
          <w:sz w:val="20"/>
          <w:szCs w:val="20"/>
        </w:rPr>
      </w:pPr>
      <w:r>
        <w:rPr>
          <w:sz w:val="20"/>
          <w:szCs w:val="20"/>
        </w:rPr>
      </w:r>
    </w:p>
    <w:tbl>
      <w:tblPr>
        <w:tblW w:w="5000" w:type="pct"/>
        <w:jc w:val="left"/>
        <w:tblInd w:w="-108" w:type="dxa"/>
        <w:tblCellMar>
          <w:top w:w="0" w:type="dxa"/>
          <w:left w:w="108" w:type="dxa"/>
          <w:bottom w:w="0" w:type="dxa"/>
          <w:right w:w="108" w:type="dxa"/>
        </w:tblCellMar>
        <w:tblLook w:firstRow="1" w:noVBand="1" w:lastRow="0" w:firstColumn="1" w:lastColumn="0" w:noHBand="0" w:val="04a0"/>
      </w:tblPr>
      <w:tblGrid>
        <w:gridCol w:w="2448"/>
        <w:gridCol w:w="2135"/>
        <w:gridCol w:w="1371"/>
        <w:gridCol w:w="1371"/>
        <w:gridCol w:w="1371"/>
        <w:gridCol w:w="1224"/>
      </w:tblGrid>
      <w:tr>
        <w:trPr>
          <w:tblHeader w:val="true"/>
        </w:trPr>
        <w:tc>
          <w:tcPr>
            <w:tcW w:w="244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tabs>
                <w:tab w:val="clear" w:pos="708"/>
                <w:tab w:val="left" w:pos="993" w:leader="none"/>
              </w:tabs>
              <w:spacing w:lineRule="auto" w:line="240" w:before="0" w:after="200"/>
              <w:contextualSpacing/>
              <w:jc w:val="center"/>
              <w:rPr>
                <w:b/>
                <w:b/>
                <w:sz w:val="20"/>
                <w:szCs w:val="20"/>
              </w:rPr>
            </w:pPr>
            <w:r>
              <w:rPr>
                <w:b/>
                <w:sz w:val="20"/>
                <w:szCs w:val="20"/>
              </w:rPr>
              <w:t>1</w:t>
            </w:r>
          </w:p>
        </w:tc>
        <w:tc>
          <w:tcPr>
            <w:tcW w:w="213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tabs>
                <w:tab w:val="clear" w:pos="708"/>
                <w:tab w:val="left" w:pos="993" w:leader="none"/>
              </w:tabs>
              <w:spacing w:lineRule="auto" w:line="240" w:before="0" w:after="200"/>
              <w:contextualSpacing/>
              <w:jc w:val="center"/>
              <w:rPr>
                <w:b/>
                <w:b/>
                <w:sz w:val="20"/>
                <w:szCs w:val="20"/>
              </w:rPr>
            </w:pPr>
            <w:r>
              <w:rPr>
                <w:b/>
                <w:sz w:val="20"/>
                <w:szCs w:val="20"/>
              </w:rPr>
              <w:t>2</w:t>
            </w:r>
          </w:p>
        </w:tc>
        <w:tc>
          <w:tcPr>
            <w:tcW w:w="137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tabs>
                <w:tab w:val="clear" w:pos="708"/>
                <w:tab w:val="left" w:pos="993" w:leader="none"/>
              </w:tabs>
              <w:spacing w:lineRule="auto" w:line="240" w:before="0" w:after="200"/>
              <w:contextualSpacing/>
              <w:jc w:val="center"/>
              <w:rPr>
                <w:b/>
                <w:b/>
                <w:sz w:val="20"/>
                <w:szCs w:val="20"/>
              </w:rPr>
            </w:pPr>
            <w:r>
              <w:rPr>
                <w:b/>
                <w:sz w:val="20"/>
                <w:szCs w:val="20"/>
              </w:rPr>
              <w:t>3</w:t>
            </w:r>
          </w:p>
        </w:tc>
        <w:tc>
          <w:tcPr>
            <w:tcW w:w="137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tabs>
                <w:tab w:val="clear" w:pos="708"/>
                <w:tab w:val="left" w:pos="993" w:leader="none"/>
              </w:tabs>
              <w:spacing w:lineRule="auto" w:line="240" w:before="0" w:after="200"/>
              <w:contextualSpacing/>
              <w:jc w:val="center"/>
              <w:rPr>
                <w:b/>
                <w:b/>
                <w:sz w:val="20"/>
                <w:szCs w:val="20"/>
              </w:rPr>
            </w:pPr>
            <w:r>
              <w:rPr>
                <w:b/>
                <w:sz w:val="20"/>
                <w:szCs w:val="20"/>
              </w:rPr>
              <w:t>4</w:t>
            </w:r>
          </w:p>
        </w:tc>
        <w:tc>
          <w:tcPr>
            <w:tcW w:w="137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tabs>
                <w:tab w:val="clear" w:pos="708"/>
                <w:tab w:val="left" w:pos="993" w:leader="none"/>
              </w:tabs>
              <w:spacing w:lineRule="auto" w:line="240" w:before="0" w:after="200"/>
              <w:contextualSpacing/>
              <w:jc w:val="center"/>
              <w:rPr>
                <w:b/>
                <w:b/>
                <w:sz w:val="20"/>
                <w:szCs w:val="20"/>
              </w:rPr>
            </w:pPr>
            <w:r>
              <w:rPr>
                <w:b/>
                <w:sz w:val="20"/>
                <w:szCs w:val="20"/>
              </w:rPr>
              <w:t>5</w:t>
            </w:r>
          </w:p>
        </w:tc>
        <w:tc>
          <w:tcPr>
            <w:tcW w:w="122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tabs>
                <w:tab w:val="clear" w:pos="708"/>
                <w:tab w:val="left" w:pos="993" w:leader="none"/>
              </w:tabs>
              <w:spacing w:lineRule="auto" w:line="240" w:before="0" w:after="200"/>
              <w:contextualSpacing/>
              <w:jc w:val="center"/>
              <w:rPr>
                <w:b/>
                <w:b/>
                <w:sz w:val="20"/>
                <w:szCs w:val="20"/>
              </w:rPr>
            </w:pPr>
            <w:r>
              <w:rPr>
                <w:b/>
                <w:sz w:val="20"/>
                <w:szCs w:val="20"/>
              </w:rPr>
              <w:t>6</w:t>
            </w:r>
          </w:p>
        </w:tc>
      </w:tr>
      <w:tr>
        <w:trPr/>
        <w:tc>
          <w:tcPr>
            <w:tcW w:w="9920" w:type="dxa"/>
            <w:gridSpan w:val="6"/>
            <w:tcBorders>
              <w:top w:val="single" w:sz="4" w:space="0" w:color="000000"/>
              <w:left w:val="single" w:sz="4" w:space="0" w:color="000000"/>
              <w:bottom w:val="single" w:sz="4" w:space="0" w:color="000000"/>
              <w:right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Жилые и общественные</w:t>
            </w:r>
          </w:p>
        </w:tc>
      </w:tr>
      <w:tr>
        <w:trPr/>
        <w:tc>
          <w:tcPr>
            <w:tcW w:w="2448" w:type="dxa"/>
            <w:tcBorders>
              <w:top w:val="single" w:sz="4" w:space="0" w:color="000000"/>
              <w:left w:val="single" w:sz="4" w:space="0" w:color="000000"/>
              <w:bottom w:val="single" w:sz="4" w:space="0" w:color="000000"/>
            </w:tcBorders>
            <w:shd w:color="auto" w:fill="auto" w:val="clear"/>
          </w:tcPr>
          <w:p>
            <w:pPr>
              <w:pStyle w:val="Normal"/>
              <w:tabs>
                <w:tab w:val="clear" w:pos="708"/>
                <w:tab w:val="left" w:pos="954" w:leader="none"/>
              </w:tabs>
              <w:spacing w:lineRule="auto" w:line="240" w:before="0" w:after="200"/>
              <w:contextualSpacing/>
              <w:jc w:val="center"/>
              <w:rPr>
                <w:sz w:val="20"/>
                <w:szCs w:val="20"/>
              </w:rPr>
            </w:pPr>
            <w:r>
              <w:rPr>
                <w:sz w:val="20"/>
                <w:szCs w:val="20"/>
                <w:lang w:val="en-US"/>
              </w:rPr>
              <w:t>I, II, III</w:t>
            </w:r>
          </w:p>
        </w:tc>
        <w:tc>
          <w:tcPr>
            <w:tcW w:w="2135"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С</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6</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8</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8</w:t>
            </w:r>
          </w:p>
        </w:tc>
        <w:tc>
          <w:tcPr>
            <w:tcW w:w="1224" w:type="dxa"/>
            <w:tcBorders>
              <w:top w:val="single" w:sz="4" w:space="0" w:color="000000"/>
              <w:bottom w:val="single" w:sz="4" w:space="0" w:color="000000"/>
              <w:right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10</w:t>
            </w:r>
          </w:p>
        </w:tc>
      </w:tr>
      <w:tr>
        <w:trPr/>
        <w:tc>
          <w:tcPr>
            <w:tcW w:w="2448" w:type="dxa"/>
            <w:tcBorders>
              <w:top w:val="single" w:sz="4" w:space="0" w:color="000000"/>
              <w:left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lang w:val="en-US"/>
              </w:rPr>
              <w:t>II, III</w:t>
            </w:r>
          </w:p>
        </w:tc>
        <w:tc>
          <w:tcPr>
            <w:tcW w:w="2135"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С1</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8</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10</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10</w:t>
            </w:r>
          </w:p>
        </w:tc>
        <w:tc>
          <w:tcPr>
            <w:tcW w:w="1224" w:type="dxa"/>
            <w:tcBorders>
              <w:top w:val="single" w:sz="4" w:space="0" w:color="000000"/>
              <w:bottom w:val="single" w:sz="4" w:space="0" w:color="000000"/>
              <w:right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12</w:t>
            </w:r>
          </w:p>
        </w:tc>
      </w:tr>
      <w:tr>
        <w:trPr/>
        <w:tc>
          <w:tcPr>
            <w:tcW w:w="2448" w:type="dxa"/>
            <w:tcBorders>
              <w:top w:val="single" w:sz="4" w:space="0" w:color="000000"/>
              <w:left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lang w:val="en-US"/>
              </w:rPr>
              <w:t>IV</w:t>
            </w:r>
          </w:p>
        </w:tc>
        <w:tc>
          <w:tcPr>
            <w:tcW w:w="2135"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С0, С1</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8</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10</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10</w:t>
            </w:r>
          </w:p>
        </w:tc>
        <w:tc>
          <w:tcPr>
            <w:tcW w:w="1224" w:type="dxa"/>
            <w:tcBorders>
              <w:top w:val="single" w:sz="4" w:space="0" w:color="000000"/>
              <w:bottom w:val="single" w:sz="4" w:space="0" w:color="000000"/>
              <w:right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12</w:t>
            </w:r>
          </w:p>
        </w:tc>
      </w:tr>
      <w:tr>
        <w:trPr/>
        <w:tc>
          <w:tcPr>
            <w:tcW w:w="2448" w:type="dxa"/>
            <w:tcBorders>
              <w:top w:val="single" w:sz="4" w:space="0" w:color="000000"/>
              <w:left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lang w:val="en-US"/>
              </w:rPr>
              <w:t>IV, V</w:t>
            </w:r>
          </w:p>
        </w:tc>
        <w:tc>
          <w:tcPr>
            <w:tcW w:w="2135"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С2, С3</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10</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12</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12</w:t>
            </w:r>
          </w:p>
        </w:tc>
        <w:tc>
          <w:tcPr>
            <w:tcW w:w="1224" w:type="dxa"/>
            <w:tcBorders>
              <w:top w:val="single" w:sz="4" w:space="0" w:color="000000"/>
              <w:bottom w:val="single" w:sz="4" w:space="0" w:color="000000"/>
              <w:right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12</w:t>
            </w:r>
          </w:p>
        </w:tc>
      </w:tr>
      <w:tr>
        <w:trPr/>
        <w:tc>
          <w:tcPr>
            <w:tcW w:w="9920" w:type="dxa"/>
            <w:gridSpan w:val="6"/>
            <w:tcBorders>
              <w:top w:val="single" w:sz="4" w:space="0" w:color="000000"/>
              <w:left w:val="single" w:sz="4" w:space="0" w:color="000000"/>
              <w:bottom w:val="single" w:sz="4" w:space="0" w:color="000000"/>
              <w:right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Производственные и складские</w:t>
            </w:r>
          </w:p>
        </w:tc>
      </w:tr>
      <w:tr>
        <w:trPr/>
        <w:tc>
          <w:tcPr>
            <w:tcW w:w="2448" w:type="dxa"/>
            <w:tcBorders>
              <w:top w:val="single" w:sz="4" w:space="0" w:color="000000"/>
              <w:left w:val="single" w:sz="4" w:space="0" w:color="000000"/>
              <w:bottom w:val="single" w:sz="4" w:space="0" w:color="000000"/>
            </w:tcBorders>
            <w:shd w:color="auto" w:fill="auto" w:val="clear"/>
          </w:tcPr>
          <w:p>
            <w:pPr>
              <w:pStyle w:val="Normal"/>
              <w:tabs>
                <w:tab w:val="clear" w:pos="708"/>
                <w:tab w:val="left" w:pos="954" w:leader="none"/>
              </w:tabs>
              <w:spacing w:lineRule="auto" w:line="240" w:before="0" w:after="200"/>
              <w:contextualSpacing/>
              <w:jc w:val="center"/>
              <w:rPr>
                <w:sz w:val="20"/>
                <w:szCs w:val="20"/>
              </w:rPr>
            </w:pPr>
            <w:r>
              <w:rPr>
                <w:sz w:val="20"/>
                <w:szCs w:val="20"/>
                <w:lang w:val="en-US"/>
              </w:rPr>
              <w:t>I, II, III</w:t>
            </w:r>
          </w:p>
        </w:tc>
        <w:tc>
          <w:tcPr>
            <w:tcW w:w="2135"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С</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10</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12</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12</w:t>
            </w:r>
          </w:p>
        </w:tc>
        <w:tc>
          <w:tcPr>
            <w:tcW w:w="1224" w:type="dxa"/>
            <w:tcBorders>
              <w:top w:val="single" w:sz="4" w:space="0" w:color="000000"/>
              <w:bottom w:val="single" w:sz="4" w:space="0" w:color="000000"/>
              <w:right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12</w:t>
            </w:r>
          </w:p>
        </w:tc>
      </w:tr>
      <w:tr>
        <w:trPr/>
        <w:tc>
          <w:tcPr>
            <w:tcW w:w="2448" w:type="dxa"/>
            <w:tcBorders>
              <w:top w:val="single" w:sz="4" w:space="0" w:color="000000"/>
              <w:left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lang w:val="en-US"/>
              </w:rPr>
              <w:t>II, III</w:t>
            </w:r>
          </w:p>
        </w:tc>
        <w:tc>
          <w:tcPr>
            <w:tcW w:w="2135"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С1</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12</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12</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12</w:t>
            </w:r>
          </w:p>
        </w:tc>
        <w:tc>
          <w:tcPr>
            <w:tcW w:w="1224" w:type="dxa"/>
            <w:tcBorders>
              <w:top w:val="single" w:sz="4" w:space="0" w:color="000000"/>
              <w:bottom w:val="single" w:sz="4" w:space="0" w:color="000000"/>
              <w:right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12</w:t>
            </w:r>
          </w:p>
        </w:tc>
      </w:tr>
      <w:tr>
        <w:trPr/>
        <w:tc>
          <w:tcPr>
            <w:tcW w:w="2448" w:type="dxa"/>
            <w:tcBorders>
              <w:top w:val="single" w:sz="4" w:space="0" w:color="000000"/>
              <w:left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lang w:val="en-US"/>
              </w:rPr>
              <w:t>IV</w:t>
            </w:r>
          </w:p>
        </w:tc>
        <w:tc>
          <w:tcPr>
            <w:tcW w:w="2135"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С0, С1</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12</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12</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12</w:t>
            </w:r>
          </w:p>
        </w:tc>
        <w:tc>
          <w:tcPr>
            <w:tcW w:w="1224" w:type="dxa"/>
            <w:tcBorders>
              <w:top w:val="single" w:sz="4" w:space="0" w:color="000000"/>
              <w:bottom w:val="single" w:sz="4" w:space="0" w:color="000000"/>
              <w:right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15</w:t>
            </w:r>
          </w:p>
        </w:tc>
      </w:tr>
      <w:tr>
        <w:trPr/>
        <w:tc>
          <w:tcPr>
            <w:tcW w:w="2448" w:type="dxa"/>
            <w:tcBorders>
              <w:top w:val="single" w:sz="4" w:space="0" w:color="000000"/>
              <w:left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lang w:val="en-US"/>
              </w:rPr>
              <w:t>IV, V</w:t>
            </w:r>
          </w:p>
        </w:tc>
        <w:tc>
          <w:tcPr>
            <w:tcW w:w="2135"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С2, С3</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15</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15</w:t>
            </w:r>
          </w:p>
        </w:tc>
        <w:tc>
          <w:tcPr>
            <w:tcW w:w="1371" w:type="dxa"/>
            <w:tcBorders>
              <w:top w:val="single" w:sz="4" w:space="0" w:color="000000"/>
              <w:bottom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15</w:t>
            </w:r>
          </w:p>
        </w:tc>
        <w:tc>
          <w:tcPr>
            <w:tcW w:w="1224" w:type="dxa"/>
            <w:tcBorders>
              <w:top w:val="single" w:sz="4" w:space="0" w:color="000000"/>
              <w:bottom w:val="single" w:sz="4" w:space="0" w:color="000000"/>
              <w:right w:val="single" w:sz="4" w:space="0" w:color="000000"/>
            </w:tcBorders>
            <w:shd w:color="auto" w:fill="auto" w:val="clear"/>
          </w:tcPr>
          <w:p>
            <w:pPr>
              <w:pStyle w:val="Normal"/>
              <w:tabs>
                <w:tab w:val="clear" w:pos="708"/>
                <w:tab w:val="left" w:pos="993" w:leader="none"/>
              </w:tabs>
              <w:spacing w:lineRule="auto" w:line="240" w:before="0" w:after="200"/>
              <w:contextualSpacing/>
              <w:jc w:val="center"/>
              <w:rPr>
                <w:sz w:val="20"/>
                <w:szCs w:val="20"/>
              </w:rPr>
            </w:pPr>
            <w:r>
              <w:rPr>
                <w:sz w:val="20"/>
                <w:szCs w:val="20"/>
              </w:rPr>
              <w:t>18</w:t>
            </w:r>
          </w:p>
        </w:tc>
      </w:tr>
    </w:tbl>
    <w:p>
      <w:pPr>
        <w:pStyle w:val="Normal"/>
        <w:widowControl w:val="false"/>
        <w:numPr>
          <w:ilvl w:val="0"/>
          <w:numId w:val="62"/>
        </w:numPr>
        <w:tabs>
          <w:tab w:val="clear" w:pos="708"/>
          <w:tab w:val="left" w:pos="993" w:leader="none"/>
        </w:tabs>
        <w:spacing w:lineRule="auto" w:line="276" w:before="120" w:after="200"/>
        <w:ind w:left="0" w:firstLine="567"/>
        <w:rPr>
          <w:szCs w:val="24"/>
        </w:rPr>
      </w:pPr>
      <w:r>
        <w:rPr>
          <w:szCs w:val="24"/>
        </w:rPr>
        <w:t>Противопожарные расстояния между зданиями, сооружениями определяются как расстояния между наружными стенами или другими конструкциями зданий и сооружений. При наличии выступающих более чем на 1 м конструкций зданий и сооружений, выполненных из горючих материалов, следует принимать расстояния между этими конструкциями;</w:t>
      </w:r>
    </w:p>
    <w:p>
      <w:pPr>
        <w:pStyle w:val="Normal"/>
        <w:numPr>
          <w:ilvl w:val="0"/>
          <w:numId w:val="62"/>
        </w:numPr>
        <w:tabs>
          <w:tab w:val="clear" w:pos="708"/>
          <w:tab w:val="left" w:pos="993" w:leader="none"/>
        </w:tabs>
        <w:spacing w:lineRule="auto" w:line="276" w:before="0" w:after="200"/>
        <w:ind w:left="0" w:firstLine="567"/>
        <w:contextualSpacing/>
        <w:rPr>
          <w:szCs w:val="24"/>
        </w:rPr>
      </w:pPr>
      <w:r>
        <w:rPr>
          <w:szCs w:val="24"/>
        </w:rPr>
        <w:t>Противопожарные расстояния между стенами зданий, сооружений без оконных проемов допускается уменьшать на 20 % при условии устройства кровли из негорючих материалов, за исключением зданий IV и V степеней огнестойкости и зданий классов конструктивной пожарной опасности С2 и С3;</w:t>
      </w:r>
    </w:p>
    <w:p>
      <w:pPr>
        <w:pStyle w:val="Normal"/>
        <w:numPr>
          <w:ilvl w:val="0"/>
          <w:numId w:val="62"/>
        </w:numPr>
        <w:tabs>
          <w:tab w:val="clear" w:pos="708"/>
          <w:tab w:val="left" w:pos="993" w:leader="none"/>
        </w:tabs>
        <w:spacing w:lineRule="auto" w:line="276" w:before="0" w:after="200"/>
        <w:ind w:left="0" w:firstLine="567"/>
        <w:contextualSpacing/>
        <w:rPr>
          <w:szCs w:val="24"/>
        </w:rPr>
      </w:pPr>
      <w:r>
        <w:rPr>
          <w:szCs w:val="24"/>
        </w:rPr>
        <w:t>Противопожарные расстояния между зданиями, сооружениями I и II степеней огнестойкости класса конструктивной пожарной опасности С0 допускается уменьшать на 50 % при оборудовании каждого из зданий и сооружений автоматическими установками пожаротушения;</w:t>
      </w:r>
    </w:p>
    <w:p>
      <w:pPr>
        <w:pStyle w:val="Normal"/>
        <w:numPr>
          <w:ilvl w:val="0"/>
          <w:numId w:val="62"/>
        </w:numPr>
        <w:tabs>
          <w:tab w:val="clear" w:pos="708"/>
          <w:tab w:val="left" w:pos="993" w:leader="none"/>
        </w:tabs>
        <w:spacing w:lineRule="auto" w:line="276" w:before="0" w:after="200"/>
        <w:ind w:left="0" w:firstLine="567"/>
        <w:contextualSpacing/>
        <w:rPr>
          <w:szCs w:val="24"/>
        </w:rPr>
      </w:pPr>
      <w:r>
        <w:rPr>
          <w:szCs w:val="24"/>
        </w:rPr>
        <w:t>В районах с сейсмичностью 9 и выше баллов противопожарные расстояния между жилыми зданиями, а также между жилыми и общественными зданиями IV и V степеней огнестойкости следует увеличивать на 20 %;</w:t>
      </w:r>
    </w:p>
    <w:p>
      <w:pPr>
        <w:pStyle w:val="Normal"/>
        <w:numPr>
          <w:ilvl w:val="0"/>
          <w:numId w:val="62"/>
        </w:numPr>
        <w:tabs>
          <w:tab w:val="clear" w:pos="708"/>
          <w:tab w:val="left" w:pos="993" w:leader="none"/>
        </w:tabs>
        <w:spacing w:lineRule="auto" w:line="276" w:before="0" w:after="200"/>
        <w:ind w:left="0" w:firstLine="567"/>
        <w:contextualSpacing/>
        <w:rPr>
          <w:szCs w:val="24"/>
        </w:rPr>
      </w:pPr>
      <w:r>
        <w:rPr>
          <w:szCs w:val="24"/>
        </w:rPr>
        <w:t>Противопожарные расстояния от зданий и сооружений до объектов защиты IV и V степеней огнестойкости в береговой полосе шириной 100 км или до ближайшего горного хребта в климатических подрайонах IБ, IГ, IIА и IIБ следует увеличивать на 25 %;</w:t>
      </w:r>
    </w:p>
    <w:p>
      <w:pPr>
        <w:pStyle w:val="Normal"/>
        <w:numPr>
          <w:ilvl w:val="0"/>
          <w:numId w:val="62"/>
        </w:numPr>
        <w:tabs>
          <w:tab w:val="clear" w:pos="708"/>
          <w:tab w:val="left" w:pos="993" w:leader="none"/>
        </w:tabs>
        <w:spacing w:lineRule="auto" w:line="276" w:before="0" w:after="200"/>
        <w:ind w:left="0" w:firstLine="567"/>
        <w:contextualSpacing/>
        <w:rPr>
          <w:szCs w:val="24"/>
        </w:rPr>
      </w:pPr>
      <w:r>
        <w:rPr>
          <w:szCs w:val="24"/>
        </w:rPr>
        <w:t>Противопожарные расстояния между жилыми зданиями IV и V степеней огнестойкости в климатических подрайонах IА, IБ, IГ, IД и IIА следует увеличивать на 50 %;</w:t>
      </w:r>
    </w:p>
    <w:p>
      <w:pPr>
        <w:pStyle w:val="Normal"/>
        <w:numPr>
          <w:ilvl w:val="0"/>
          <w:numId w:val="62"/>
        </w:numPr>
        <w:tabs>
          <w:tab w:val="clear" w:pos="708"/>
          <w:tab w:val="left" w:pos="993" w:leader="none"/>
        </w:tabs>
        <w:spacing w:lineRule="auto" w:line="276" w:before="0" w:after="200"/>
        <w:ind w:left="0" w:firstLine="567"/>
        <w:contextualSpacing/>
        <w:rPr>
          <w:szCs w:val="24"/>
        </w:rPr>
      </w:pPr>
      <w:r>
        <w:rPr>
          <w:szCs w:val="24"/>
        </w:rPr>
        <w:t>Для двухэтажных зданий, сооружений каркасной и щитовой конструкции V степени огнестойкости, а также указанных объектов защиты с кровлей из горючих материалов противопожарные расстояния следует увеличивать на 20 %;</w:t>
      </w:r>
    </w:p>
    <w:p>
      <w:pPr>
        <w:pStyle w:val="Normal"/>
        <w:numPr>
          <w:ilvl w:val="0"/>
          <w:numId w:val="62"/>
        </w:numPr>
        <w:tabs>
          <w:tab w:val="clear" w:pos="708"/>
          <w:tab w:val="left" w:pos="993" w:leader="none"/>
        </w:tabs>
        <w:spacing w:lineRule="auto" w:line="276" w:before="0" w:after="200"/>
        <w:ind w:left="0" w:firstLine="567"/>
        <w:contextualSpacing/>
        <w:rPr>
          <w:szCs w:val="24"/>
        </w:rPr>
      </w:pPr>
      <w:r>
        <w:rPr>
          <w:szCs w:val="24"/>
        </w:rPr>
        <w:t>Противопожарные расстояния между жилыми и общественными зданиями, сооружениями I, II и III степеней огнестойкости не нормируются (при условии обеспечения требуемых проездов и подъездов для пожарной техники), если стена более высокого или широкого объекта защиты, обращенная к соседнему объекту защиты, является противопожарной 1-го типа;</w:t>
      </w:r>
    </w:p>
    <w:p>
      <w:pPr>
        <w:pStyle w:val="Normal"/>
        <w:numPr>
          <w:ilvl w:val="0"/>
          <w:numId w:val="62"/>
        </w:numPr>
        <w:tabs>
          <w:tab w:val="clear" w:pos="708"/>
          <w:tab w:val="left" w:pos="993" w:leader="none"/>
        </w:tabs>
        <w:spacing w:lineRule="auto" w:line="276" w:before="0" w:after="200"/>
        <w:ind w:left="0" w:firstLine="567"/>
        <w:contextualSpacing/>
        <w:rPr>
          <w:szCs w:val="24"/>
        </w:rPr>
      </w:pPr>
      <w:r>
        <w:rPr>
          <w:szCs w:val="24"/>
        </w:rPr>
        <w:t xml:space="preserve">Противопожарные расстояния между общественными зданиями и сооружениями не нормируются (при условии обеспечения требуемых проездов и подъездов для пожарной техники) при суммарной площади в пределах периметра застройки, не превышающей допустимую площадь этажа в пределах пожарного отсека, принимаемую по </w:t>
      </w:r>
      <w:hyperlink r:id="rId175">
        <w:r>
          <w:rPr>
            <w:szCs w:val="24"/>
          </w:rPr>
          <w:t>СП 2.13130</w:t>
        </w:r>
      </w:hyperlink>
      <w:r>
        <w:rPr>
          <w:szCs w:val="24"/>
        </w:rPr>
        <w:t xml:space="preserve"> для здания или сооружения с минимальными значениями допустимой площади, и худшими показателями степени огнестойкости и класса конструктивной пожарной опасности;</w:t>
      </w:r>
    </w:p>
    <w:p>
      <w:pPr>
        <w:pStyle w:val="Normal"/>
        <w:numPr>
          <w:ilvl w:val="0"/>
          <w:numId w:val="62"/>
        </w:numPr>
        <w:tabs>
          <w:tab w:val="clear" w:pos="708"/>
          <w:tab w:val="left" w:pos="993" w:leader="none"/>
        </w:tabs>
        <w:spacing w:lineRule="auto" w:line="276" w:before="0" w:after="200"/>
        <w:ind w:left="0" w:firstLine="567"/>
        <w:contextualSpacing/>
        <w:rPr>
          <w:szCs w:val="24"/>
        </w:rPr>
      </w:pPr>
      <w:r>
        <w:rPr>
          <w:szCs w:val="24"/>
        </w:rPr>
        <w:t xml:space="preserve"> </w:t>
      </w:r>
      <w:r>
        <w:rPr>
          <w:szCs w:val="24"/>
        </w:rPr>
        <w:t xml:space="preserve">Противопожарные расстояния от хозяйственных построек, расположенных на одном садовом, дачном или приусадебном земельном участке, до жилых домов соседних земельных участков, а также между жилыми домами соседних земельных участков следует принимать в соответствии с </w:t>
      </w:r>
      <w:hyperlink r:id="rId176">
        <w:r>
          <w:rPr>
            <w:szCs w:val="24"/>
          </w:rPr>
          <w:t>таблицей 1</w:t>
        </w:r>
      </w:hyperlink>
      <w:r>
        <w:rPr>
          <w:szCs w:val="24"/>
        </w:rPr>
        <w:t>;</w:t>
      </w:r>
    </w:p>
    <w:p>
      <w:pPr>
        <w:pStyle w:val="Normal"/>
        <w:numPr>
          <w:ilvl w:val="0"/>
          <w:numId w:val="62"/>
        </w:numPr>
        <w:tabs>
          <w:tab w:val="clear" w:pos="708"/>
          <w:tab w:val="left" w:pos="993" w:leader="none"/>
        </w:tabs>
        <w:spacing w:lineRule="auto" w:line="276" w:before="0" w:after="200"/>
        <w:ind w:left="0" w:firstLine="567"/>
        <w:contextualSpacing/>
        <w:rPr>
          <w:szCs w:val="24"/>
        </w:rPr>
      </w:pPr>
      <w:r>
        <w:rPr>
          <w:szCs w:val="24"/>
        </w:rPr>
        <w:t xml:space="preserve"> </w:t>
      </w:r>
      <w:r>
        <w:rPr>
          <w:szCs w:val="24"/>
        </w:rPr>
        <w:t>Противопожарные расстояния между жилым домом и хозяйственными постройками, а также между хозяйственными постройками в пределах одного садового, дачного или приусадебного земельного участка не нормируются;</w:t>
      </w:r>
    </w:p>
    <w:p>
      <w:pPr>
        <w:pStyle w:val="Normal"/>
        <w:numPr>
          <w:ilvl w:val="0"/>
          <w:numId w:val="62"/>
        </w:numPr>
        <w:tabs>
          <w:tab w:val="clear" w:pos="708"/>
          <w:tab w:val="left" w:pos="993" w:leader="none"/>
        </w:tabs>
        <w:spacing w:lineRule="auto" w:line="276" w:before="0" w:after="200"/>
        <w:ind w:left="0" w:firstLine="567"/>
        <w:contextualSpacing/>
        <w:rPr>
          <w:szCs w:val="24"/>
        </w:rPr>
      </w:pPr>
      <w:r>
        <w:rPr>
          <w:szCs w:val="24"/>
        </w:rPr>
        <w:t xml:space="preserve"> </w:t>
      </w:r>
      <w:r>
        <w:rPr>
          <w:szCs w:val="24"/>
        </w:rPr>
        <w:t xml:space="preserve">Допускается группировать и блокировать жилые дома на 2-х соседних земельных участках при однорядной застройке и на 4-х соседних садовых земельных участках при двухрядной застройке. При этом противопожарные расстояния между жилыми строениями или жилыми домами в каждой группе не нормируются, а минимальные расстояния между крайними жилыми строениями или жилыми домами групп домов следует принимать в соответствии с </w:t>
      </w:r>
      <w:hyperlink r:id="rId177">
        <w:r>
          <w:rPr>
            <w:szCs w:val="24"/>
          </w:rPr>
          <w:t>таблицей 1</w:t>
        </w:r>
      </w:hyperlink>
      <w:r>
        <w:rPr>
          <w:szCs w:val="24"/>
        </w:rPr>
        <w:t>;</w:t>
      </w:r>
    </w:p>
    <w:p>
      <w:pPr>
        <w:pStyle w:val="Normal"/>
        <w:numPr>
          <w:ilvl w:val="0"/>
          <w:numId w:val="62"/>
        </w:numPr>
        <w:tabs>
          <w:tab w:val="clear" w:pos="708"/>
          <w:tab w:val="left" w:pos="993" w:leader="none"/>
        </w:tabs>
        <w:spacing w:lineRule="auto" w:line="276" w:before="0" w:after="200"/>
        <w:ind w:left="0" w:firstLine="567"/>
        <w:contextualSpacing/>
        <w:rPr>
          <w:szCs w:val="24"/>
        </w:rPr>
      </w:pPr>
      <w:r>
        <w:rPr>
          <w:szCs w:val="24"/>
        </w:rPr>
        <w:t xml:space="preserve"> </w:t>
      </w:r>
      <w:r>
        <w:rPr>
          <w:szCs w:val="24"/>
        </w:rPr>
        <w:t>Расстояния между хозяйственными постройками (сараями, гаражами), расположенными вне территории садовых, дачных или приусадебных земельных участков, не нормируются при условии, если площадь застройки сблокированных хозяйственных построек не превышает 800 м</w:t>
      </w:r>
      <w:r>
        <w:rPr>
          <w:szCs w:val="24"/>
          <w:vertAlign w:val="superscript"/>
        </w:rPr>
        <w:t>2</w:t>
      </w:r>
      <w:r>
        <w:rPr>
          <w:szCs w:val="24"/>
        </w:rPr>
        <w:t>. Расстояния между группами сблокированных хозяйственных построек следует принимать по таблице 1;</w:t>
      </w:r>
    </w:p>
    <w:p>
      <w:pPr>
        <w:pStyle w:val="Normal"/>
        <w:numPr>
          <w:ilvl w:val="0"/>
          <w:numId w:val="62"/>
        </w:numPr>
        <w:tabs>
          <w:tab w:val="clear" w:pos="708"/>
          <w:tab w:val="left" w:pos="993" w:leader="none"/>
        </w:tabs>
        <w:spacing w:lineRule="auto" w:line="276" w:before="0" w:after="200"/>
        <w:ind w:left="0" w:firstLine="567"/>
        <w:contextualSpacing/>
        <w:rPr>
          <w:szCs w:val="24"/>
        </w:rPr>
      </w:pPr>
      <w:r>
        <w:rPr>
          <w:szCs w:val="24"/>
        </w:rPr>
        <w:t xml:space="preserve"> </w:t>
      </w:r>
      <w:r>
        <w:rPr>
          <w:szCs w:val="24"/>
        </w:rPr>
        <w:t>Противопожарные расстояния от границ застройки городских поселений до лесных насаждений в лесничествах (лесопарках) должны быть не менее 50 м, а от границ застройки городских и сельских поселений с одно-, двухэтажной индивидуальной застройкой, а также от домов и хозяйственных построек на территории садовых, дачных и приусадебных земельных участков до лесных насаждений в лесничествах (лесопарках) – не менее 30 м».</w:t>
      </w:r>
    </w:p>
    <w:p>
      <w:pPr>
        <w:pStyle w:val="Normal"/>
        <w:spacing w:lineRule="auto" w:line="276" w:before="0" w:after="200"/>
        <w:ind w:left="567" w:firstLine="142"/>
        <w:contextualSpacing/>
        <w:rPr>
          <w:rFonts w:eastAsia="Times New Roman"/>
          <w:b/>
          <w:b/>
          <w:bCs/>
          <w:szCs w:val="24"/>
        </w:rPr>
      </w:pPr>
      <w:r>
        <w:rPr>
          <w:rFonts w:eastAsia="Times New Roman"/>
          <w:b/>
          <w:bCs/>
          <w:szCs w:val="24"/>
        </w:rPr>
        <w:t>Сигнальные цвета и знаки пожарной безопасности</w:t>
      </w:r>
    </w:p>
    <w:p>
      <w:pPr>
        <w:pStyle w:val="Normal"/>
        <w:spacing w:lineRule="auto" w:line="276"/>
        <w:ind w:firstLine="709"/>
        <w:rPr>
          <w:szCs w:val="24"/>
        </w:rPr>
      </w:pPr>
      <w:r>
        <w:rPr>
          <w:szCs w:val="24"/>
        </w:rPr>
        <w:t>На территории муниципального образования должны применяться сигнальные цвета и знаки пожарной безопасности. Выдержка из НПБ 160-97 Нормы пожарной безопасности «Цвета сигнальные. Нормы пожарной безопасности. Виды, размеры, общие технические требования».</w:t>
      </w:r>
    </w:p>
    <w:p>
      <w:pPr>
        <w:pStyle w:val="Normal"/>
        <w:spacing w:lineRule="auto" w:line="276"/>
        <w:ind w:firstLine="426"/>
        <w:rPr>
          <w:szCs w:val="24"/>
        </w:rPr>
      </w:pPr>
      <w:r>
        <w:rPr>
          <w:szCs w:val="24"/>
        </w:rPr>
        <w:t>«Сигнальные цвета следует использовать для:</w:t>
      </w:r>
    </w:p>
    <w:p>
      <w:pPr>
        <w:pStyle w:val="ListParagraph"/>
        <w:numPr>
          <w:ilvl w:val="0"/>
          <w:numId w:val="63"/>
        </w:numPr>
        <w:spacing w:before="0" w:after="0"/>
        <w:ind w:left="0" w:firstLine="425"/>
        <w:contextualSpacing/>
        <w:jc w:val="both"/>
        <w:rPr>
          <w:rFonts w:ascii="Times New Roman" w:hAnsi="Times New Roman"/>
          <w:sz w:val="24"/>
          <w:szCs w:val="24"/>
        </w:rPr>
      </w:pPr>
      <w:r>
        <w:rPr>
          <w:sz w:val="24"/>
          <w:szCs w:val="24"/>
        </w:rPr>
        <w:t>Внешнего оформления знаков пожарной безопасности;</w:t>
      </w:r>
    </w:p>
    <w:p>
      <w:pPr>
        <w:pStyle w:val="ListParagraph"/>
        <w:numPr>
          <w:ilvl w:val="0"/>
          <w:numId w:val="63"/>
        </w:numPr>
        <w:spacing w:before="0" w:after="0"/>
        <w:ind w:left="0" w:firstLine="425"/>
        <w:contextualSpacing/>
        <w:jc w:val="both"/>
        <w:rPr>
          <w:rFonts w:ascii="Times New Roman" w:hAnsi="Times New Roman"/>
          <w:sz w:val="24"/>
          <w:szCs w:val="24"/>
        </w:rPr>
      </w:pPr>
      <w:r>
        <w:rPr>
          <w:sz w:val="24"/>
          <w:szCs w:val="24"/>
        </w:rPr>
        <w:t>Обозначения мест размещения пожарной техники, мест нахождения кнопок ручного пуска установок пожарной автоматики, систем противодымной защиты, мест нахождения средств индивидуальной защиты, самоспасания и т.п.;</w:t>
      </w:r>
    </w:p>
    <w:p>
      <w:pPr>
        <w:pStyle w:val="Normal"/>
        <w:numPr>
          <w:ilvl w:val="0"/>
          <w:numId w:val="63"/>
        </w:numPr>
        <w:tabs>
          <w:tab w:val="clear" w:pos="708"/>
          <w:tab w:val="left" w:pos="720" w:leader="none"/>
        </w:tabs>
        <w:spacing w:lineRule="auto" w:line="276"/>
        <w:ind w:left="0" w:firstLine="425"/>
        <w:rPr>
          <w:szCs w:val="24"/>
        </w:rPr>
      </w:pPr>
      <w:r>
        <w:rPr>
          <w:szCs w:val="24"/>
        </w:rPr>
        <w:t>Обозначения путей эвакуации, а также границ зон путей эвакуации, которые не допускается загромождать или использовать для складирования».</w:t>
      </w:r>
    </w:p>
    <w:p>
      <w:pPr>
        <w:pStyle w:val="Normal"/>
        <w:spacing w:lineRule="auto" w:line="276"/>
        <w:ind w:firstLine="709"/>
        <w:rPr>
          <w:szCs w:val="24"/>
        </w:rPr>
      </w:pPr>
      <w:r>
        <w:rPr>
          <w:szCs w:val="24"/>
        </w:rPr>
        <w:t>«Знаки пожарной безопасности следует размещать:</w:t>
      </w:r>
    </w:p>
    <w:p>
      <w:pPr>
        <w:pStyle w:val="Normal"/>
        <w:numPr>
          <w:ilvl w:val="0"/>
          <w:numId w:val="64"/>
        </w:numPr>
        <w:tabs>
          <w:tab w:val="clear" w:pos="708"/>
          <w:tab w:val="left" w:pos="0" w:leader="none"/>
        </w:tabs>
        <w:spacing w:lineRule="auto" w:line="276" w:before="0" w:after="200"/>
        <w:ind w:left="0" w:firstLine="426"/>
        <w:contextualSpacing/>
        <w:rPr>
          <w:szCs w:val="24"/>
        </w:rPr>
      </w:pPr>
      <w:r>
        <w:rPr>
          <w:szCs w:val="24"/>
        </w:rPr>
        <w:t>на территориях предприятий (в зданиях, сооружениях и на других объектах), в помещениях, а также на рабочих местах и участках производства работ (услуг);</w:t>
      </w:r>
    </w:p>
    <w:p>
      <w:pPr>
        <w:pStyle w:val="Normal"/>
        <w:numPr>
          <w:ilvl w:val="0"/>
          <w:numId w:val="64"/>
        </w:numPr>
        <w:tabs>
          <w:tab w:val="clear" w:pos="708"/>
          <w:tab w:val="left" w:pos="0" w:leader="none"/>
        </w:tabs>
        <w:spacing w:lineRule="auto" w:line="276" w:before="0" w:after="200"/>
        <w:ind w:left="0" w:firstLine="426"/>
        <w:contextualSpacing/>
        <w:rPr>
          <w:szCs w:val="24"/>
        </w:rPr>
      </w:pPr>
      <w:r>
        <w:rPr>
          <w:szCs w:val="24"/>
        </w:rPr>
        <w:t>в зонах селитебной застройки;</w:t>
      </w:r>
    </w:p>
    <w:p>
      <w:pPr>
        <w:pStyle w:val="Normal"/>
        <w:numPr>
          <w:ilvl w:val="0"/>
          <w:numId w:val="64"/>
        </w:numPr>
        <w:tabs>
          <w:tab w:val="clear" w:pos="708"/>
          <w:tab w:val="left" w:pos="0" w:leader="none"/>
        </w:tabs>
        <w:spacing w:lineRule="auto" w:line="276" w:before="0" w:after="200"/>
        <w:ind w:left="0" w:firstLine="426"/>
        <w:contextualSpacing/>
        <w:rPr>
          <w:szCs w:val="24"/>
        </w:rPr>
      </w:pPr>
      <w:r>
        <w:rPr>
          <w:szCs w:val="24"/>
        </w:rPr>
        <w:t>в интерьерах средств транспорта и т.п.».</w:t>
      </w:r>
    </w:p>
    <w:p>
      <w:pPr>
        <w:pStyle w:val="Normal"/>
        <w:spacing w:lineRule="auto" w:line="276"/>
        <w:ind w:firstLine="709"/>
        <w:rPr>
          <w:szCs w:val="24"/>
        </w:rPr>
      </w:pPr>
      <w:r>
        <w:rPr>
          <w:szCs w:val="24"/>
        </w:rPr>
        <w:t>«На участках (в зонах), временно отнесенных к пожароопасным, следует устанавливать переносные знаки пожарной безопасности, которые должны убираться по мере того, как отпадает необходимость в их применении».</w:t>
      </w:r>
    </w:p>
    <w:p>
      <w:pPr>
        <w:pStyle w:val="Normal"/>
        <w:spacing w:lineRule="auto" w:line="276"/>
        <w:ind w:firstLine="709"/>
        <w:rPr>
          <w:iCs/>
          <w:szCs w:val="24"/>
        </w:rPr>
      </w:pPr>
      <w:r>
        <w:rPr>
          <w:szCs w:val="24"/>
        </w:rPr>
        <w:t>«</w:t>
      </w:r>
      <w:r>
        <w:rPr>
          <w:iCs/>
          <w:szCs w:val="24"/>
        </w:rPr>
        <w:t>При выборе места установки знака необходимо соблюдение следующих требований:</w:t>
      </w:r>
    </w:p>
    <w:p>
      <w:pPr>
        <w:pStyle w:val="ListParagraph"/>
        <w:numPr>
          <w:ilvl w:val="0"/>
          <w:numId w:val="65"/>
        </w:numPr>
        <w:tabs>
          <w:tab w:val="clear" w:pos="708"/>
          <w:tab w:val="left" w:pos="720" w:leader="none"/>
        </w:tabs>
        <w:spacing w:before="0" w:after="0"/>
        <w:ind w:left="0" w:firstLine="425"/>
        <w:contextualSpacing/>
        <w:jc w:val="both"/>
        <w:rPr>
          <w:rFonts w:ascii="Times New Roman" w:hAnsi="Times New Roman"/>
          <w:iCs/>
          <w:sz w:val="24"/>
          <w:szCs w:val="24"/>
        </w:rPr>
      </w:pPr>
      <w:r>
        <w:rPr>
          <w:iCs/>
          <w:sz w:val="24"/>
          <w:szCs w:val="24"/>
        </w:rPr>
        <w:t>Знак должен быть хорошо виден, его восприятию не должны мешать цвет окружающего фона, посторонние предметы или яркостный контраст при искусственном или естественном освещении;</w:t>
      </w:r>
    </w:p>
    <w:p>
      <w:pPr>
        <w:pStyle w:val="Normal"/>
        <w:numPr>
          <w:ilvl w:val="0"/>
          <w:numId w:val="65"/>
        </w:numPr>
        <w:tabs>
          <w:tab w:val="clear" w:pos="708"/>
          <w:tab w:val="left" w:pos="426" w:leader="none"/>
        </w:tabs>
        <w:spacing w:lineRule="auto" w:line="276"/>
        <w:ind w:left="0" w:firstLine="425"/>
        <w:rPr>
          <w:iCs/>
          <w:szCs w:val="24"/>
        </w:rPr>
      </w:pPr>
      <w:r>
        <w:rPr>
          <w:iCs/>
          <w:szCs w:val="24"/>
        </w:rPr>
        <w:t>Знак должен находиться в пределах поля зрения при условиях наиболее естественного (привычного) зрительного восприятия окружающей среды;</w:t>
      </w:r>
    </w:p>
    <w:p>
      <w:pPr>
        <w:pStyle w:val="Normal"/>
        <w:numPr>
          <w:ilvl w:val="0"/>
          <w:numId w:val="65"/>
        </w:numPr>
        <w:tabs>
          <w:tab w:val="clear" w:pos="708"/>
          <w:tab w:val="left" w:pos="426" w:leader="none"/>
        </w:tabs>
        <w:spacing w:lineRule="auto" w:line="276"/>
        <w:ind w:left="0" w:firstLine="425"/>
        <w:rPr>
          <w:iCs/>
          <w:szCs w:val="24"/>
        </w:rPr>
      </w:pPr>
      <w:r>
        <w:rPr>
          <w:iCs/>
          <w:szCs w:val="24"/>
        </w:rPr>
        <w:t xml:space="preserve">Расстояние между одноименными знаками, указывающими местонахождение эвакуационного выхода или пожарно-технической продукции, не должно превышать </w:t>
        <w:br/>
        <w:t>60 м;</w:t>
      </w:r>
    </w:p>
    <w:p>
      <w:pPr>
        <w:pStyle w:val="Normal"/>
        <w:numPr>
          <w:ilvl w:val="0"/>
          <w:numId w:val="65"/>
        </w:numPr>
        <w:tabs>
          <w:tab w:val="clear" w:pos="708"/>
          <w:tab w:val="left" w:pos="426" w:leader="none"/>
        </w:tabs>
        <w:spacing w:lineRule="auto" w:line="276"/>
        <w:ind w:left="0" w:firstLine="425"/>
        <w:rPr>
          <w:iCs/>
          <w:szCs w:val="24"/>
        </w:rPr>
      </w:pPr>
      <w:r>
        <w:rPr>
          <w:iCs/>
          <w:szCs w:val="24"/>
        </w:rPr>
        <w:t>Знак должен располагаться в непосредственной близости от объекта, к которому он относится.».</w:t>
      </w:r>
    </w:p>
    <w:p>
      <w:pPr>
        <w:pStyle w:val="Normal"/>
        <w:tabs>
          <w:tab w:val="clear" w:pos="708"/>
          <w:tab w:val="left" w:pos="993" w:leader="none"/>
        </w:tabs>
        <w:spacing w:lineRule="auto" w:line="276"/>
        <w:ind w:firstLine="709"/>
        <w:rPr>
          <w:iCs/>
          <w:szCs w:val="24"/>
          <w:lang w:eastAsia="ru-RU"/>
        </w:rPr>
      </w:pPr>
      <w:r>
        <w:rPr>
          <w:iCs/>
          <w:szCs w:val="24"/>
          <w:lang w:eastAsia="ru-RU"/>
        </w:rPr>
        <w:t xml:space="preserve">«В качестве сигнальных цветов должны использоваться красный, желтый, синий и зеленый, для усиления зрительного восприятия которых должны применяться контрастные цвета – черный и белый в соответствии с таблицей </w:t>
      </w:r>
      <w:r>
        <w:rPr>
          <w:szCs w:val="24"/>
        </w:rPr>
        <w:t>5.9</w:t>
      </w:r>
      <w:r>
        <w:rPr>
          <w:iCs/>
          <w:szCs w:val="24"/>
          <w:lang w:eastAsia="ru-RU"/>
        </w:rPr>
        <w:t>».</w:t>
      </w:r>
    </w:p>
    <w:p>
      <w:pPr>
        <w:pStyle w:val="Normal"/>
        <w:tabs>
          <w:tab w:val="clear" w:pos="708"/>
          <w:tab w:val="left" w:pos="993" w:leader="none"/>
        </w:tabs>
        <w:spacing w:lineRule="auto" w:line="276"/>
        <w:ind w:firstLine="709"/>
        <w:jc w:val="right"/>
        <w:rPr>
          <w:rFonts w:eastAsia="Times New Roman"/>
          <w:szCs w:val="24"/>
        </w:rPr>
      </w:pPr>
      <w:r>
        <w:rPr>
          <w:rFonts w:eastAsia="Times New Roman"/>
          <w:szCs w:val="24"/>
        </w:rPr>
        <w:t xml:space="preserve">Таблица </w:t>
      </w:r>
      <w:r>
        <w:rPr>
          <w:szCs w:val="24"/>
        </w:rPr>
        <w:t>5.9</w:t>
      </w:r>
    </w:p>
    <w:p>
      <w:pPr>
        <w:pStyle w:val="Normal"/>
        <w:tabs>
          <w:tab w:val="clear" w:pos="708"/>
          <w:tab w:val="left" w:pos="993" w:leader="none"/>
        </w:tabs>
        <w:spacing w:lineRule="auto" w:line="276"/>
        <w:jc w:val="center"/>
        <w:rPr>
          <w:rFonts w:eastAsia="Times New Roman"/>
          <w:szCs w:val="24"/>
        </w:rPr>
      </w:pPr>
      <w:r>
        <w:rPr>
          <w:rFonts w:eastAsia="Times New Roman"/>
          <w:szCs w:val="24"/>
        </w:rPr>
        <w:t>Сигнальные цвета</w:t>
      </w:r>
    </w:p>
    <w:tbl>
      <w:tblPr>
        <w:tblW w:w="5000" w:type="pct"/>
        <w:jc w:val="left"/>
        <w:tblInd w:w="-40" w:type="dxa"/>
        <w:tblCellMar>
          <w:top w:w="75" w:type="dxa"/>
          <w:left w:w="40" w:type="dxa"/>
          <w:bottom w:w="75" w:type="dxa"/>
          <w:right w:w="40" w:type="dxa"/>
        </w:tblCellMar>
        <w:tblLook w:firstRow="1" w:noVBand="1" w:lastRow="0" w:firstColumn="1" w:lastColumn="0" w:noHBand="0" w:val="04a0"/>
      </w:tblPr>
      <w:tblGrid>
        <w:gridCol w:w="1437"/>
        <w:gridCol w:w="3020"/>
        <w:gridCol w:w="3594"/>
        <w:gridCol w:w="1869"/>
      </w:tblGrid>
      <w:tr>
        <w:trPr>
          <w:tblHeader w:val="true"/>
          <w:trHeight w:val="20" w:hRule="atLeast"/>
        </w:trPr>
        <w:tc>
          <w:tcPr>
            <w:tcW w:w="1437"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lang w:eastAsia="ru-RU"/>
              </w:rPr>
            </w:pPr>
            <w:r>
              <w:rPr>
                <w:b/>
                <w:sz w:val="20"/>
                <w:szCs w:val="20"/>
                <w:lang w:eastAsia="ru-RU"/>
              </w:rPr>
              <w:t>Сигнальный цвет</w:t>
            </w:r>
          </w:p>
        </w:tc>
        <w:tc>
          <w:tcPr>
            <w:tcW w:w="3020"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lang w:eastAsia="ru-RU"/>
              </w:rPr>
            </w:pPr>
            <w:r>
              <w:rPr>
                <w:b/>
                <w:sz w:val="20"/>
                <w:szCs w:val="20"/>
                <w:lang w:eastAsia="ru-RU"/>
              </w:rPr>
              <w:t>Смысловое значение сигнального цвета</w:t>
            </w:r>
          </w:p>
        </w:tc>
        <w:tc>
          <w:tcPr>
            <w:tcW w:w="3594"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lang w:eastAsia="ru-RU"/>
              </w:rPr>
            </w:pPr>
            <w:r>
              <w:rPr>
                <w:b/>
                <w:sz w:val="20"/>
                <w:szCs w:val="20"/>
                <w:lang w:eastAsia="ru-RU"/>
              </w:rPr>
              <w:t>Номер образца (эталона) цвета по картотеке образцов (эталонов) цвета лакокрасочных материалов</w:t>
            </w:r>
          </w:p>
        </w:tc>
        <w:tc>
          <w:tcPr>
            <w:tcW w:w="1869"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lang w:eastAsia="ru-RU"/>
              </w:rPr>
            </w:pPr>
            <w:r>
              <w:rPr>
                <w:b/>
                <w:sz w:val="20"/>
                <w:szCs w:val="20"/>
                <w:lang w:eastAsia="ru-RU"/>
              </w:rPr>
              <w:t>Контрастный цвет</w:t>
            </w:r>
          </w:p>
        </w:tc>
      </w:tr>
    </w:tbl>
    <w:p>
      <w:pPr>
        <w:pStyle w:val="Normal"/>
        <w:tabs>
          <w:tab w:val="clear" w:pos="708"/>
          <w:tab w:val="left" w:pos="993" w:leader="none"/>
        </w:tabs>
        <w:spacing w:lineRule="auto" w:line="240"/>
        <w:jc w:val="center"/>
        <w:rPr>
          <w:rFonts w:eastAsia="Times New Roman"/>
          <w:sz w:val="2"/>
          <w:szCs w:val="2"/>
        </w:rPr>
      </w:pPr>
      <w:r>
        <w:rPr>
          <w:rFonts w:eastAsia="Times New Roman"/>
          <w:sz w:val="2"/>
          <w:szCs w:val="2"/>
        </w:rPr>
      </w:r>
    </w:p>
    <w:tbl>
      <w:tblPr>
        <w:tblW w:w="10001" w:type="dxa"/>
        <w:jc w:val="left"/>
        <w:tblInd w:w="-40" w:type="dxa"/>
        <w:tblCellMar>
          <w:top w:w="0" w:type="dxa"/>
          <w:left w:w="40" w:type="dxa"/>
          <w:bottom w:w="0" w:type="dxa"/>
          <w:right w:w="40" w:type="dxa"/>
        </w:tblCellMar>
        <w:tblLook w:firstRow="1" w:noVBand="1" w:lastRow="0" w:firstColumn="1" w:lastColumn="0" w:noHBand="0" w:val="04a0"/>
      </w:tblPr>
      <w:tblGrid>
        <w:gridCol w:w="1449"/>
        <w:gridCol w:w="3044"/>
        <w:gridCol w:w="3623"/>
        <w:gridCol w:w="1884"/>
      </w:tblGrid>
      <w:tr>
        <w:trPr>
          <w:tblHeader w:val="true"/>
          <w:trHeight w:val="20" w:hRule="atLeast"/>
        </w:trPr>
        <w:tc>
          <w:tcPr>
            <w:tcW w:w="144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lang w:eastAsia="ru-RU"/>
              </w:rPr>
            </w:pPr>
            <w:r>
              <w:rPr>
                <w:b/>
                <w:sz w:val="20"/>
                <w:szCs w:val="20"/>
                <w:lang w:eastAsia="ru-RU"/>
              </w:rPr>
              <w:t>1</w:t>
            </w:r>
          </w:p>
        </w:tc>
        <w:tc>
          <w:tcPr>
            <w:tcW w:w="304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lang w:eastAsia="ru-RU"/>
              </w:rPr>
            </w:pPr>
            <w:r>
              <w:rPr>
                <w:b/>
                <w:sz w:val="20"/>
                <w:szCs w:val="20"/>
                <w:lang w:eastAsia="ru-RU"/>
              </w:rPr>
              <w:t>2</w:t>
            </w:r>
          </w:p>
        </w:tc>
        <w:tc>
          <w:tcPr>
            <w:tcW w:w="362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lang w:eastAsia="ru-RU"/>
              </w:rPr>
            </w:pPr>
            <w:r>
              <w:rPr>
                <w:b/>
                <w:sz w:val="20"/>
                <w:szCs w:val="20"/>
                <w:lang w:eastAsia="ru-RU"/>
              </w:rPr>
              <w:t>3</w:t>
            </w:r>
          </w:p>
        </w:tc>
        <w:tc>
          <w:tcPr>
            <w:tcW w:w="188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center"/>
              <w:rPr>
                <w:b/>
                <w:b/>
                <w:sz w:val="20"/>
                <w:szCs w:val="20"/>
                <w:lang w:eastAsia="ru-RU"/>
              </w:rPr>
            </w:pPr>
            <w:r>
              <w:rPr>
                <w:b/>
                <w:sz w:val="20"/>
                <w:szCs w:val="20"/>
                <w:lang w:eastAsia="ru-RU"/>
              </w:rPr>
              <w:t>4</w:t>
            </w:r>
          </w:p>
        </w:tc>
      </w:tr>
      <w:tr>
        <w:trPr>
          <w:trHeight w:val="20" w:hRule="atLeast"/>
        </w:trPr>
        <w:tc>
          <w:tcPr>
            <w:tcW w:w="144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lang w:eastAsia="ru-RU"/>
              </w:rPr>
            </w:pPr>
            <w:r>
              <w:rPr>
                <w:sz w:val="20"/>
                <w:szCs w:val="20"/>
                <w:lang w:eastAsia="ru-RU"/>
              </w:rPr>
              <w:t>Красный</w:t>
            </w:r>
          </w:p>
        </w:tc>
        <w:tc>
          <w:tcPr>
            <w:tcW w:w="304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lang w:eastAsia="ru-RU"/>
              </w:rPr>
            </w:pPr>
            <w:r>
              <w:rPr>
                <w:sz w:val="20"/>
                <w:szCs w:val="20"/>
                <w:lang w:eastAsia="ru-RU"/>
              </w:rPr>
              <w:t>Запрещение, непосредственная опасность, пожарная опасность</w:t>
            </w:r>
          </w:p>
        </w:tc>
        <w:tc>
          <w:tcPr>
            <w:tcW w:w="362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lang w:eastAsia="ru-RU"/>
              </w:rPr>
            </w:pPr>
            <w:r>
              <w:rPr>
                <w:sz w:val="20"/>
                <w:szCs w:val="20"/>
                <w:lang w:eastAsia="ru-RU"/>
              </w:rPr>
              <w:t>6, 7, 9, 10, 11, 19,</w:t>
            </w:r>
          </w:p>
          <w:p>
            <w:pPr>
              <w:pStyle w:val="Normal"/>
              <w:spacing w:lineRule="auto" w:line="240"/>
              <w:jc w:val="left"/>
              <w:rPr>
                <w:sz w:val="20"/>
                <w:szCs w:val="20"/>
                <w:lang w:eastAsia="ru-RU"/>
              </w:rPr>
            </w:pPr>
            <w:r>
              <w:rPr>
                <w:sz w:val="20"/>
                <w:szCs w:val="20"/>
                <w:lang w:eastAsia="ru-RU"/>
              </w:rPr>
              <w:t>37, 43, 62</w:t>
            </w:r>
          </w:p>
        </w:tc>
        <w:tc>
          <w:tcPr>
            <w:tcW w:w="188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lang w:eastAsia="ru-RU"/>
              </w:rPr>
            </w:pPr>
            <w:r>
              <w:rPr>
                <w:sz w:val="20"/>
                <w:szCs w:val="20"/>
                <w:lang w:eastAsia="ru-RU"/>
              </w:rPr>
              <w:t>Белый</w:t>
            </w:r>
          </w:p>
        </w:tc>
      </w:tr>
      <w:tr>
        <w:trPr>
          <w:trHeight w:val="20" w:hRule="atLeast"/>
        </w:trPr>
        <w:tc>
          <w:tcPr>
            <w:tcW w:w="144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lang w:eastAsia="ru-RU"/>
              </w:rPr>
            </w:pPr>
            <w:r>
              <w:rPr>
                <w:sz w:val="20"/>
                <w:szCs w:val="20"/>
                <w:lang w:eastAsia="ru-RU"/>
              </w:rPr>
              <w:t>Желтый</w:t>
            </w:r>
          </w:p>
        </w:tc>
        <w:tc>
          <w:tcPr>
            <w:tcW w:w="304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lang w:eastAsia="ru-RU"/>
              </w:rPr>
            </w:pPr>
            <w:r>
              <w:rPr>
                <w:sz w:val="20"/>
                <w:szCs w:val="20"/>
                <w:lang w:eastAsia="ru-RU"/>
              </w:rPr>
              <w:t>Предупреждение,</w:t>
            </w:r>
          </w:p>
          <w:p>
            <w:pPr>
              <w:pStyle w:val="Normal"/>
              <w:spacing w:lineRule="auto" w:line="240"/>
              <w:jc w:val="left"/>
              <w:rPr>
                <w:sz w:val="20"/>
                <w:szCs w:val="20"/>
                <w:lang w:eastAsia="ru-RU"/>
              </w:rPr>
            </w:pPr>
            <w:r>
              <w:rPr>
                <w:sz w:val="20"/>
                <w:szCs w:val="20"/>
                <w:lang w:eastAsia="ru-RU"/>
              </w:rPr>
              <w:t>возможная опасность</w:t>
            </w:r>
          </w:p>
        </w:tc>
        <w:tc>
          <w:tcPr>
            <w:tcW w:w="362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lang w:eastAsia="ru-RU"/>
              </w:rPr>
            </w:pPr>
            <w:r>
              <w:rPr>
                <w:sz w:val="20"/>
                <w:szCs w:val="20"/>
                <w:lang w:eastAsia="ru-RU"/>
              </w:rPr>
              <w:t>216, 218, 220, 221,</w:t>
            </w:r>
          </w:p>
          <w:p>
            <w:pPr>
              <w:pStyle w:val="Normal"/>
              <w:spacing w:lineRule="auto" w:line="240"/>
              <w:jc w:val="left"/>
              <w:rPr>
                <w:sz w:val="20"/>
                <w:szCs w:val="20"/>
                <w:lang w:eastAsia="ru-RU"/>
              </w:rPr>
            </w:pPr>
            <w:r>
              <w:rPr>
                <w:sz w:val="20"/>
                <w:szCs w:val="20"/>
                <w:lang w:eastAsia="ru-RU"/>
              </w:rPr>
              <w:t>254, 255, 285, 286, 287</w:t>
            </w:r>
          </w:p>
        </w:tc>
        <w:tc>
          <w:tcPr>
            <w:tcW w:w="188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lang w:eastAsia="ru-RU"/>
              </w:rPr>
            </w:pPr>
            <w:r>
              <w:rPr>
                <w:sz w:val="20"/>
                <w:szCs w:val="20"/>
                <w:lang w:eastAsia="ru-RU"/>
              </w:rPr>
              <w:t>Черный</w:t>
            </w:r>
          </w:p>
        </w:tc>
      </w:tr>
      <w:tr>
        <w:trPr>
          <w:trHeight w:val="20" w:hRule="atLeast"/>
        </w:trPr>
        <w:tc>
          <w:tcPr>
            <w:tcW w:w="144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lang w:eastAsia="ru-RU"/>
              </w:rPr>
            </w:pPr>
            <w:r>
              <w:rPr>
                <w:sz w:val="20"/>
                <w:szCs w:val="20"/>
                <w:lang w:eastAsia="ru-RU"/>
              </w:rPr>
              <w:t>Синий</w:t>
            </w:r>
          </w:p>
        </w:tc>
        <w:tc>
          <w:tcPr>
            <w:tcW w:w="304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lang w:eastAsia="ru-RU"/>
              </w:rPr>
            </w:pPr>
            <w:r>
              <w:rPr>
                <w:sz w:val="20"/>
                <w:szCs w:val="20"/>
                <w:lang w:eastAsia="ru-RU"/>
              </w:rPr>
              <w:t>Предписание</w:t>
            </w:r>
          </w:p>
        </w:tc>
        <w:tc>
          <w:tcPr>
            <w:tcW w:w="362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lang w:eastAsia="ru-RU"/>
              </w:rPr>
            </w:pPr>
            <w:r>
              <w:rPr>
                <w:sz w:val="20"/>
                <w:szCs w:val="20"/>
                <w:lang w:eastAsia="ru-RU"/>
              </w:rPr>
              <w:t>408, 409, 423, 424,</w:t>
            </w:r>
          </w:p>
          <w:p>
            <w:pPr>
              <w:pStyle w:val="Normal"/>
              <w:spacing w:lineRule="auto" w:line="240"/>
              <w:jc w:val="left"/>
              <w:rPr>
                <w:sz w:val="20"/>
                <w:szCs w:val="20"/>
                <w:lang w:eastAsia="ru-RU"/>
              </w:rPr>
            </w:pPr>
            <w:r>
              <w:rPr>
                <w:sz w:val="20"/>
                <w:szCs w:val="20"/>
                <w:lang w:eastAsia="ru-RU"/>
              </w:rPr>
              <w:t>449, 450, 474, 485, 486</w:t>
            </w:r>
          </w:p>
        </w:tc>
        <w:tc>
          <w:tcPr>
            <w:tcW w:w="188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lang w:eastAsia="ru-RU"/>
              </w:rPr>
            </w:pPr>
            <w:r>
              <w:rPr>
                <w:sz w:val="20"/>
                <w:szCs w:val="20"/>
                <w:lang w:eastAsia="ru-RU"/>
              </w:rPr>
              <w:t>Белый</w:t>
            </w:r>
          </w:p>
        </w:tc>
      </w:tr>
      <w:tr>
        <w:trPr>
          <w:trHeight w:val="20" w:hRule="atLeast"/>
        </w:trPr>
        <w:tc>
          <w:tcPr>
            <w:tcW w:w="1449"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lang w:eastAsia="ru-RU"/>
              </w:rPr>
            </w:pPr>
            <w:r>
              <w:rPr>
                <w:sz w:val="20"/>
                <w:szCs w:val="20"/>
                <w:lang w:eastAsia="ru-RU"/>
              </w:rPr>
              <w:t>Зеленый</w:t>
            </w:r>
          </w:p>
        </w:tc>
        <w:tc>
          <w:tcPr>
            <w:tcW w:w="304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lang w:eastAsia="ru-RU"/>
              </w:rPr>
            </w:pPr>
            <w:r>
              <w:rPr>
                <w:sz w:val="20"/>
                <w:szCs w:val="20"/>
                <w:lang w:eastAsia="ru-RU"/>
              </w:rPr>
              <w:t>Безопасность</w:t>
            </w:r>
          </w:p>
          <w:p>
            <w:pPr>
              <w:pStyle w:val="Normal"/>
              <w:spacing w:lineRule="auto" w:line="240"/>
              <w:jc w:val="left"/>
              <w:rPr>
                <w:sz w:val="20"/>
                <w:szCs w:val="20"/>
                <w:lang w:eastAsia="ru-RU"/>
              </w:rPr>
            </w:pPr>
            <w:r>
              <w:rPr>
                <w:sz w:val="20"/>
                <w:szCs w:val="20"/>
                <w:lang w:eastAsia="ru-RU"/>
              </w:rPr>
              <w:t>обозначение путей эвакуации и эвакуационных (запасных)выходов</w:t>
            </w:r>
          </w:p>
        </w:tc>
        <w:tc>
          <w:tcPr>
            <w:tcW w:w="3623"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lang w:eastAsia="ru-RU"/>
              </w:rPr>
            </w:pPr>
            <w:r>
              <w:rPr>
                <w:sz w:val="20"/>
                <w:szCs w:val="20"/>
                <w:lang w:eastAsia="ru-RU"/>
              </w:rPr>
              <w:t>324, 325, 329, 385</w:t>
            </w:r>
          </w:p>
        </w:tc>
        <w:tc>
          <w:tcPr>
            <w:tcW w:w="1884"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lang w:eastAsia="ru-RU"/>
              </w:rPr>
            </w:pPr>
            <w:r>
              <w:rPr>
                <w:sz w:val="20"/>
                <w:szCs w:val="20"/>
                <w:lang w:eastAsia="ru-RU"/>
              </w:rPr>
              <w:t>Белый фосфоресцирующий</w:t>
            </w:r>
          </w:p>
        </w:tc>
      </w:tr>
    </w:tbl>
    <w:p>
      <w:pPr>
        <w:pStyle w:val="Normal"/>
        <w:spacing w:lineRule="auto" w:line="276" w:before="120" w:after="200"/>
        <w:ind w:firstLine="709"/>
        <w:rPr>
          <w:szCs w:val="24"/>
        </w:rPr>
      </w:pPr>
      <w:r>
        <w:rPr>
          <w:szCs w:val="24"/>
        </w:rPr>
        <w:t>В соответствии с Федеральным законом от 22.07.2008 № 123-ФЗ «Технический регламент о требованиях пожарной безопасности» планировка и застройка территорий поселений должны осуществляться в соответствии с генеральными планами поселений, учитывающими требования пожарной безопасности, установленные настоящим Федеральным законом. Пожарная безопасность сельских поселений обеспечивается в рамках реализации мер пожарной безопасности соответствующими органами государственной власти, органами местного самоуправления.</w:t>
      </w:r>
    </w:p>
    <w:p>
      <w:pPr>
        <w:pStyle w:val="Normal"/>
        <w:widowControl w:val="false"/>
        <w:spacing w:lineRule="auto" w:line="276"/>
        <w:ind w:firstLine="709"/>
        <w:rPr>
          <w:rFonts w:eastAsia="Times New Roman"/>
          <w:szCs w:val="24"/>
        </w:rPr>
      </w:pPr>
      <w:r>
        <w:rPr>
          <w:rFonts w:eastAsia="Times New Roman"/>
          <w:szCs w:val="24"/>
        </w:rPr>
        <w:t xml:space="preserve">Перечень пожарных депо приведен в таблице </w:t>
      </w:r>
      <w:r>
        <w:rPr>
          <w:szCs w:val="24"/>
        </w:rPr>
        <w:t>5.10.</w:t>
      </w:r>
    </w:p>
    <w:p>
      <w:pPr>
        <w:pStyle w:val="Normal"/>
        <w:widowControl w:val="false"/>
        <w:spacing w:lineRule="auto" w:line="276"/>
        <w:jc w:val="right"/>
        <w:rPr>
          <w:rFonts w:eastAsia="Times New Roman"/>
          <w:szCs w:val="24"/>
        </w:rPr>
      </w:pPr>
      <w:r>
        <w:rPr>
          <w:rFonts w:eastAsia="Times New Roman"/>
          <w:szCs w:val="24"/>
        </w:rPr>
        <w:t xml:space="preserve">Таблица </w:t>
      </w:r>
      <w:r>
        <w:rPr>
          <w:szCs w:val="24"/>
        </w:rPr>
        <w:t>5.10</w:t>
      </w:r>
    </w:p>
    <w:p>
      <w:pPr>
        <w:pStyle w:val="Normal"/>
        <w:widowControl w:val="false"/>
        <w:spacing w:lineRule="auto" w:line="276"/>
        <w:jc w:val="center"/>
        <w:rPr>
          <w:rFonts w:eastAsia="Times New Roman"/>
          <w:szCs w:val="24"/>
        </w:rPr>
      </w:pPr>
      <w:r>
        <w:rPr>
          <w:rFonts w:eastAsia="Times New Roman"/>
          <w:szCs w:val="24"/>
        </w:rPr>
        <w:t>Перечень пожарных депо</w:t>
      </w:r>
    </w:p>
    <w:p>
      <w:pPr>
        <w:pStyle w:val="ListParagraph"/>
        <w:numPr>
          <w:ilvl w:val="0"/>
          <w:numId w:val="66"/>
        </w:numPr>
        <w:spacing w:lineRule="auto" w:line="12" w:before="0" w:after="0"/>
        <w:contextualSpacing/>
        <w:jc w:val="center"/>
        <w:rPr>
          <w:rFonts w:ascii="Times New Roman" w:hAnsi="Times New Roman"/>
          <w:sz w:val="20"/>
          <w:szCs w:val="20"/>
        </w:rPr>
      </w:pPr>
      <w:r>
        <w:rPr>
          <w:sz w:val="20"/>
          <w:szCs w:val="20"/>
        </w:rPr>
      </w:r>
    </w:p>
    <w:tbl>
      <w:tblPr>
        <w:tblW w:w="5000" w:type="pct"/>
        <w:jc w:val="left"/>
        <w:tblInd w:w="-57" w:type="dxa"/>
        <w:tblCellMar>
          <w:top w:w="0" w:type="dxa"/>
          <w:left w:w="57" w:type="dxa"/>
          <w:bottom w:w="0" w:type="dxa"/>
          <w:right w:w="57" w:type="dxa"/>
        </w:tblCellMar>
        <w:tblLook w:firstRow="1" w:noVBand="1" w:lastRow="0" w:firstColumn="1" w:lastColumn="0" w:noHBand="0" w:val="04a0"/>
      </w:tblPr>
      <w:tblGrid>
        <w:gridCol w:w="420"/>
        <w:gridCol w:w="1136"/>
        <w:gridCol w:w="1561"/>
        <w:gridCol w:w="2553"/>
        <w:gridCol w:w="2093"/>
        <w:gridCol w:w="2157"/>
      </w:tblGrid>
      <w:tr>
        <w:trPr>
          <w:trHeight w:val="340" w:hRule="atLeast"/>
        </w:trPr>
        <w:tc>
          <w:tcPr>
            <w:tcW w:w="420"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w:t>
            </w:r>
          </w:p>
        </w:tc>
        <w:tc>
          <w:tcPr>
            <w:tcW w:w="1136"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sz w:val="20"/>
                <w:szCs w:val="20"/>
              </w:rPr>
              <w:t xml:space="preserve">№ </w:t>
            </w:r>
            <w:r>
              <w:rPr>
                <w:b/>
                <w:sz w:val="20"/>
                <w:szCs w:val="20"/>
              </w:rPr>
              <w:t>на карте</w:t>
            </w:r>
          </w:p>
        </w:tc>
        <w:tc>
          <w:tcPr>
            <w:tcW w:w="1561"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Наименование</w:t>
            </w:r>
          </w:p>
        </w:tc>
        <w:tc>
          <w:tcPr>
            <w:tcW w:w="2553"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Местонахождение</w:t>
            </w:r>
          </w:p>
        </w:tc>
        <w:tc>
          <w:tcPr>
            <w:tcW w:w="2093" w:type="dxa"/>
            <w:tcBorders>
              <w:top w:val="single" w:sz="4" w:space="0" w:color="000000"/>
              <w:left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 xml:space="preserve">Численность личного состава, </w:t>
              <w:br/>
              <w:t>количество машин и состав спецтехники</w:t>
            </w:r>
          </w:p>
        </w:tc>
        <w:tc>
          <w:tcPr>
            <w:tcW w:w="2157" w:type="dxa"/>
            <w:tcBorders>
              <w:top w:val="single" w:sz="4" w:space="0" w:color="000000"/>
              <w:left w:val="single" w:sz="4" w:space="0" w:color="000000"/>
              <w:right w:val="single" w:sz="4" w:space="0" w:color="000000"/>
            </w:tcBorders>
            <w:vAlign w:val="center"/>
          </w:tcPr>
          <w:p>
            <w:pPr>
              <w:pStyle w:val="Normal"/>
              <w:spacing w:lineRule="auto" w:line="240"/>
              <w:jc w:val="center"/>
              <w:rPr>
                <w:b/>
                <w:b/>
                <w:sz w:val="20"/>
                <w:szCs w:val="20"/>
              </w:rPr>
            </w:pPr>
            <w:r>
              <w:rPr>
                <w:b/>
                <w:sz w:val="20"/>
                <w:szCs w:val="20"/>
              </w:rPr>
              <w:t>Время прибытия к месту</w:t>
            </w:r>
          </w:p>
        </w:tc>
      </w:tr>
    </w:tbl>
    <w:p>
      <w:pPr>
        <w:pStyle w:val="Normal"/>
        <w:widowControl w:val="false"/>
        <w:spacing w:lineRule="auto" w:line="12"/>
        <w:jc w:val="center"/>
        <w:rPr>
          <w:rFonts w:eastAsia="Times New Roman"/>
          <w:sz w:val="20"/>
          <w:szCs w:val="20"/>
        </w:rPr>
      </w:pPr>
      <w:r>
        <w:rPr>
          <w:rFonts w:eastAsia="Times New Roman"/>
          <w:sz w:val="20"/>
          <w:szCs w:val="20"/>
        </w:rPr>
      </w:r>
    </w:p>
    <w:tbl>
      <w:tblPr>
        <w:tblW w:w="5000" w:type="pct"/>
        <w:jc w:val="left"/>
        <w:tblInd w:w="-57" w:type="dxa"/>
        <w:tblCellMar>
          <w:top w:w="0" w:type="dxa"/>
          <w:left w:w="57" w:type="dxa"/>
          <w:bottom w:w="0" w:type="dxa"/>
          <w:right w:w="57" w:type="dxa"/>
        </w:tblCellMar>
        <w:tblLook w:firstRow="1" w:noVBand="1" w:lastRow="0" w:firstColumn="1" w:lastColumn="0" w:noHBand="0" w:val="04a0"/>
      </w:tblPr>
      <w:tblGrid>
        <w:gridCol w:w="420"/>
        <w:gridCol w:w="1135"/>
        <w:gridCol w:w="1562"/>
        <w:gridCol w:w="2553"/>
        <w:gridCol w:w="2094"/>
        <w:gridCol w:w="2156"/>
      </w:tblGrid>
      <w:tr>
        <w:trPr>
          <w:tblHeader w:val="true"/>
          <w:trHeight w:val="169" w:hRule="atLeast"/>
        </w:trPr>
        <w:tc>
          <w:tcPr>
            <w:tcW w:w="4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1</w:t>
            </w:r>
          </w:p>
        </w:tc>
        <w:tc>
          <w:tcPr>
            <w:tcW w:w="1135"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2</w:t>
            </w:r>
          </w:p>
        </w:tc>
        <w:tc>
          <w:tcPr>
            <w:tcW w:w="15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3</w:t>
            </w:r>
          </w:p>
        </w:tc>
        <w:tc>
          <w:tcPr>
            <w:tcW w:w="255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4</w:t>
            </w:r>
          </w:p>
        </w:tc>
        <w:tc>
          <w:tcPr>
            <w:tcW w:w="209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lineRule="auto" w:line="240"/>
              <w:jc w:val="center"/>
              <w:rPr>
                <w:b/>
                <w:b/>
                <w:sz w:val="20"/>
                <w:szCs w:val="20"/>
              </w:rPr>
            </w:pPr>
            <w:r>
              <w:rPr>
                <w:b/>
                <w:sz w:val="20"/>
                <w:szCs w:val="20"/>
              </w:rPr>
              <w:t>5</w:t>
            </w:r>
          </w:p>
        </w:tc>
        <w:tc>
          <w:tcPr>
            <w:tcW w:w="2156"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jc w:val="center"/>
              <w:rPr>
                <w:b/>
                <w:b/>
                <w:sz w:val="20"/>
                <w:szCs w:val="20"/>
              </w:rPr>
            </w:pPr>
            <w:r>
              <w:rPr>
                <w:b/>
                <w:sz w:val="20"/>
                <w:szCs w:val="20"/>
              </w:rPr>
              <w:t>6</w:t>
            </w:r>
          </w:p>
        </w:tc>
      </w:tr>
      <w:tr>
        <w:trPr>
          <w:trHeight w:val="340" w:hRule="atLeast"/>
        </w:trPr>
        <w:tc>
          <w:tcPr>
            <w:tcW w:w="420"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center"/>
              <w:rPr>
                <w:sz w:val="20"/>
                <w:szCs w:val="20"/>
              </w:rPr>
            </w:pPr>
            <w:r>
              <w:rPr>
                <w:sz w:val="20"/>
                <w:szCs w:val="20"/>
              </w:rPr>
              <w:t>1</w:t>
            </w:r>
          </w:p>
        </w:tc>
        <w:tc>
          <w:tcPr>
            <w:tcW w:w="113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ЧС.2.1</w:t>
            </w:r>
          </w:p>
        </w:tc>
        <w:tc>
          <w:tcPr>
            <w:tcW w:w="1562"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Пожарное депо</w:t>
            </w:r>
          </w:p>
        </w:tc>
        <w:tc>
          <w:tcPr>
            <w:tcW w:w="255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с. Катенино</w:t>
            </w:r>
          </w:p>
        </w:tc>
        <w:tc>
          <w:tcPr>
            <w:tcW w:w="209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lineRule="auto" w:line="240"/>
              <w:jc w:val="left"/>
              <w:rPr>
                <w:sz w:val="20"/>
                <w:szCs w:val="20"/>
              </w:rPr>
            </w:pPr>
            <w:r>
              <w:rPr>
                <w:sz w:val="20"/>
                <w:szCs w:val="20"/>
              </w:rPr>
              <w:t>1 спецмашина</w:t>
            </w:r>
          </w:p>
        </w:tc>
        <w:tc>
          <w:tcPr>
            <w:tcW w:w="2156" w:type="dxa"/>
            <w:tcBorders>
              <w:top w:val="single" w:sz="4" w:space="0" w:color="000000"/>
              <w:left w:val="single" w:sz="4" w:space="0" w:color="000000"/>
              <w:bottom w:val="single" w:sz="4" w:space="0" w:color="000000"/>
              <w:right w:val="single" w:sz="4" w:space="0" w:color="000000"/>
            </w:tcBorders>
          </w:tcPr>
          <w:p>
            <w:pPr>
              <w:pStyle w:val="Normal"/>
              <w:spacing w:lineRule="auto" w:line="240"/>
              <w:jc w:val="left"/>
              <w:rPr>
                <w:sz w:val="20"/>
                <w:szCs w:val="20"/>
              </w:rPr>
            </w:pPr>
            <w:r>
              <w:rPr>
                <w:sz w:val="20"/>
                <w:szCs w:val="20"/>
              </w:rPr>
              <w:t>Расположено в 25 км от 58 ПСЧ ФГКУ «9 ОФПС по Челябинской области»</w:t>
            </w:r>
          </w:p>
        </w:tc>
      </w:tr>
    </w:tbl>
    <w:p>
      <w:pPr>
        <w:pStyle w:val="Normal"/>
        <w:widowControl w:val="false"/>
        <w:spacing w:lineRule="auto" w:line="276" w:before="120" w:after="200"/>
        <w:ind w:firstLine="709"/>
        <w:rPr>
          <w:szCs w:val="24"/>
        </w:rPr>
      </w:pPr>
      <w:r>
        <w:rPr>
          <w:szCs w:val="24"/>
        </w:rPr>
        <w:t>Расположение пожарного депо удовлетворяет требованиям статьи 76 Федерального закона № 123-ФЗ об обеспечении нормативного прибытия первого подразделения к месту вызова в городских поселениях и городских округах — не более 10 минут, в сельских поселениях — не более 20 минут.</w:t>
      </w:r>
    </w:p>
    <w:p>
      <w:pPr>
        <w:pStyle w:val="Normal"/>
        <w:spacing w:lineRule="auto" w:line="276" w:before="120" w:after="200"/>
        <w:ind w:firstLine="709"/>
        <w:rPr>
          <w:rFonts w:eastAsia="Times New Roman"/>
          <w:szCs w:val="24"/>
          <w:lang w:eastAsia="ru-RU"/>
        </w:rPr>
      </w:pPr>
      <w:r>
        <w:rPr>
          <w:rFonts w:eastAsia="Times New Roman"/>
          <w:szCs w:val="24"/>
          <w:lang w:eastAsia="ru-RU"/>
        </w:rPr>
        <w:t>Для улучшения ситуации с доступностью потенциальных объектов возгорания для пожарных машин генеральным планом предусматривается ряд мероприятий по развитию транспортной сети.</w:t>
      </w:r>
    </w:p>
    <w:p>
      <w:pPr>
        <w:pStyle w:val="Normal"/>
        <w:widowControl w:val="false"/>
        <w:spacing w:lineRule="auto" w:line="276"/>
        <w:ind w:firstLine="709"/>
        <w:rPr>
          <w:szCs w:val="24"/>
        </w:rPr>
      </w:pPr>
      <w:r>
        <w:rPr>
          <w:szCs w:val="24"/>
        </w:rPr>
        <w:t>При проектировании внутриквартальной транспортной сети следует руководствоваться требованиями статьи 67 Федерального закона от 22.07.2008 № 123-ФЗ «Технический регламент о требованиях пожарной безопасности».</w:t>
      </w:r>
    </w:p>
    <w:p>
      <w:pPr>
        <w:pStyle w:val="Normal"/>
        <w:numPr>
          <w:ilvl w:val="0"/>
          <w:numId w:val="67"/>
        </w:numPr>
        <w:tabs>
          <w:tab w:val="clear" w:pos="708"/>
          <w:tab w:val="left" w:pos="0" w:leader="none"/>
        </w:tabs>
        <w:spacing w:lineRule="auto" w:line="276" w:before="0" w:after="200"/>
        <w:ind w:left="0" w:firstLine="425"/>
        <w:contextualSpacing/>
        <w:rPr>
          <w:szCs w:val="24"/>
        </w:rPr>
      </w:pPr>
      <w:r>
        <w:rPr>
          <w:szCs w:val="24"/>
        </w:rPr>
        <w:t>«Подъезд пожарных автомобилей должен быть обеспечен:</w:t>
      </w:r>
    </w:p>
    <w:p>
      <w:pPr>
        <w:pStyle w:val="Normal"/>
        <w:numPr>
          <w:ilvl w:val="0"/>
          <w:numId w:val="68"/>
        </w:numPr>
        <w:tabs>
          <w:tab w:val="clear" w:pos="708"/>
          <w:tab w:val="left" w:pos="0" w:leader="none"/>
          <w:tab w:val="left" w:pos="851" w:leader="none"/>
        </w:tabs>
        <w:spacing w:lineRule="auto" w:line="276" w:before="0" w:after="200"/>
        <w:ind w:left="0" w:firstLine="567"/>
        <w:contextualSpacing/>
        <w:rPr>
          <w:szCs w:val="24"/>
        </w:rPr>
      </w:pPr>
      <w:r>
        <w:rPr>
          <w:szCs w:val="24"/>
        </w:rPr>
        <w:t>с двух продольных сторон — к зданиям многоквартирных жилых домов высотой 28 и более метров (9 и более этажей), к иным зданиям для постоянного проживания и временного пребывания людей, зданиям зрелищных и культурно-просветительных учреждений, организаций по обслуживанию населения, общеобразовательных учреждений, лечебных учреждений стационарного типа, научных и проектных организаций, органов управления учреждений высотой 18 и более метров (6 и более этажей);</w:t>
      </w:r>
    </w:p>
    <w:p>
      <w:pPr>
        <w:pStyle w:val="Normal"/>
        <w:numPr>
          <w:ilvl w:val="0"/>
          <w:numId w:val="68"/>
        </w:numPr>
        <w:tabs>
          <w:tab w:val="clear" w:pos="708"/>
          <w:tab w:val="left" w:pos="0" w:leader="none"/>
          <w:tab w:val="left" w:pos="851" w:leader="none"/>
        </w:tabs>
        <w:spacing w:lineRule="auto" w:line="276" w:before="0" w:after="200"/>
        <w:ind w:left="0" w:firstLine="567"/>
        <w:contextualSpacing/>
        <w:rPr>
          <w:szCs w:val="24"/>
        </w:rPr>
      </w:pPr>
      <w:r>
        <w:rPr>
          <w:szCs w:val="24"/>
        </w:rPr>
        <w:t>со всех сторон — к односекционным зданиям многоквартирных жилых домов, общеобразовательных учреждений, детских дошкольных образовательных учреждений, лечебных учреждений со стационаром, научных и проектных организаций, органов управления учреждений;</w:t>
      </w:r>
    </w:p>
    <w:p>
      <w:pPr>
        <w:pStyle w:val="Normal"/>
        <w:numPr>
          <w:ilvl w:val="0"/>
          <w:numId w:val="67"/>
        </w:numPr>
        <w:tabs>
          <w:tab w:val="clear" w:pos="708"/>
          <w:tab w:val="left" w:pos="0" w:leader="none"/>
        </w:tabs>
        <w:spacing w:lineRule="auto" w:line="276" w:before="0" w:after="200"/>
        <w:ind w:left="0" w:firstLine="425"/>
        <w:contextualSpacing/>
        <w:rPr>
          <w:szCs w:val="24"/>
        </w:rPr>
      </w:pPr>
      <w:r>
        <w:rPr>
          <w:szCs w:val="24"/>
        </w:rPr>
        <w:t>К зданиям, сооружениям и строениям производственных объектов по всей их длине должен быть обеспечен подъезд пожарных автомобилей:</w:t>
      </w:r>
    </w:p>
    <w:p>
      <w:pPr>
        <w:pStyle w:val="Normal"/>
        <w:numPr>
          <w:ilvl w:val="0"/>
          <w:numId w:val="69"/>
        </w:numPr>
        <w:tabs>
          <w:tab w:val="clear" w:pos="708"/>
          <w:tab w:val="left" w:pos="0" w:leader="none"/>
          <w:tab w:val="left" w:pos="851" w:leader="none"/>
        </w:tabs>
        <w:spacing w:lineRule="auto" w:line="276" w:before="0" w:after="200"/>
        <w:ind w:left="0" w:firstLine="567"/>
        <w:contextualSpacing/>
        <w:rPr>
          <w:szCs w:val="24"/>
        </w:rPr>
      </w:pPr>
      <w:r>
        <w:rPr>
          <w:szCs w:val="24"/>
        </w:rPr>
        <w:t>с одной стороны — при ширине здания, сооружения или строения не более 18 метров;</w:t>
      </w:r>
    </w:p>
    <w:p>
      <w:pPr>
        <w:pStyle w:val="Normal"/>
        <w:numPr>
          <w:ilvl w:val="0"/>
          <w:numId w:val="69"/>
        </w:numPr>
        <w:tabs>
          <w:tab w:val="clear" w:pos="708"/>
          <w:tab w:val="left" w:pos="0" w:leader="none"/>
          <w:tab w:val="left" w:pos="851" w:leader="none"/>
        </w:tabs>
        <w:spacing w:lineRule="auto" w:line="276" w:before="0" w:after="200"/>
        <w:ind w:left="0" w:firstLine="567"/>
        <w:contextualSpacing/>
        <w:rPr>
          <w:szCs w:val="24"/>
        </w:rPr>
      </w:pPr>
      <w:r>
        <w:rPr>
          <w:szCs w:val="24"/>
        </w:rPr>
        <w:t>с двух сторон — при ширине здания, сооружения или строения более 18 метров, а также при устройстве замкнутых и полузамкнутых дворов;</w:t>
      </w:r>
    </w:p>
    <w:p>
      <w:pPr>
        <w:pStyle w:val="Normal"/>
        <w:numPr>
          <w:ilvl w:val="0"/>
          <w:numId w:val="67"/>
        </w:numPr>
        <w:tabs>
          <w:tab w:val="clear" w:pos="708"/>
          <w:tab w:val="left" w:pos="0" w:leader="none"/>
        </w:tabs>
        <w:spacing w:lineRule="auto" w:line="276" w:before="0" w:after="200"/>
        <w:ind w:left="0" w:firstLine="425"/>
        <w:contextualSpacing/>
        <w:rPr>
          <w:szCs w:val="24"/>
        </w:rPr>
      </w:pPr>
      <w:r>
        <w:rPr>
          <w:szCs w:val="24"/>
        </w:rPr>
        <w:t>Допускается предусматривать подъезд пожарных автомобилей только с одной стороны к зданиям, сооружениям и строениям в случаях:</w:t>
      </w:r>
    </w:p>
    <w:p>
      <w:pPr>
        <w:pStyle w:val="Normal"/>
        <w:numPr>
          <w:ilvl w:val="0"/>
          <w:numId w:val="70"/>
        </w:numPr>
        <w:tabs>
          <w:tab w:val="clear" w:pos="708"/>
          <w:tab w:val="left" w:pos="0" w:leader="none"/>
          <w:tab w:val="left" w:pos="851" w:leader="none"/>
        </w:tabs>
        <w:spacing w:lineRule="auto" w:line="276" w:before="0" w:after="200"/>
        <w:ind w:left="0" w:firstLine="567"/>
        <w:contextualSpacing/>
        <w:rPr>
          <w:szCs w:val="24"/>
        </w:rPr>
      </w:pPr>
      <w:r>
        <w:rPr>
          <w:szCs w:val="24"/>
        </w:rPr>
        <w:t>меньшей этажности, чем указано в пункте 1 части 1 настоящей статьи;</w:t>
      </w:r>
    </w:p>
    <w:p>
      <w:pPr>
        <w:pStyle w:val="Normal"/>
        <w:numPr>
          <w:ilvl w:val="0"/>
          <w:numId w:val="70"/>
        </w:numPr>
        <w:tabs>
          <w:tab w:val="clear" w:pos="708"/>
          <w:tab w:val="left" w:pos="0" w:leader="none"/>
          <w:tab w:val="left" w:pos="851" w:leader="none"/>
        </w:tabs>
        <w:spacing w:lineRule="auto" w:line="276" w:before="0" w:after="200"/>
        <w:ind w:left="0" w:firstLine="567"/>
        <w:contextualSpacing/>
        <w:rPr>
          <w:szCs w:val="24"/>
        </w:rPr>
      </w:pPr>
      <w:r>
        <w:rPr>
          <w:szCs w:val="24"/>
        </w:rPr>
        <w:t>двусторонней ориентации квартир или помещений;</w:t>
      </w:r>
    </w:p>
    <w:p>
      <w:pPr>
        <w:pStyle w:val="Normal"/>
        <w:numPr>
          <w:ilvl w:val="0"/>
          <w:numId w:val="70"/>
        </w:numPr>
        <w:tabs>
          <w:tab w:val="clear" w:pos="708"/>
          <w:tab w:val="left" w:pos="0" w:leader="none"/>
          <w:tab w:val="left" w:pos="851" w:leader="none"/>
        </w:tabs>
        <w:spacing w:lineRule="auto" w:line="276" w:before="0" w:after="200"/>
        <w:ind w:left="0" w:firstLine="567"/>
        <w:contextualSpacing/>
        <w:rPr>
          <w:szCs w:val="24"/>
        </w:rPr>
      </w:pPr>
      <w:r>
        <w:rPr>
          <w:szCs w:val="24"/>
        </w:rPr>
        <w:t>устройства наружных открытых лестниц, связывающих лоджии и балконы смежных этажей между собой, или лестниц 3-го типа при коридорной планировке зданий;</w:t>
      </w:r>
    </w:p>
    <w:p>
      <w:pPr>
        <w:pStyle w:val="Normal"/>
        <w:numPr>
          <w:ilvl w:val="0"/>
          <w:numId w:val="67"/>
        </w:numPr>
        <w:tabs>
          <w:tab w:val="clear" w:pos="708"/>
          <w:tab w:val="left" w:pos="0" w:leader="none"/>
        </w:tabs>
        <w:spacing w:lineRule="auto" w:line="276" w:before="0" w:after="200"/>
        <w:ind w:left="0" w:firstLine="425"/>
        <w:contextualSpacing/>
        <w:rPr>
          <w:szCs w:val="24"/>
        </w:rPr>
      </w:pPr>
      <w:r>
        <w:rPr>
          <w:szCs w:val="24"/>
        </w:rPr>
        <w:t>К зданиям с площадью застройки более 10 000 квадратных метров или шириной более 100 метров подъезд пожарных автомобилей должен быть обеспечен со всех сторон;</w:t>
      </w:r>
    </w:p>
    <w:p>
      <w:pPr>
        <w:pStyle w:val="Normal"/>
        <w:numPr>
          <w:ilvl w:val="0"/>
          <w:numId w:val="67"/>
        </w:numPr>
        <w:tabs>
          <w:tab w:val="clear" w:pos="708"/>
          <w:tab w:val="left" w:pos="0" w:leader="none"/>
        </w:tabs>
        <w:spacing w:lineRule="auto" w:line="276" w:before="0" w:after="200"/>
        <w:ind w:left="0" w:firstLine="425"/>
        <w:contextualSpacing/>
        <w:rPr>
          <w:szCs w:val="24"/>
        </w:rPr>
      </w:pPr>
      <w:r>
        <w:rPr>
          <w:szCs w:val="24"/>
        </w:rPr>
        <w:t>Допускается увеличивать расстояние от края проезжей части автомобильной дороги до ближней стены производственных зданий, сооружений и строений до 60 метров при условии устройства тупиковых дорог к этим зданиям, сооружениям и строениям с площадками для разворота пожарной техники и устройством на этих площадках пожарных гидрантов. При этом расстояние от производственных зданий, сооружений и строений до площадок для разворота пожарной техники должно быть не менее 5, но не более 15 метров, а расстояние между тупиковыми дорогами должно быть не более 100 метров;</w:t>
      </w:r>
    </w:p>
    <w:p>
      <w:pPr>
        <w:pStyle w:val="Normal"/>
        <w:numPr>
          <w:ilvl w:val="0"/>
          <w:numId w:val="67"/>
        </w:numPr>
        <w:tabs>
          <w:tab w:val="clear" w:pos="708"/>
          <w:tab w:val="left" w:pos="0" w:leader="none"/>
        </w:tabs>
        <w:spacing w:lineRule="auto" w:line="276" w:before="0" w:after="200"/>
        <w:ind w:left="0" w:firstLine="425"/>
        <w:contextualSpacing/>
        <w:rPr>
          <w:szCs w:val="24"/>
        </w:rPr>
      </w:pPr>
      <w:r>
        <w:rPr>
          <w:szCs w:val="24"/>
        </w:rPr>
        <w:t>Ширина проездов для пожарной техники должна составлять не менее 6 метров;</w:t>
      </w:r>
    </w:p>
    <w:p>
      <w:pPr>
        <w:pStyle w:val="Normal"/>
        <w:numPr>
          <w:ilvl w:val="0"/>
          <w:numId w:val="67"/>
        </w:numPr>
        <w:tabs>
          <w:tab w:val="clear" w:pos="708"/>
          <w:tab w:val="left" w:pos="0" w:leader="none"/>
        </w:tabs>
        <w:spacing w:lineRule="auto" w:line="276" w:before="0" w:after="200"/>
        <w:ind w:left="0" w:firstLine="425"/>
        <w:contextualSpacing/>
        <w:rPr>
          <w:szCs w:val="24"/>
        </w:rPr>
      </w:pPr>
      <w:r>
        <w:rPr>
          <w:szCs w:val="24"/>
        </w:rPr>
        <w:t>В общую ширину противопожарного проезда, совмещенного с основным подъездом к зданию, сооружению и строению, допускается включать тротуар, примыкающий к проезду;</w:t>
      </w:r>
    </w:p>
    <w:p>
      <w:pPr>
        <w:pStyle w:val="Normal"/>
        <w:numPr>
          <w:ilvl w:val="0"/>
          <w:numId w:val="67"/>
        </w:numPr>
        <w:tabs>
          <w:tab w:val="clear" w:pos="708"/>
          <w:tab w:val="left" w:pos="0" w:leader="none"/>
        </w:tabs>
        <w:spacing w:lineRule="auto" w:line="276" w:before="0" w:after="200"/>
        <w:ind w:left="0" w:firstLine="425"/>
        <w:contextualSpacing/>
        <w:rPr>
          <w:szCs w:val="24"/>
        </w:rPr>
      </w:pPr>
      <w:r>
        <w:rPr>
          <w:szCs w:val="24"/>
        </w:rPr>
        <w:t>Расстояние от внутреннего края подъезда до стены здания, сооружения и строения должно быть:</w:t>
      </w:r>
    </w:p>
    <w:p>
      <w:pPr>
        <w:pStyle w:val="Normal"/>
        <w:numPr>
          <w:ilvl w:val="0"/>
          <w:numId w:val="71"/>
        </w:numPr>
        <w:tabs>
          <w:tab w:val="clear" w:pos="708"/>
          <w:tab w:val="left" w:pos="851" w:leader="none"/>
        </w:tabs>
        <w:spacing w:lineRule="auto" w:line="276" w:before="0" w:after="200"/>
        <w:ind w:left="0" w:firstLine="567"/>
        <w:contextualSpacing/>
        <w:rPr>
          <w:szCs w:val="24"/>
        </w:rPr>
      </w:pPr>
      <w:r>
        <w:rPr>
          <w:szCs w:val="24"/>
        </w:rPr>
        <w:t>для зданий высотой не более 28 метров — не более 8 метров;</w:t>
      </w:r>
    </w:p>
    <w:p>
      <w:pPr>
        <w:pStyle w:val="Normal"/>
        <w:numPr>
          <w:ilvl w:val="0"/>
          <w:numId w:val="71"/>
        </w:numPr>
        <w:tabs>
          <w:tab w:val="clear" w:pos="708"/>
          <w:tab w:val="left" w:pos="851" w:leader="none"/>
        </w:tabs>
        <w:spacing w:lineRule="auto" w:line="276" w:before="0" w:after="200"/>
        <w:ind w:left="0" w:firstLine="567"/>
        <w:contextualSpacing/>
        <w:rPr>
          <w:szCs w:val="24"/>
        </w:rPr>
      </w:pPr>
      <w:r>
        <w:rPr>
          <w:szCs w:val="24"/>
        </w:rPr>
        <w:t>для зданий высотой более 28 метров — не более 16 метров;</w:t>
      </w:r>
    </w:p>
    <w:p>
      <w:pPr>
        <w:pStyle w:val="Normal"/>
        <w:numPr>
          <w:ilvl w:val="0"/>
          <w:numId w:val="67"/>
        </w:numPr>
        <w:tabs>
          <w:tab w:val="clear" w:pos="708"/>
          <w:tab w:val="left" w:pos="0" w:leader="none"/>
        </w:tabs>
        <w:spacing w:lineRule="auto" w:line="276" w:before="0" w:after="200"/>
        <w:ind w:left="0" w:firstLine="425"/>
        <w:contextualSpacing/>
        <w:rPr>
          <w:szCs w:val="24"/>
        </w:rPr>
      </w:pPr>
      <w:r>
        <w:rPr>
          <w:szCs w:val="24"/>
        </w:rPr>
        <w:t>Конструкция дорожной одежды проездов для пожарной техники должна быть рассчитана на нагрузку от пожарных автомобилей;</w:t>
      </w:r>
    </w:p>
    <w:p>
      <w:pPr>
        <w:pStyle w:val="Normal"/>
        <w:numPr>
          <w:ilvl w:val="0"/>
          <w:numId w:val="67"/>
        </w:numPr>
        <w:tabs>
          <w:tab w:val="clear" w:pos="708"/>
          <w:tab w:val="left" w:pos="709" w:leader="none"/>
          <w:tab w:val="left" w:pos="851" w:leader="none"/>
        </w:tabs>
        <w:spacing w:lineRule="auto" w:line="276" w:before="0" w:after="200"/>
        <w:ind w:left="0" w:firstLine="284"/>
        <w:contextualSpacing/>
        <w:rPr>
          <w:szCs w:val="24"/>
        </w:rPr>
      </w:pPr>
      <w:r>
        <w:rPr>
          <w:szCs w:val="24"/>
        </w:rPr>
        <w:t>В замкнутых и полузамкнутых дворах необходимо предусматривать проезды для пожарных автомобилей;</w:t>
      </w:r>
    </w:p>
    <w:p>
      <w:pPr>
        <w:pStyle w:val="Normal"/>
        <w:numPr>
          <w:ilvl w:val="0"/>
          <w:numId w:val="67"/>
        </w:numPr>
        <w:tabs>
          <w:tab w:val="clear" w:pos="708"/>
          <w:tab w:val="left" w:pos="709" w:leader="none"/>
          <w:tab w:val="left" w:pos="851" w:leader="none"/>
        </w:tabs>
        <w:spacing w:lineRule="auto" w:line="276" w:before="0" w:after="200"/>
        <w:ind w:left="0" w:firstLine="284"/>
        <w:contextualSpacing/>
        <w:rPr>
          <w:szCs w:val="24"/>
        </w:rPr>
      </w:pPr>
      <w:r>
        <w:rPr>
          <w:szCs w:val="24"/>
        </w:rPr>
        <w:t>Сквозные проезды (арки) в зданиях, сооружениях и строениях должны быть шириной не менее 3,5 метра, высотой не менее 4,5 метра и располагаться не более чем через каждые 300 метров, а в реконструируемых районах при застройке по периметру не более чем через 180 метров;</w:t>
      </w:r>
    </w:p>
    <w:p>
      <w:pPr>
        <w:pStyle w:val="Normal"/>
        <w:numPr>
          <w:ilvl w:val="0"/>
          <w:numId w:val="67"/>
        </w:numPr>
        <w:tabs>
          <w:tab w:val="clear" w:pos="708"/>
          <w:tab w:val="left" w:pos="426" w:leader="none"/>
          <w:tab w:val="left" w:pos="709" w:leader="none"/>
          <w:tab w:val="left" w:pos="851" w:leader="none"/>
        </w:tabs>
        <w:spacing w:lineRule="auto" w:line="276" w:before="0" w:after="200"/>
        <w:ind w:left="0" w:firstLine="284"/>
        <w:contextualSpacing/>
        <w:rPr>
          <w:szCs w:val="24"/>
        </w:rPr>
      </w:pPr>
      <w:r>
        <w:rPr>
          <w:szCs w:val="24"/>
        </w:rPr>
        <w:t>В исторической застройке поселений допускается сохранять существующие размеры сквозных проездов (арок);</w:t>
      </w:r>
    </w:p>
    <w:p>
      <w:pPr>
        <w:pStyle w:val="Normal"/>
        <w:numPr>
          <w:ilvl w:val="0"/>
          <w:numId w:val="67"/>
        </w:numPr>
        <w:tabs>
          <w:tab w:val="clear" w:pos="708"/>
          <w:tab w:val="left" w:pos="709" w:leader="none"/>
          <w:tab w:val="left" w:pos="851" w:leader="none"/>
        </w:tabs>
        <w:spacing w:lineRule="auto" w:line="276" w:before="0" w:after="200"/>
        <w:ind w:left="0" w:firstLine="284"/>
        <w:contextualSpacing/>
        <w:rPr>
          <w:szCs w:val="24"/>
        </w:rPr>
      </w:pPr>
      <w:r>
        <w:rPr>
          <w:szCs w:val="24"/>
        </w:rPr>
        <w:t>Тупиковые проезды должны заканчиваться площадками для разворота пожарной техники размером не менее чем 15×15 метров. Максимальная протяженность тупикового проезда не должна превышать 150 метров;</w:t>
      </w:r>
    </w:p>
    <w:p>
      <w:pPr>
        <w:pStyle w:val="Normal"/>
        <w:numPr>
          <w:ilvl w:val="0"/>
          <w:numId w:val="67"/>
        </w:numPr>
        <w:tabs>
          <w:tab w:val="clear" w:pos="708"/>
          <w:tab w:val="left" w:pos="709" w:leader="none"/>
          <w:tab w:val="left" w:pos="851" w:leader="none"/>
        </w:tabs>
        <w:spacing w:lineRule="auto" w:line="276" w:before="0" w:after="200"/>
        <w:ind w:left="0" w:firstLine="284"/>
        <w:contextualSpacing/>
        <w:rPr>
          <w:szCs w:val="24"/>
        </w:rPr>
      </w:pPr>
      <w:r>
        <w:rPr>
          <w:szCs w:val="24"/>
        </w:rPr>
        <w:t>Сквозные проходы через лестничные клетки в зданиях, сооружениях и строениях следует располагать на расстоянии не более 100 метров один от другого. При примыкании зданий, сооружений и строений под углом друг к другу в расчет принимается расстояние по периметру со стороны наружного водопровода с пожарными гидрантами;</w:t>
      </w:r>
    </w:p>
    <w:p>
      <w:pPr>
        <w:pStyle w:val="Normal"/>
        <w:numPr>
          <w:ilvl w:val="0"/>
          <w:numId w:val="67"/>
        </w:numPr>
        <w:tabs>
          <w:tab w:val="clear" w:pos="708"/>
          <w:tab w:val="left" w:pos="709" w:leader="none"/>
          <w:tab w:val="left" w:pos="851" w:leader="none"/>
        </w:tabs>
        <w:spacing w:lineRule="auto" w:line="276" w:before="0" w:after="200"/>
        <w:ind w:left="0" w:firstLine="284"/>
        <w:contextualSpacing/>
        <w:rPr>
          <w:szCs w:val="24"/>
        </w:rPr>
      </w:pPr>
      <w:r>
        <w:rPr>
          <w:szCs w:val="24"/>
        </w:rPr>
        <w:t>При использовании кровли стилобата для подъезда пожарной техники конструкции стилобата должны быть рассчитаны на нагрузку от пожарных автомобилей не менее 16 тонн на ось;</w:t>
      </w:r>
    </w:p>
    <w:p>
      <w:pPr>
        <w:pStyle w:val="Normal"/>
        <w:numPr>
          <w:ilvl w:val="0"/>
          <w:numId w:val="67"/>
        </w:numPr>
        <w:tabs>
          <w:tab w:val="clear" w:pos="708"/>
          <w:tab w:val="left" w:pos="709" w:leader="none"/>
          <w:tab w:val="left" w:pos="851" w:leader="none"/>
        </w:tabs>
        <w:spacing w:lineRule="auto" w:line="276" w:before="0" w:after="200"/>
        <w:ind w:left="0" w:firstLine="284"/>
        <w:contextualSpacing/>
        <w:rPr>
          <w:szCs w:val="24"/>
        </w:rPr>
      </w:pPr>
      <w:r>
        <w:rPr>
          <w:szCs w:val="24"/>
        </w:rPr>
        <w:t>К рекам и водоемам должна быть предусмотрена возможность подъезда для забора воды пожарной техникой в соответствии с требованиями нормативных документов по пожарной безопасности;</w:t>
      </w:r>
    </w:p>
    <w:p>
      <w:pPr>
        <w:pStyle w:val="Normal"/>
        <w:numPr>
          <w:ilvl w:val="0"/>
          <w:numId w:val="67"/>
        </w:numPr>
        <w:tabs>
          <w:tab w:val="clear" w:pos="708"/>
          <w:tab w:val="left" w:pos="709" w:leader="none"/>
          <w:tab w:val="left" w:pos="851" w:leader="none"/>
        </w:tabs>
        <w:spacing w:lineRule="auto" w:line="276" w:before="0" w:after="200"/>
        <w:ind w:left="0" w:firstLine="284"/>
        <w:contextualSpacing/>
        <w:rPr>
          <w:szCs w:val="24"/>
        </w:rPr>
      </w:pPr>
      <w:r>
        <w:rPr>
          <w:szCs w:val="24"/>
        </w:rPr>
        <w:t>Планировочное решение малоэтажной жилой застройки (до 3 этажей включительно) должно обеспечивать подъезд пожарной техники к зданиям, сооружениям и строениям на расстояние не более 50 метров.</w:t>
      </w:r>
    </w:p>
    <w:p>
      <w:pPr>
        <w:sectPr>
          <w:headerReference w:type="default" r:id="rId178"/>
          <w:footerReference w:type="default" r:id="rId179"/>
          <w:type w:val="nextPage"/>
          <w:pgSz w:w="11906" w:h="16838"/>
          <w:pgMar w:left="1418" w:right="567" w:header="567" w:top="1134" w:footer="567" w:bottom="1134" w:gutter="0"/>
          <w:pgNumType w:fmt="decimal"/>
          <w:formProt w:val="false"/>
          <w:textDirection w:val="lrTb"/>
          <w:docGrid w:type="default" w:linePitch="360" w:charSpace="0"/>
        </w:sectPr>
        <w:pStyle w:val="Normal"/>
        <w:spacing w:lineRule="auto" w:line="276"/>
        <w:ind w:firstLine="709"/>
        <w:rPr>
          <w:szCs w:val="24"/>
        </w:rPr>
      </w:pPr>
      <w:r>
        <w:rPr>
          <w:szCs w:val="24"/>
        </w:rPr>
        <w:t>На территории садоводческого, огороднического и дачного некоммерческого объединения граждан должен обеспечиваться подъезд пожарной техники ко всем садовым участкам, объединенным в группы, и объектам общего пользования. На территории садоводческого, огороднического и дачного некоммерческого объединения граждан ширина проезжей части улиц должна быть не менее 7 метров, проездов — не менее 3,5 метров».</w:t>
      </w:r>
    </w:p>
    <w:p>
      <w:pPr>
        <w:pStyle w:val="021216"/>
        <w:rPr>
          <w:szCs w:val="24"/>
          <w:lang w:eastAsia="ru-RU"/>
        </w:rPr>
      </w:pPr>
      <w:bookmarkStart w:id="347" w:name="_Toc69297590"/>
      <w:bookmarkStart w:id="348" w:name="_Toc182210527"/>
      <w:bookmarkStart w:id="349" w:name="_Toc53143742"/>
      <w:r>
        <w:rPr/>
        <w:t>РАЗДЕЛ 6. ОЦЕНКА ВОЗМОЖНОГО ВЛИЯНИЯ ПЛАНИРУЕМЫХ ДЛЯ РАЗМЕЩЕНИЯ ОБЪЕКТОВ МЕСТНОГО ЗНАЧЕНИЯ ПОСЕЛЕНИЯ НА КОМПЛЕКСНОЕ РАЗВИТИЕ ТЕРРИТОРИИ</w:t>
      </w:r>
      <w:bookmarkStart w:id="350" w:name="_Toc69297584"/>
      <w:bookmarkEnd w:id="348"/>
      <w:bookmarkEnd w:id="349"/>
      <w:bookmarkEnd w:id="350"/>
    </w:p>
    <w:p>
      <w:pPr>
        <w:pStyle w:val="Normal"/>
        <w:suppressAutoHyphens w:val="true"/>
        <w:spacing w:lineRule="auto" w:line="276"/>
        <w:ind w:firstLine="709"/>
        <w:rPr>
          <w:rFonts w:eastAsia="Times New Roman"/>
          <w:szCs w:val="24"/>
          <w:lang w:eastAsia="ar-SA"/>
        </w:rPr>
      </w:pPr>
      <w:r>
        <w:rPr>
          <w:rFonts w:eastAsia="Times New Roman"/>
          <w:szCs w:val="24"/>
          <w:lang w:eastAsia="ar-SA"/>
        </w:rPr>
        <w:t>Проект генерального плана Катенинского сельского поселения Варненского муниципального района Челябинской области предусматривает ряд мероприятий по территориальному развитию сельского поселения, направленных на создание условий для роста экономических и социальных показателей муниципального образования.</w:t>
      </w:r>
    </w:p>
    <w:p>
      <w:pPr>
        <w:pStyle w:val="Normal"/>
        <w:suppressAutoHyphens w:val="true"/>
        <w:spacing w:lineRule="auto" w:line="276"/>
        <w:ind w:firstLine="709"/>
        <w:rPr>
          <w:rFonts w:eastAsia="Times New Roman"/>
          <w:szCs w:val="24"/>
          <w:lang w:eastAsia="ar-SA"/>
        </w:rPr>
      </w:pPr>
      <w:r>
        <w:rPr>
          <w:rFonts w:eastAsia="Times New Roman"/>
          <w:szCs w:val="24"/>
          <w:lang w:eastAsia="ar-SA"/>
        </w:rPr>
        <w:t>Реализация мероприятий, заложенных генеральным планом в части развития транспортной сети в границах сельского поселения, позволит повысить связность территорий внутри сельского поселения, а также с населенными пунктами Челябинской области. Будут созданы условия для выполнения требований территориальной доступности объектов обслуживания населения в границах Катенинского сельского поселения. Развитие улично-дорожной сети в границах населенного пункта позволит упорядочить сложившуюся планировочную структуру населенного пункта.</w:t>
      </w:r>
    </w:p>
    <w:p>
      <w:pPr>
        <w:pStyle w:val="Normal"/>
        <w:suppressAutoHyphens w:val="true"/>
        <w:spacing w:lineRule="auto" w:line="276"/>
        <w:ind w:firstLine="709"/>
        <w:rPr>
          <w:rFonts w:eastAsia="Times New Roman"/>
          <w:szCs w:val="24"/>
          <w:lang w:eastAsia="ar-SA"/>
        </w:rPr>
      </w:pPr>
      <w:r>
        <w:rPr>
          <w:rFonts w:eastAsia="Times New Roman"/>
          <w:szCs w:val="24"/>
          <w:lang w:eastAsia="ar-SA"/>
        </w:rPr>
        <w:t>Реализация мероприятий по строительству и реконструкции инженерных систем позволит обеспечить надежность, энергетическую эффективность работы систем коммунальной инфраструктуры, повысить качество поставляемых для потребителей товаров и оказываемых услуг, снизить негативное воздействие на окружающую среду и здоровье человека.</w:t>
      </w:r>
    </w:p>
    <w:p>
      <w:pPr>
        <w:pStyle w:val="Normal"/>
        <w:suppressAutoHyphens w:val="true"/>
        <w:spacing w:lineRule="auto" w:line="276"/>
        <w:ind w:firstLine="709"/>
        <w:rPr>
          <w:rFonts w:eastAsia="Times New Roman"/>
          <w:szCs w:val="24"/>
          <w:lang w:eastAsia="ar-SA"/>
        </w:rPr>
      </w:pPr>
      <w:r>
        <w:rPr>
          <w:rFonts w:eastAsia="Times New Roman"/>
          <w:szCs w:val="24"/>
          <w:lang w:eastAsia="ar-SA"/>
        </w:rPr>
        <w:t>Развитие централизованных систем водоснабжения и водоотведения обеспечит потребителей водой необходимого качества, повысит комфортность среды проживания населения и позволит повысить инвестиционную привлекательность территории.</w:t>
      </w:r>
    </w:p>
    <w:p>
      <w:pPr>
        <w:pStyle w:val="Normal"/>
        <w:suppressAutoHyphens w:val="true"/>
        <w:spacing w:lineRule="auto" w:line="276"/>
        <w:ind w:firstLine="709"/>
        <w:rPr>
          <w:rFonts w:eastAsia="Times New Roman"/>
          <w:szCs w:val="24"/>
          <w:lang w:eastAsia="ar-SA"/>
        </w:rPr>
      </w:pPr>
      <w:r>
        <w:rPr>
          <w:rFonts w:eastAsia="Times New Roman"/>
          <w:szCs w:val="24"/>
          <w:lang w:eastAsia="ar-SA"/>
        </w:rPr>
        <w:t>Решения генерального плана в части установления функциональных зон обеспечивают условия сбалансированного пользования территориальными ресурсами, учитывают потребность в территориях для размещения как объектов местного значения поселения, так и объектов местного значения муниципального района, с учетом уточнения местоположения объектов регионального и федерального значения, размещение которых предусмотрено документами территориального планирования федерального и регионального уровней. Необходимость повышения интенсивности градостроительного освоения территории, прилегающей к транспортным магистралям.</w:t>
      </w:r>
    </w:p>
    <w:p>
      <w:pPr>
        <w:sectPr>
          <w:headerReference w:type="default" r:id="rId180"/>
          <w:footerReference w:type="default" r:id="rId181"/>
          <w:type w:val="nextPage"/>
          <w:pgSz w:w="11906" w:h="16838"/>
          <w:pgMar w:left="1418" w:right="567" w:header="567" w:top="1134" w:footer="567" w:bottom="1134" w:gutter="0"/>
          <w:pgNumType w:fmt="decimal"/>
          <w:formProt w:val="false"/>
          <w:textDirection w:val="lrTb"/>
          <w:docGrid w:type="default" w:linePitch="326" w:charSpace="0"/>
        </w:sectPr>
        <w:pStyle w:val="Normal"/>
        <w:suppressAutoHyphens w:val="true"/>
        <w:spacing w:lineRule="auto" w:line="276"/>
        <w:ind w:firstLine="709"/>
        <w:rPr>
          <w:rFonts w:eastAsia="Times New Roman"/>
          <w:szCs w:val="24"/>
          <w:lang w:eastAsia="ar-SA"/>
        </w:rPr>
      </w:pPr>
      <w:r>
        <w:rPr>
          <w:rFonts w:eastAsia="Times New Roman"/>
          <w:szCs w:val="24"/>
          <w:lang w:eastAsia="ar-SA"/>
        </w:rPr>
        <w:t xml:space="preserve">Предусмотренное в генеральном плане развитие объектов социальной инфраструктуры позволит обеспечить потребность населения в количестве и территориальной доступности услуг, необходимых для комфортного проживания. </w:t>
      </w:r>
    </w:p>
    <w:p>
      <w:pPr>
        <w:pStyle w:val="021216"/>
        <w:rPr>
          <w:rFonts w:eastAsia="Calibri" w:eastAsiaTheme="minorHAnsi"/>
        </w:rPr>
      </w:pPr>
      <w:bookmarkStart w:id="351" w:name="_Toc69297590"/>
      <w:bookmarkStart w:id="352" w:name="_Toc182210528"/>
      <w:r>
        <w:rPr/>
        <w:t>РАЗДЕЛ 7. ОСНОВНЫЕ ТЕХНИКО-ЭКОНОМИЧЕСКИЕ ПОКАЗАТЕЛИ ГЕНЕРАЛЬНОГО ПЛАНА</w:t>
      </w:r>
      <w:bookmarkStart w:id="353" w:name="_Toc249371367"/>
      <w:bookmarkEnd w:id="351"/>
      <w:bookmarkEnd w:id="353"/>
      <w:r>
        <w:rPr/>
        <w:t xml:space="preserve"> </w:t>
      </w:r>
      <w:r>
        <w:rPr>
          <w:rFonts w:eastAsia="Calibri" w:eastAsiaTheme="minorHAnsi"/>
        </w:rPr>
        <w:t>ПОСЕЛЕНИЯ</w:t>
      </w:r>
      <w:bookmarkEnd w:id="352"/>
    </w:p>
    <w:p>
      <w:pPr>
        <w:pStyle w:val="Normal"/>
        <w:widowControl w:val="false"/>
        <w:spacing w:lineRule="auto" w:line="276"/>
        <w:ind w:firstLine="709"/>
        <w:rPr>
          <w:rFonts w:eastAsia="Tahoma"/>
          <w:szCs w:val="24"/>
          <w:lang w:eastAsia="ru-RU"/>
        </w:rPr>
      </w:pPr>
      <w:r>
        <w:rPr>
          <w:rFonts w:eastAsia="Tahoma"/>
          <w:color w:val="000000"/>
          <w:szCs w:val="24"/>
          <w:lang w:eastAsia="ru-RU"/>
        </w:rPr>
        <w:t>Основные технико-экономические показатели (таблица 7.1) являются прогнозными оценками и приводятся в генеральном плане в целях информационной целостности документа.</w:t>
      </w:r>
      <w:r>
        <w:rPr>
          <w:rFonts w:eastAsia="Tahoma"/>
          <w:szCs w:val="24"/>
          <w:lang w:eastAsia="ru-RU"/>
        </w:rPr>
        <w:t xml:space="preserve"> </w:t>
      </w:r>
    </w:p>
    <w:p>
      <w:pPr>
        <w:pStyle w:val="Normal"/>
        <w:widowControl w:val="false"/>
        <w:spacing w:lineRule="auto" w:line="276"/>
        <w:jc w:val="right"/>
        <w:rPr>
          <w:rFonts w:eastAsia="Tahoma"/>
          <w:szCs w:val="24"/>
          <w:lang w:eastAsia="ru-RU"/>
        </w:rPr>
      </w:pPr>
      <w:r>
        <w:rPr>
          <w:rFonts w:eastAsia="Tahoma"/>
          <w:szCs w:val="24"/>
          <w:lang w:eastAsia="ru-RU"/>
        </w:rPr>
        <w:t>Таблица 7.1</w:t>
      </w:r>
    </w:p>
    <w:p>
      <w:pPr>
        <w:pStyle w:val="Normal"/>
        <w:widowControl w:val="false"/>
        <w:spacing w:lineRule="auto" w:line="276"/>
        <w:jc w:val="center"/>
        <w:rPr>
          <w:rFonts w:eastAsia="Tahoma"/>
          <w:szCs w:val="24"/>
          <w:lang w:eastAsia="ru-RU"/>
        </w:rPr>
      </w:pPr>
      <w:r>
        <w:rPr>
          <w:rFonts w:eastAsia="Tahoma"/>
          <w:szCs w:val="24"/>
          <w:lang w:eastAsia="ru-RU"/>
        </w:rPr>
        <w:t>Основные технико-экономические показатели</w:t>
      </w:r>
    </w:p>
    <w:tbl>
      <w:tblPr>
        <w:tblStyle w:val="155"/>
        <w:tblW w:w="5000" w:type="pct"/>
        <w:jc w:val="left"/>
        <w:tblInd w:w="-108" w:type="dxa"/>
        <w:tblCellMar>
          <w:top w:w="0" w:type="dxa"/>
          <w:left w:w="108" w:type="dxa"/>
          <w:bottom w:w="0" w:type="dxa"/>
          <w:right w:w="108" w:type="dxa"/>
        </w:tblCellMar>
        <w:tblLook w:firstRow="1" w:noVBand="1" w:lastRow="0" w:firstColumn="1" w:lastColumn="0" w:noHBand="0" w:val="04a0"/>
      </w:tblPr>
      <w:tblGrid>
        <w:gridCol w:w="706"/>
        <w:gridCol w:w="4682"/>
        <w:gridCol w:w="1559"/>
        <w:gridCol w:w="1702"/>
        <w:gridCol w:w="1272"/>
      </w:tblGrid>
      <w:tr>
        <w:trPr>
          <w:tblHeader w:val="true"/>
        </w:trPr>
        <w:tc>
          <w:tcPr>
            <w:tcW w:w="706" w:type="dxa"/>
            <w:vMerge w:val="restart"/>
            <w:tcBorders>
              <w:bottom w:val="nil"/>
            </w:tcBorders>
            <w:vAlign w:val="center"/>
          </w:tcPr>
          <w:p>
            <w:pPr>
              <w:pStyle w:val="Normal"/>
              <w:spacing w:lineRule="auto" w:line="240"/>
              <w:jc w:val="center"/>
              <w:rPr>
                <w:rFonts w:eastAsia="Times New Roman"/>
                <w:b/>
                <w:b/>
                <w:sz w:val="20"/>
                <w:szCs w:val="21"/>
              </w:rPr>
            </w:pPr>
            <w:r>
              <w:rPr>
                <w:rFonts w:eastAsia="Times New Roman" w:cs="" w:cstheme="minorBidi" w:ascii="Calibri" w:hAnsi="Calibri"/>
                <w:b/>
                <w:sz w:val="20"/>
                <w:szCs w:val="21"/>
                <w:lang w:eastAsia="en-US"/>
              </w:rPr>
              <w:t>№</w:t>
            </w:r>
          </w:p>
        </w:tc>
        <w:tc>
          <w:tcPr>
            <w:tcW w:w="4682" w:type="dxa"/>
            <w:vMerge w:val="restart"/>
            <w:tcBorders>
              <w:bottom w:val="nil"/>
            </w:tcBorders>
            <w:vAlign w:val="center"/>
          </w:tcPr>
          <w:p>
            <w:pPr>
              <w:pStyle w:val="Normal"/>
              <w:spacing w:lineRule="auto" w:line="240"/>
              <w:jc w:val="center"/>
              <w:rPr>
                <w:rFonts w:eastAsia="Times New Roman"/>
                <w:b/>
                <w:b/>
                <w:sz w:val="20"/>
                <w:szCs w:val="21"/>
              </w:rPr>
            </w:pPr>
            <w:r>
              <w:rPr>
                <w:rFonts w:eastAsia="Times New Roman" w:cs="" w:cstheme="minorBidi" w:ascii="Calibri" w:hAnsi="Calibri"/>
                <w:b/>
                <w:sz w:val="20"/>
                <w:szCs w:val="21"/>
                <w:lang w:eastAsia="en-US"/>
              </w:rPr>
              <w:t>Показатели</w:t>
            </w:r>
          </w:p>
        </w:tc>
        <w:tc>
          <w:tcPr>
            <w:tcW w:w="1559" w:type="dxa"/>
            <w:vMerge w:val="restart"/>
            <w:tcBorders>
              <w:bottom w:val="nil"/>
            </w:tcBorders>
            <w:vAlign w:val="center"/>
          </w:tcPr>
          <w:p>
            <w:pPr>
              <w:pStyle w:val="Normal"/>
              <w:spacing w:lineRule="auto" w:line="240"/>
              <w:jc w:val="center"/>
              <w:rPr>
                <w:rFonts w:eastAsia="Times New Roman"/>
                <w:b/>
                <w:b/>
                <w:sz w:val="20"/>
                <w:szCs w:val="21"/>
              </w:rPr>
            </w:pPr>
            <w:r>
              <w:rPr>
                <w:rFonts w:eastAsia="Times New Roman" w:cs="" w:cstheme="minorBidi" w:ascii="Calibri" w:hAnsi="Calibri"/>
                <w:b/>
                <w:sz w:val="20"/>
                <w:szCs w:val="21"/>
                <w:lang w:eastAsia="en-US"/>
              </w:rPr>
              <w:t>Единица измерения</w:t>
            </w:r>
          </w:p>
        </w:tc>
        <w:tc>
          <w:tcPr>
            <w:tcW w:w="2974" w:type="dxa"/>
            <w:gridSpan w:val="2"/>
            <w:tcBorders/>
          </w:tcPr>
          <w:p>
            <w:pPr>
              <w:pStyle w:val="Normal"/>
              <w:spacing w:lineRule="auto" w:line="240"/>
              <w:jc w:val="center"/>
              <w:rPr>
                <w:rFonts w:eastAsia="Times New Roman"/>
                <w:b/>
                <w:b/>
                <w:sz w:val="20"/>
                <w:szCs w:val="21"/>
              </w:rPr>
            </w:pPr>
            <w:r>
              <w:rPr>
                <w:rFonts w:eastAsia="Times New Roman" w:cs="" w:cstheme="minorBidi" w:ascii="Calibri" w:hAnsi="Calibri"/>
                <w:b/>
                <w:sz w:val="20"/>
                <w:szCs w:val="21"/>
                <w:lang w:eastAsia="en-US"/>
              </w:rPr>
              <w:t>Значение показателя</w:t>
            </w:r>
          </w:p>
        </w:tc>
      </w:tr>
      <w:tr>
        <w:trPr>
          <w:tblHeader w:val="true"/>
        </w:trPr>
        <w:tc>
          <w:tcPr>
            <w:tcW w:w="706" w:type="dxa"/>
            <w:vMerge w:val="continue"/>
            <w:tcBorders>
              <w:bottom w:val="nil"/>
            </w:tcBorders>
          </w:tcPr>
          <w:p>
            <w:pPr>
              <w:pStyle w:val="Normal"/>
              <w:spacing w:lineRule="auto" w:line="240"/>
              <w:jc w:val="center"/>
              <w:rPr>
                <w:rFonts w:eastAsia="Times New Roman"/>
                <w:b/>
                <w:b/>
                <w:sz w:val="20"/>
                <w:szCs w:val="21"/>
              </w:rPr>
            </w:pPr>
            <w:r>
              <w:rPr>
                <w:rFonts w:eastAsia="Times New Roman" w:cs="" w:cstheme="minorBidi" w:ascii="Calibri" w:hAnsi="Calibri"/>
                <w:b/>
                <w:sz w:val="20"/>
                <w:szCs w:val="21"/>
                <w:lang w:eastAsia="en-US"/>
              </w:rPr>
            </w:r>
          </w:p>
        </w:tc>
        <w:tc>
          <w:tcPr>
            <w:tcW w:w="4682" w:type="dxa"/>
            <w:vMerge w:val="continue"/>
            <w:tcBorders>
              <w:bottom w:val="nil"/>
            </w:tcBorders>
          </w:tcPr>
          <w:p>
            <w:pPr>
              <w:pStyle w:val="Normal"/>
              <w:spacing w:lineRule="auto" w:line="240"/>
              <w:jc w:val="center"/>
              <w:rPr>
                <w:rFonts w:eastAsia="Times New Roman"/>
                <w:b/>
                <w:b/>
                <w:sz w:val="20"/>
                <w:szCs w:val="21"/>
              </w:rPr>
            </w:pPr>
            <w:r>
              <w:rPr>
                <w:rFonts w:eastAsia="Times New Roman" w:cs="" w:cstheme="minorBidi" w:ascii="Calibri" w:hAnsi="Calibri"/>
                <w:b/>
                <w:sz w:val="20"/>
                <w:szCs w:val="21"/>
                <w:lang w:eastAsia="en-US"/>
              </w:rPr>
            </w:r>
          </w:p>
        </w:tc>
        <w:tc>
          <w:tcPr>
            <w:tcW w:w="1559" w:type="dxa"/>
            <w:vMerge w:val="continue"/>
            <w:tcBorders>
              <w:bottom w:val="nil"/>
            </w:tcBorders>
          </w:tcPr>
          <w:p>
            <w:pPr>
              <w:pStyle w:val="Normal"/>
              <w:spacing w:lineRule="auto" w:line="240"/>
              <w:jc w:val="center"/>
              <w:rPr>
                <w:rFonts w:eastAsia="Times New Roman"/>
                <w:b/>
                <w:b/>
                <w:sz w:val="20"/>
                <w:szCs w:val="21"/>
              </w:rPr>
            </w:pPr>
            <w:r>
              <w:rPr>
                <w:rFonts w:eastAsia="Times New Roman" w:cs="" w:cstheme="minorBidi" w:ascii="Calibri" w:hAnsi="Calibri"/>
                <w:b/>
                <w:sz w:val="20"/>
                <w:szCs w:val="21"/>
                <w:lang w:eastAsia="en-US"/>
              </w:rPr>
            </w:r>
          </w:p>
        </w:tc>
        <w:tc>
          <w:tcPr>
            <w:tcW w:w="1702" w:type="dxa"/>
            <w:tcBorders>
              <w:bottom w:val="nil"/>
            </w:tcBorders>
          </w:tcPr>
          <w:p>
            <w:pPr>
              <w:pStyle w:val="Normal"/>
              <w:spacing w:lineRule="auto" w:line="240"/>
              <w:jc w:val="center"/>
              <w:rPr>
                <w:rFonts w:eastAsia="Times New Roman"/>
                <w:b/>
                <w:b/>
                <w:sz w:val="20"/>
                <w:szCs w:val="21"/>
              </w:rPr>
            </w:pPr>
            <w:r>
              <w:rPr>
                <w:rFonts w:eastAsia="Times New Roman" w:cs="" w:cstheme="minorBidi" w:ascii="Calibri" w:hAnsi="Calibri"/>
                <w:b/>
                <w:sz w:val="20"/>
                <w:szCs w:val="21"/>
                <w:lang w:eastAsia="en-US"/>
              </w:rPr>
              <w:t>существующее состояние</w:t>
            </w:r>
          </w:p>
        </w:tc>
        <w:tc>
          <w:tcPr>
            <w:tcW w:w="1272" w:type="dxa"/>
            <w:tcBorders>
              <w:bottom w:val="nil"/>
            </w:tcBorders>
            <w:vAlign w:val="center"/>
          </w:tcPr>
          <w:p>
            <w:pPr>
              <w:pStyle w:val="Normal"/>
              <w:spacing w:lineRule="auto" w:line="240"/>
              <w:jc w:val="center"/>
              <w:rPr>
                <w:rFonts w:eastAsia="Times New Roman"/>
                <w:b/>
                <w:b/>
                <w:sz w:val="20"/>
                <w:szCs w:val="21"/>
              </w:rPr>
            </w:pPr>
            <w:r>
              <w:rPr>
                <w:rFonts w:eastAsia="Times New Roman" w:cs="" w:cstheme="minorBidi" w:ascii="Calibri" w:hAnsi="Calibri"/>
                <w:b/>
                <w:sz w:val="20"/>
                <w:szCs w:val="21"/>
                <w:lang w:eastAsia="en-US"/>
              </w:rPr>
              <w:t>расчетный срок</w:t>
            </w:r>
          </w:p>
        </w:tc>
      </w:tr>
    </w:tbl>
    <w:p>
      <w:pPr>
        <w:pStyle w:val="Normal"/>
        <w:widowControl w:val="false"/>
        <w:spacing w:lineRule="auto" w:line="12"/>
        <w:jc w:val="left"/>
        <w:rPr>
          <w:rFonts w:eastAsia="Tahoma"/>
          <w:szCs w:val="24"/>
          <w:lang w:eastAsia="ru-RU" w:bidi="ru-RU"/>
        </w:rPr>
      </w:pPr>
      <w:r>
        <w:rPr>
          <w:rFonts w:eastAsia="Tahoma"/>
          <w:szCs w:val="24"/>
          <w:lang w:eastAsia="ru-RU" w:bidi="ru-RU"/>
        </w:rPr>
      </w:r>
    </w:p>
    <w:tbl>
      <w:tblPr>
        <w:tblStyle w:val="155"/>
        <w:tblW w:w="5000" w:type="pct"/>
        <w:jc w:val="left"/>
        <w:tblInd w:w="-108" w:type="dxa"/>
        <w:tblCellMar>
          <w:top w:w="0" w:type="dxa"/>
          <w:left w:w="108" w:type="dxa"/>
          <w:bottom w:w="0" w:type="dxa"/>
          <w:right w:w="108" w:type="dxa"/>
        </w:tblCellMar>
        <w:tblLook w:firstRow="1" w:noVBand="1" w:lastRow="0" w:firstColumn="1" w:lastColumn="0" w:noHBand="0" w:val="04a0"/>
      </w:tblPr>
      <w:tblGrid>
        <w:gridCol w:w="704"/>
        <w:gridCol w:w="4675"/>
        <w:gridCol w:w="1559"/>
        <w:gridCol w:w="1699"/>
        <w:gridCol w:w="1284"/>
      </w:tblGrid>
      <w:tr>
        <w:trPr>
          <w:tblHeader w:val="true"/>
          <w:trHeight w:val="20" w:hRule="atLeast"/>
        </w:trPr>
        <w:tc>
          <w:tcPr>
            <w:tcW w:w="704" w:type="dxa"/>
            <w:tcBorders/>
          </w:tcPr>
          <w:p>
            <w:pPr>
              <w:pStyle w:val="Normal"/>
              <w:spacing w:lineRule="auto" w:line="240"/>
              <w:jc w:val="center"/>
              <w:rPr>
                <w:rFonts w:eastAsia="Times New Roman"/>
                <w:b/>
                <w:b/>
                <w:sz w:val="20"/>
                <w:szCs w:val="21"/>
              </w:rPr>
            </w:pPr>
            <w:r>
              <w:rPr>
                <w:rFonts w:eastAsia="Times New Roman" w:cs="" w:cstheme="minorBidi" w:ascii="Calibri" w:hAnsi="Calibri"/>
                <w:b/>
                <w:sz w:val="20"/>
                <w:szCs w:val="21"/>
                <w:lang w:eastAsia="en-US"/>
              </w:rPr>
              <w:t>1</w:t>
            </w:r>
          </w:p>
        </w:tc>
        <w:tc>
          <w:tcPr>
            <w:tcW w:w="4675" w:type="dxa"/>
            <w:tcBorders/>
          </w:tcPr>
          <w:p>
            <w:pPr>
              <w:pStyle w:val="Normal"/>
              <w:spacing w:lineRule="auto" w:line="240"/>
              <w:jc w:val="center"/>
              <w:rPr>
                <w:rFonts w:eastAsia="Times New Roman"/>
                <w:b/>
                <w:b/>
                <w:sz w:val="20"/>
                <w:szCs w:val="21"/>
              </w:rPr>
            </w:pPr>
            <w:r>
              <w:rPr>
                <w:rFonts w:eastAsia="Times New Roman" w:cs="" w:cstheme="minorBidi" w:ascii="Calibri" w:hAnsi="Calibri"/>
                <w:b/>
                <w:sz w:val="20"/>
                <w:szCs w:val="21"/>
                <w:lang w:eastAsia="en-US"/>
              </w:rPr>
              <w:t>2</w:t>
            </w:r>
          </w:p>
        </w:tc>
        <w:tc>
          <w:tcPr>
            <w:tcW w:w="1559" w:type="dxa"/>
            <w:tcBorders/>
          </w:tcPr>
          <w:p>
            <w:pPr>
              <w:pStyle w:val="Normal"/>
              <w:spacing w:lineRule="auto" w:line="240"/>
              <w:jc w:val="center"/>
              <w:rPr>
                <w:rFonts w:eastAsia="Times New Roman"/>
                <w:b/>
                <w:b/>
                <w:sz w:val="20"/>
                <w:szCs w:val="21"/>
              </w:rPr>
            </w:pPr>
            <w:r>
              <w:rPr>
                <w:rFonts w:eastAsia="Times New Roman" w:cs="" w:cstheme="minorBidi" w:ascii="Calibri" w:hAnsi="Calibri"/>
                <w:b/>
                <w:sz w:val="20"/>
                <w:szCs w:val="21"/>
                <w:lang w:eastAsia="en-US"/>
              </w:rPr>
              <w:t>3</w:t>
            </w:r>
          </w:p>
        </w:tc>
        <w:tc>
          <w:tcPr>
            <w:tcW w:w="1699" w:type="dxa"/>
            <w:tcBorders/>
          </w:tcPr>
          <w:p>
            <w:pPr>
              <w:pStyle w:val="Normal"/>
              <w:spacing w:lineRule="auto" w:line="240"/>
              <w:jc w:val="center"/>
              <w:rPr>
                <w:rFonts w:eastAsia="Times New Roman"/>
                <w:b/>
                <w:b/>
                <w:sz w:val="20"/>
                <w:szCs w:val="21"/>
              </w:rPr>
            </w:pPr>
            <w:r>
              <w:rPr>
                <w:rFonts w:eastAsia="Times New Roman" w:cs="" w:cstheme="minorBidi" w:ascii="Calibri" w:hAnsi="Calibri"/>
                <w:b/>
                <w:sz w:val="20"/>
                <w:szCs w:val="21"/>
                <w:lang w:eastAsia="en-US"/>
              </w:rPr>
              <w:t>4</w:t>
            </w:r>
          </w:p>
        </w:tc>
        <w:tc>
          <w:tcPr>
            <w:tcW w:w="1284" w:type="dxa"/>
            <w:tcBorders/>
          </w:tcPr>
          <w:p>
            <w:pPr>
              <w:pStyle w:val="Normal"/>
              <w:spacing w:lineRule="auto" w:line="240"/>
              <w:jc w:val="center"/>
              <w:rPr>
                <w:rFonts w:eastAsia="Times New Roman"/>
                <w:b/>
                <w:b/>
                <w:sz w:val="20"/>
                <w:szCs w:val="21"/>
              </w:rPr>
            </w:pPr>
            <w:r>
              <w:rPr>
                <w:rFonts w:eastAsia="Times New Roman" w:cs="" w:cstheme="minorBidi" w:ascii="Calibri" w:hAnsi="Calibri"/>
                <w:b/>
                <w:sz w:val="20"/>
                <w:szCs w:val="21"/>
                <w:lang w:eastAsia="en-US"/>
              </w:rPr>
              <w:t>5</w:t>
            </w:r>
          </w:p>
        </w:tc>
      </w:tr>
      <w:tr>
        <w:trPr>
          <w:trHeight w:val="20" w:hRule="atLeast"/>
        </w:trPr>
        <w:tc>
          <w:tcPr>
            <w:tcW w:w="704" w:type="dxa"/>
            <w:tcBorders/>
          </w:tcPr>
          <w:p>
            <w:pPr>
              <w:pStyle w:val="Normal"/>
              <w:spacing w:lineRule="auto" w:line="240"/>
              <w:jc w:val="center"/>
              <w:rPr>
                <w:rFonts w:eastAsia="Times New Roman"/>
                <w:b/>
                <w:b/>
                <w:sz w:val="20"/>
                <w:szCs w:val="21"/>
              </w:rPr>
            </w:pPr>
            <w:r>
              <w:rPr>
                <w:rFonts w:eastAsia="Times New Roman" w:cs="" w:cstheme="minorBidi" w:ascii="Calibri" w:hAnsi="Calibri"/>
                <w:b/>
                <w:sz w:val="20"/>
                <w:szCs w:val="21"/>
                <w:lang w:eastAsia="en-US"/>
              </w:rPr>
              <w:t>1</w:t>
            </w:r>
          </w:p>
        </w:tc>
        <w:tc>
          <w:tcPr>
            <w:tcW w:w="9217" w:type="dxa"/>
            <w:gridSpan w:val="4"/>
            <w:tcBorders/>
          </w:tcPr>
          <w:p>
            <w:pPr>
              <w:pStyle w:val="Normal"/>
              <w:spacing w:lineRule="auto" w:line="240"/>
              <w:jc w:val="left"/>
              <w:rPr>
                <w:rFonts w:eastAsia="Times New Roman"/>
                <w:b/>
                <w:b/>
                <w:sz w:val="20"/>
                <w:szCs w:val="21"/>
              </w:rPr>
            </w:pPr>
            <w:r>
              <w:rPr>
                <w:rFonts w:eastAsia="Times New Roman" w:cs="" w:cstheme="minorBidi" w:ascii="Calibri" w:hAnsi="Calibri"/>
                <w:b/>
                <w:sz w:val="20"/>
                <w:szCs w:val="21"/>
                <w:lang w:eastAsia="en-US"/>
              </w:rPr>
              <w:t>Территория</w:t>
            </w:r>
          </w:p>
        </w:tc>
      </w:tr>
      <w:tr>
        <w:trPr>
          <w:trHeight w:val="20" w:hRule="atLeast"/>
        </w:trPr>
        <w:tc>
          <w:tcPr>
            <w:tcW w:w="70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1.1</w:t>
            </w:r>
          </w:p>
        </w:tc>
        <w:tc>
          <w:tcPr>
            <w:tcW w:w="4675" w:type="dxa"/>
            <w:tcBorders/>
          </w:tcPr>
          <w:p>
            <w:pPr>
              <w:pStyle w:val="Normal"/>
              <w:spacing w:lineRule="auto" w:line="240"/>
              <w:jc w:val="left"/>
              <w:rPr>
                <w:rFonts w:eastAsia="Times New Roman"/>
                <w:sz w:val="20"/>
                <w:szCs w:val="21"/>
              </w:rPr>
            </w:pPr>
            <w:r>
              <w:rPr>
                <w:rFonts w:eastAsia="Times New Roman" w:cs="" w:cstheme="minorBidi" w:ascii="Calibri" w:hAnsi="Calibri"/>
                <w:sz w:val="20"/>
                <w:szCs w:val="21"/>
                <w:lang w:eastAsia="en-US"/>
              </w:rPr>
              <w:t>Площадь территории поселения (сельского поселения)</w:t>
            </w:r>
          </w:p>
        </w:tc>
        <w:tc>
          <w:tcPr>
            <w:tcW w:w="155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га</w:t>
            </w:r>
          </w:p>
        </w:tc>
        <w:tc>
          <w:tcPr>
            <w:tcW w:w="169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0"/>
                <w:lang w:eastAsia="ru-RU"/>
              </w:rPr>
              <w:t>30911,59</w:t>
            </w:r>
          </w:p>
        </w:tc>
        <w:tc>
          <w:tcPr>
            <w:tcW w:w="128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0"/>
                <w:lang w:eastAsia="ru-RU"/>
              </w:rPr>
              <w:t>30911,59</w:t>
            </w:r>
          </w:p>
        </w:tc>
      </w:tr>
      <w:tr>
        <w:trPr>
          <w:trHeight w:val="70" w:hRule="atLeast"/>
        </w:trPr>
        <w:tc>
          <w:tcPr>
            <w:tcW w:w="704" w:type="dxa"/>
            <w:vMerge w:val="restart"/>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1.2</w:t>
            </w:r>
          </w:p>
        </w:tc>
        <w:tc>
          <w:tcPr>
            <w:tcW w:w="9217" w:type="dxa"/>
            <w:gridSpan w:val="4"/>
            <w:tcBorders/>
          </w:tcPr>
          <w:p>
            <w:pPr>
              <w:pStyle w:val="Normal"/>
              <w:spacing w:lineRule="auto" w:line="240"/>
              <w:jc w:val="left"/>
              <w:rPr>
                <w:rFonts w:eastAsia="Times New Roman"/>
                <w:sz w:val="20"/>
                <w:szCs w:val="21"/>
              </w:rPr>
            </w:pPr>
            <w:r>
              <w:rPr>
                <w:rFonts w:eastAsia="Times New Roman" w:cs="" w:cstheme="minorBidi" w:ascii="Calibri" w:hAnsi="Calibri"/>
                <w:b/>
                <w:sz w:val="20"/>
                <w:szCs w:val="21"/>
                <w:lang w:eastAsia="en-US"/>
              </w:rPr>
              <w:t>Функциональные зоны</w:t>
            </w:r>
          </w:p>
        </w:tc>
      </w:tr>
      <w:tr>
        <w:trPr>
          <w:trHeight w:val="20" w:hRule="atLeast"/>
        </w:trPr>
        <w:tc>
          <w:tcPr>
            <w:tcW w:w="704" w:type="dxa"/>
            <w:vMerge w:val="continue"/>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tcPr>
          <w:p>
            <w:pPr>
              <w:pStyle w:val="Normal"/>
              <w:spacing w:lineRule="auto" w:line="240"/>
              <w:jc w:val="left"/>
              <w:rPr>
                <w:rFonts w:eastAsia="Times New Roman"/>
                <w:sz w:val="20"/>
                <w:szCs w:val="20"/>
              </w:rPr>
            </w:pPr>
            <w:r>
              <w:rPr>
                <w:rFonts w:eastAsia="Times New Roman" w:cs="" w:cstheme="minorBidi" w:ascii="Calibri" w:hAnsi="Calibri"/>
                <w:sz w:val="20"/>
                <w:szCs w:val="20"/>
                <w:lang w:eastAsia="en-US"/>
              </w:rPr>
              <w:t>Зона застройки индивидуальными жилыми домами</w:t>
            </w:r>
          </w:p>
        </w:tc>
        <w:tc>
          <w:tcPr>
            <w:tcW w:w="1559" w:type="dxa"/>
            <w:tcBorders/>
          </w:tcPr>
          <w:p>
            <w:pPr>
              <w:pStyle w:val="Normal"/>
              <w:spacing w:lineRule="auto" w:line="240"/>
              <w:jc w:val="center"/>
              <w:rPr>
                <w:rFonts w:eastAsia="Times New Roman"/>
                <w:sz w:val="20"/>
                <w:szCs w:val="20"/>
              </w:rPr>
            </w:pPr>
            <w:r>
              <w:rPr>
                <w:rFonts w:eastAsia="Times New Roman" w:cs="" w:cstheme="minorBidi" w:ascii="Calibri" w:hAnsi="Calibri"/>
                <w:sz w:val="20"/>
                <w:szCs w:val="20"/>
                <w:lang w:eastAsia="en-US"/>
              </w:rPr>
              <w:t>га</w:t>
            </w:r>
          </w:p>
        </w:tc>
        <w:tc>
          <w:tcPr>
            <w:tcW w:w="169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173,03</w:t>
            </w:r>
          </w:p>
        </w:tc>
        <w:tc>
          <w:tcPr>
            <w:tcW w:w="1284" w:type="dxa"/>
            <w:tcBorders/>
            <w:shd w:color="auto" w:fill="auto"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 xml:space="preserve"> </w:t>
            </w:r>
            <w:r>
              <w:rPr>
                <w:rFonts w:eastAsia="Times New Roman" w:cs="" w:cstheme="minorBidi" w:ascii="Calibri" w:hAnsi="Calibri"/>
                <w:sz w:val="20"/>
                <w:szCs w:val="21"/>
                <w:lang w:eastAsia="en-US"/>
              </w:rPr>
              <w:t>176,31</w:t>
            </w:r>
          </w:p>
        </w:tc>
      </w:tr>
      <w:tr>
        <w:trPr>
          <w:trHeight w:val="20" w:hRule="atLeast"/>
        </w:trPr>
        <w:tc>
          <w:tcPr>
            <w:tcW w:w="704" w:type="dxa"/>
            <w:vMerge w:val="continue"/>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tcPr>
          <w:p>
            <w:pPr>
              <w:pStyle w:val="Normal"/>
              <w:spacing w:lineRule="auto" w:line="240"/>
              <w:jc w:val="left"/>
              <w:rPr>
                <w:rFonts w:eastAsia="Times New Roman"/>
                <w:sz w:val="20"/>
                <w:szCs w:val="20"/>
              </w:rPr>
            </w:pPr>
            <w:r>
              <w:rPr>
                <w:rFonts w:eastAsia="Times New Roman" w:cs="" w:cstheme="minorBidi" w:ascii="Calibri" w:hAnsi="Calibri"/>
                <w:sz w:val="20"/>
                <w:szCs w:val="20"/>
                <w:lang w:eastAsia="en-US"/>
              </w:rPr>
              <w:t>Многофункциональная общественно-деловая зона</w:t>
            </w:r>
          </w:p>
        </w:tc>
        <w:tc>
          <w:tcPr>
            <w:tcW w:w="1559" w:type="dxa"/>
            <w:tcBorders/>
          </w:tcPr>
          <w:p>
            <w:pPr>
              <w:pStyle w:val="Normal"/>
              <w:spacing w:lineRule="auto" w:line="240"/>
              <w:jc w:val="center"/>
              <w:rPr>
                <w:rFonts w:eastAsia="Times New Roman"/>
                <w:sz w:val="20"/>
                <w:szCs w:val="20"/>
              </w:rPr>
            </w:pPr>
            <w:r>
              <w:rPr>
                <w:rFonts w:eastAsia="Times New Roman" w:cs="" w:cstheme="minorBidi" w:ascii="Calibri" w:hAnsi="Calibri"/>
                <w:sz w:val="20"/>
                <w:szCs w:val="20"/>
                <w:lang w:eastAsia="en-US"/>
              </w:rPr>
              <w:t>га</w:t>
            </w:r>
          </w:p>
        </w:tc>
        <w:tc>
          <w:tcPr>
            <w:tcW w:w="169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2,72</w:t>
            </w:r>
          </w:p>
        </w:tc>
        <w:tc>
          <w:tcPr>
            <w:tcW w:w="1284" w:type="dxa"/>
            <w:tcBorders/>
            <w:shd w:color="auto" w:fill="auto"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1,46</w:t>
            </w:r>
          </w:p>
        </w:tc>
      </w:tr>
      <w:tr>
        <w:trPr>
          <w:trHeight w:val="20" w:hRule="atLeast"/>
        </w:trPr>
        <w:tc>
          <w:tcPr>
            <w:tcW w:w="704" w:type="dxa"/>
            <w:vMerge w:val="continue"/>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tcPr>
          <w:p>
            <w:pPr>
              <w:pStyle w:val="Normal"/>
              <w:spacing w:lineRule="auto" w:line="240"/>
              <w:jc w:val="left"/>
              <w:rPr>
                <w:rFonts w:eastAsia="Times New Roman"/>
                <w:sz w:val="20"/>
                <w:szCs w:val="20"/>
              </w:rPr>
            </w:pPr>
            <w:r>
              <w:rPr>
                <w:rFonts w:eastAsia="Times New Roman" w:cs="" w:cstheme="minorBidi" w:ascii="Calibri" w:hAnsi="Calibri"/>
                <w:sz w:val="20"/>
                <w:szCs w:val="20"/>
                <w:lang w:eastAsia="en-US"/>
              </w:rPr>
              <w:t>Зона специализированной общественной застройки</w:t>
            </w:r>
          </w:p>
        </w:tc>
        <w:tc>
          <w:tcPr>
            <w:tcW w:w="1559" w:type="dxa"/>
            <w:tcBorders/>
          </w:tcPr>
          <w:p>
            <w:pPr>
              <w:pStyle w:val="Normal"/>
              <w:spacing w:lineRule="auto" w:line="240"/>
              <w:jc w:val="center"/>
              <w:rPr>
                <w:rFonts w:eastAsia="Times New Roman"/>
                <w:sz w:val="20"/>
                <w:szCs w:val="20"/>
              </w:rPr>
            </w:pPr>
            <w:r>
              <w:rPr>
                <w:rFonts w:eastAsia="Times New Roman" w:cs="" w:cstheme="minorBidi" w:ascii="Calibri" w:hAnsi="Calibri"/>
                <w:sz w:val="20"/>
                <w:szCs w:val="20"/>
                <w:lang w:eastAsia="en-US"/>
              </w:rPr>
              <w:t>га</w:t>
            </w:r>
          </w:p>
        </w:tc>
        <w:tc>
          <w:tcPr>
            <w:tcW w:w="169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4,93</w:t>
            </w:r>
          </w:p>
        </w:tc>
        <w:tc>
          <w:tcPr>
            <w:tcW w:w="1284" w:type="dxa"/>
            <w:tcBorders/>
            <w:shd w:color="auto" w:fill="auto"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6,69</w:t>
            </w:r>
          </w:p>
        </w:tc>
      </w:tr>
      <w:tr>
        <w:trPr>
          <w:trHeight w:val="20" w:hRule="atLeast"/>
        </w:trPr>
        <w:tc>
          <w:tcPr>
            <w:tcW w:w="704" w:type="dxa"/>
            <w:vMerge w:val="continue"/>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tcPr>
          <w:p>
            <w:pPr>
              <w:pStyle w:val="Normal"/>
              <w:spacing w:lineRule="auto" w:line="240"/>
              <w:jc w:val="left"/>
              <w:rPr>
                <w:rFonts w:eastAsia="Times New Roman"/>
                <w:sz w:val="20"/>
                <w:szCs w:val="20"/>
              </w:rPr>
            </w:pPr>
            <w:r>
              <w:rPr>
                <w:rFonts w:eastAsia="Times New Roman" w:cs="" w:cstheme="minorBidi" w:ascii="Calibri" w:hAnsi="Calibri"/>
                <w:sz w:val="20"/>
                <w:szCs w:val="20"/>
                <w:lang w:eastAsia="en-US"/>
              </w:rPr>
              <w:t>Производственная зона</w:t>
            </w:r>
          </w:p>
        </w:tc>
        <w:tc>
          <w:tcPr>
            <w:tcW w:w="1559" w:type="dxa"/>
            <w:tcBorders/>
          </w:tcPr>
          <w:p>
            <w:pPr>
              <w:pStyle w:val="Normal"/>
              <w:spacing w:lineRule="auto" w:line="240"/>
              <w:jc w:val="center"/>
              <w:rPr>
                <w:rFonts w:eastAsia="Times New Roman"/>
                <w:sz w:val="20"/>
                <w:szCs w:val="20"/>
              </w:rPr>
            </w:pPr>
            <w:r>
              <w:rPr>
                <w:rFonts w:eastAsia="Times New Roman" w:cs="" w:cstheme="minorBidi" w:ascii="Calibri" w:hAnsi="Calibri"/>
                <w:sz w:val="20"/>
                <w:szCs w:val="20"/>
                <w:lang w:eastAsia="en-US"/>
              </w:rPr>
              <w:t>га</w:t>
            </w:r>
          </w:p>
        </w:tc>
        <w:tc>
          <w:tcPr>
            <w:tcW w:w="169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3328,34</w:t>
            </w:r>
          </w:p>
        </w:tc>
        <w:tc>
          <w:tcPr>
            <w:tcW w:w="1284" w:type="dxa"/>
            <w:tcBorders/>
            <w:shd w:color="auto" w:fill="auto"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3328,34</w:t>
            </w:r>
          </w:p>
        </w:tc>
      </w:tr>
      <w:tr>
        <w:trPr>
          <w:trHeight w:val="20" w:hRule="atLeast"/>
        </w:trPr>
        <w:tc>
          <w:tcPr>
            <w:tcW w:w="704" w:type="dxa"/>
            <w:vMerge w:val="continue"/>
            <w:tcBorders/>
          </w:tcPr>
          <w:p>
            <w:pPr>
              <w:pStyle w:val="Normal"/>
              <w:spacing w:lineRule="auto" w:line="240"/>
              <w:rPr>
                <w:rFonts w:eastAsia="Times New Roman"/>
                <w:sz w:val="20"/>
                <w:szCs w:val="21"/>
              </w:rPr>
            </w:pPr>
            <w:r>
              <w:rPr>
                <w:rFonts w:eastAsia="Times New Roman" w:cs="" w:cstheme="minorBidi" w:ascii="Calibri" w:hAnsi="Calibri"/>
                <w:sz w:val="20"/>
                <w:szCs w:val="21"/>
                <w:lang w:eastAsia="en-US"/>
              </w:rPr>
            </w:r>
          </w:p>
        </w:tc>
        <w:tc>
          <w:tcPr>
            <w:tcW w:w="4675" w:type="dxa"/>
            <w:tcBorders/>
          </w:tcPr>
          <w:p>
            <w:pPr>
              <w:pStyle w:val="Normal"/>
              <w:spacing w:lineRule="auto" w:line="240"/>
              <w:jc w:val="left"/>
              <w:rPr>
                <w:rFonts w:eastAsia="Times New Roman"/>
                <w:sz w:val="20"/>
                <w:szCs w:val="20"/>
              </w:rPr>
            </w:pPr>
            <w:r>
              <w:rPr>
                <w:rFonts w:eastAsia="Times New Roman" w:cs="" w:cstheme="minorBidi" w:ascii="Calibri" w:hAnsi="Calibri"/>
                <w:sz w:val="20"/>
                <w:szCs w:val="20"/>
                <w:lang w:eastAsia="en-US"/>
              </w:rPr>
              <w:t>Зона инженерной инфраструктуры</w:t>
            </w:r>
          </w:p>
        </w:tc>
        <w:tc>
          <w:tcPr>
            <w:tcW w:w="1559" w:type="dxa"/>
            <w:tcBorders/>
          </w:tcPr>
          <w:p>
            <w:pPr>
              <w:pStyle w:val="Normal"/>
              <w:spacing w:lineRule="auto" w:line="240"/>
              <w:jc w:val="center"/>
              <w:rPr>
                <w:rFonts w:eastAsia="Times New Roman"/>
                <w:sz w:val="20"/>
                <w:szCs w:val="20"/>
              </w:rPr>
            </w:pPr>
            <w:r>
              <w:rPr>
                <w:rFonts w:eastAsia="Times New Roman" w:cs="" w:cstheme="minorBidi" w:ascii="Calibri" w:hAnsi="Calibri"/>
                <w:sz w:val="20"/>
                <w:szCs w:val="20"/>
                <w:lang w:eastAsia="en-US"/>
              </w:rPr>
              <w:t>га</w:t>
            </w:r>
          </w:p>
        </w:tc>
        <w:tc>
          <w:tcPr>
            <w:tcW w:w="169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1,53</w:t>
            </w:r>
          </w:p>
        </w:tc>
        <w:tc>
          <w:tcPr>
            <w:tcW w:w="1284" w:type="dxa"/>
            <w:tcBorders/>
            <w:shd w:color="auto" w:fill="auto"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1,53</w:t>
            </w:r>
          </w:p>
        </w:tc>
      </w:tr>
      <w:tr>
        <w:trPr>
          <w:trHeight w:val="20" w:hRule="atLeast"/>
        </w:trPr>
        <w:tc>
          <w:tcPr>
            <w:tcW w:w="704" w:type="dxa"/>
            <w:vMerge w:val="continue"/>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tcPr>
          <w:p>
            <w:pPr>
              <w:pStyle w:val="Normal"/>
              <w:spacing w:lineRule="auto" w:line="240"/>
              <w:jc w:val="left"/>
              <w:rPr>
                <w:rFonts w:eastAsia="Times New Roman"/>
                <w:sz w:val="20"/>
                <w:szCs w:val="20"/>
              </w:rPr>
            </w:pPr>
            <w:r>
              <w:rPr>
                <w:rFonts w:eastAsia="Times New Roman" w:cs="" w:cstheme="minorBidi" w:ascii="Calibri" w:hAnsi="Calibri"/>
                <w:sz w:val="20"/>
                <w:szCs w:val="20"/>
                <w:lang w:eastAsia="en-US"/>
              </w:rPr>
              <w:t>Зона транспортной инфраструктуры</w:t>
            </w:r>
          </w:p>
        </w:tc>
        <w:tc>
          <w:tcPr>
            <w:tcW w:w="1559" w:type="dxa"/>
            <w:tcBorders/>
          </w:tcPr>
          <w:p>
            <w:pPr>
              <w:pStyle w:val="Normal"/>
              <w:spacing w:lineRule="auto" w:line="240"/>
              <w:jc w:val="center"/>
              <w:rPr>
                <w:rFonts w:eastAsia="Times New Roman"/>
                <w:sz w:val="20"/>
                <w:szCs w:val="20"/>
              </w:rPr>
            </w:pPr>
            <w:r>
              <w:rPr>
                <w:rFonts w:eastAsia="Times New Roman" w:cs="" w:cstheme="minorBidi" w:ascii="Calibri" w:hAnsi="Calibri"/>
                <w:sz w:val="20"/>
                <w:szCs w:val="20"/>
                <w:lang w:eastAsia="en-US"/>
              </w:rPr>
              <w:t>га</w:t>
            </w:r>
          </w:p>
        </w:tc>
        <w:tc>
          <w:tcPr>
            <w:tcW w:w="169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133,47</w:t>
            </w:r>
          </w:p>
        </w:tc>
        <w:tc>
          <w:tcPr>
            <w:tcW w:w="1284" w:type="dxa"/>
            <w:tcBorders/>
            <w:shd w:color="auto" w:fill="auto"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133,47</w:t>
            </w:r>
          </w:p>
        </w:tc>
      </w:tr>
      <w:tr>
        <w:trPr>
          <w:trHeight w:val="20" w:hRule="atLeast"/>
        </w:trPr>
        <w:tc>
          <w:tcPr>
            <w:tcW w:w="704" w:type="dxa"/>
            <w:vMerge w:val="continue"/>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tcPr>
          <w:p>
            <w:pPr>
              <w:pStyle w:val="Normal"/>
              <w:spacing w:lineRule="auto" w:line="240"/>
              <w:jc w:val="left"/>
              <w:rPr>
                <w:rFonts w:eastAsia="Times New Roman"/>
                <w:sz w:val="20"/>
                <w:szCs w:val="20"/>
              </w:rPr>
            </w:pPr>
            <w:r>
              <w:rPr>
                <w:rFonts w:eastAsia="Times New Roman" w:cs="" w:cstheme="minorBidi" w:ascii="Calibri" w:hAnsi="Calibri"/>
                <w:sz w:val="20"/>
                <w:szCs w:val="20"/>
                <w:lang w:eastAsia="en-US"/>
              </w:rPr>
              <w:t>Зоны сельскохозяйственных угодий</w:t>
            </w:r>
          </w:p>
        </w:tc>
        <w:tc>
          <w:tcPr>
            <w:tcW w:w="1559" w:type="dxa"/>
            <w:tcBorders/>
          </w:tcPr>
          <w:p>
            <w:pPr>
              <w:pStyle w:val="Normal"/>
              <w:spacing w:lineRule="auto" w:line="240"/>
              <w:jc w:val="center"/>
              <w:rPr>
                <w:rFonts w:eastAsia="Times New Roman"/>
                <w:sz w:val="20"/>
                <w:szCs w:val="20"/>
              </w:rPr>
            </w:pPr>
            <w:r>
              <w:rPr>
                <w:rFonts w:eastAsia="Times New Roman" w:cs="" w:cstheme="minorBidi" w:ascii="Calibri" w:hAnsi="Calibri"/>
                <w:sz w:val="20"/>
                <w:szCs w:val="20"/>
                <w:lang w:eastAsia="en-US"/>
              </w:rPr>
              <w:t>га</w:t>
            </w:r>
          </w:p>
        </w:tc>
        <w:tc>
          <w:tcPr>
            <w:tcW w:w="1699" w:type="dxa"/>
            <w:tcBorders/>
          </w:tcPr>
          <w:p>
            <w:pPr>
              <w:pStyle w:val="Normal"/>
              <w:spacing w:lineRule="auto" w:line="240"/>
              <w:jc w:val="center"/>
              <w:rPr>
                <w:rFonts w:eastAsia="Times New Roman"/>
                <w:sz w:val="20"/>
                <w:szCs w:val="21"/>
                <w:lang w:val="en-US"/>
              </w:rPr>
            </w:pPr>
            <w:r>
              <w:rPr>
                <w:rFonts w:eastAsia="Times New Roman" w:cs="" w:cstheme="minorBidi" w:ascii="Calibri" w:hAnsi="Calibri"/>
                <w:sz w:val="20"/>
                <w:szCs w:val="21"/>
                <w:lang w:eastAsia="en-US"/>
              </w:rPr>
              <w:t>18941,55</w:t>
            </w:r>
          </w:p>
        </w:tc>
        <w:tc>
          <w:tcPr>
            <w:tcW w:w="1284" w:type="dxa"/>
            <w:tcBorders/>
            <w:shd w:color="auto" w:fill="auto"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18941,55</w:t>
            </w:r>
          </w:p>
        </w:tc>
      </w:tr>
      <w:tr>
        <w:trPr>
          <w:trHeight w:val="20" w:hRule="atLeast"/>
        </w:trPr>
        <w:tc>
          <w:tcPr>
            <w:tcW w:w="704" w:type="dxa"/>
            <w:vMerge w:val="continue"/>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tcPr>
          <w:p>
            <w:pPr>
              <w:pStyle w:val="Normal"/>
              <w:spacing w:lineRule="auto" w:line="240"/>
              <w:jc w:val="left"/>
              <w:rPr>
                <w:rFonts w:eastAsia="Times New Roman"/>
                <w:sz w:val="20"/>
                <w:szCs w:val="20"/>
              </w:rPr>
            </w:pPr>
            <w:r>
              <w:rPr>
                <w:rFonts w:eastAsia="Calibri" w:cs="" w:cstheme="minorBidi" w:eastAsiaTheme="minorHAnsi" w:ascii="Calibri" w:hAnsi="Calibri"/>
                <w:sz w:val="20"/>
                <w:szCs w:val="20"/>
                <w:lang w:eastAsia="en-US"/>
              </w:rPr>
              <w:t>Производственная зона сельскохозяйственных предприятий</w:t>
            </w:r>
          </w:p>
        </w:tc>
        <w:tc>
          <w:tcPr>
            <w:tcW w:w="1559" w:type="dxa"/>
            <w:tcBorders/>
          </w:tcPr>
          <w:p>
            <w:pPr>
              <w:pStyle w:val="Normal"/>
              <w:spacing w:lineRule="auto" w:line="240"/>
              <w:jc w:val="center"/>
              <w:rPr>
                <w:rFonts w:eastAsia="Times New Roman"/>
                <w:sz w:val="20"/>
                <w:szCs w:val="20"/>
              </w:rPr>
            </w:pPr>
            <w:r>
              <w:rPr>
                <w:rFonts w:eastAsia="Times New Roman" w:cs="" w:cstheme="minorBidi" w:ascii="Calibri" w:hAnsi="Calibri"/>
                <w:sz w:val="20"/>
                <w:szCs w:val="20"/>
                <w:lang w:eastAsia="en-US"/>
              </w:rPr>
              <w:t>га</w:t>
            </w:r>
          </w:p>
        </w:tc>
        <w:tc>
          <w:tcPr>
            <w:tcW w:w="169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 xml:space="preserve">495,94 </w:t>
            </w:r>
          </w:p>
        </w:tc>
        <w:tc>
          <w:tcPr>
            <w:tcW w:w="1284" w:type="dxa"/>
            <w:tcBorders/>
            <w:shd w:color="auto" w:fill="auto"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 xml:space="preserve">495,94 </w:t>
            </w:r>
          </w:p>
        </w:tc>
      </w:tr>
      <w:tr>
        <w:trPr>
          <w:trHeight w:val="617" w:hRule="atLeast"/>
        </w:trPr>
        <w:tc>
          <w:tcPr>
            <w:tcW w:w="704" w:type="dxa"/>
            <w:vMerge w:val="continue"/>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tcPr>
          <w:p>
            <w:pPr>
              <w:pStyle w:val="Normal"/>
              <w:spacing w:lineRule="auto" w:line="240"/>
              <w:jc w:val="left"/>
              <w:rPr>
                <w:sz w:val="20"/>
                <w:szCs w:val="20"/>
              </w:rPr>
            </w:pPr>
            <w:r>
              <w:rPr>
                <w:rFonts w:eastAsia="Calibri" w:cs="" w:cstheme="minorBidi" w:eastAsiaTheme="minorHAnsi" w:ascii="Calibri" w:hAnsi="Calibri"/>
                <w:sz w:val="20"/>
                <w:szCs w:val="20"/>
                <w:lang w:eastAsia="en-US"/>
              </w:rPr>
              <w:t>Зона озелененных территорий общего пользования (парки, сады, скверы, бульвары, городские леса)</w:t>
            </w:r>
          </w:p>
        </w:tc>
        <w:tc>
          <w:tcPr>
            <w:tcW w:w="1559" w:type="dxa"/>
            <w:tcBorders/>
          </w:tcPr>
          <w:p>
            <w:pPr>
              <w:pStyle w:val="Normal"/>
              <w:spacing w:lineRule="auto" w:line="240"/>
              <w:jc w:val="center"/>
              <w:rPr>
                <w:rFonts w:eastAsia="Times New Roman"/>
                <w:sz w:val="20"/>
                <w:szCs w:val="20"/>
              </w:rPr>
            </w:pPr>
            <w:r>
              <w:rPr>
                <w:rFonts w:eastAsia="Times New Roman" w:cs="" w:cstheme="minorBidi" w:ascii="Calibri" w:hAnsi="Calibri"/>
                <w:sz w:val="20"/>
                <w:szCs w:val="20"/>
                <w:lang w:eastAsia="en-US"/>
              </w:rPr>
              <w:t>га</w:t>
            </w:r>
          </w:p>
        </w:tc>
        <w:tc>
          <w:tcPr>
            <w:tcW w:w="1699" w:type="dxa"/>
            <w:tcBorders/>
            <w:shd w:color="auto" w:fill="auto" w:val="clear"/>
          </w:tcPr>
          <w:p>
            <w:pPr>
              <w:pStyle w:val="Normal"/>
              <w:spacing w:lineRule="auto" w:line="240"/>
              <w:jc w:val="center"/>
              <w:rPr>
                <w:rFonts w:eastAsia="Times New Roman"/>
                <w:sz w:val="20"/>
                <w:szCs w:val="21"/>
              </w:rPr>
            </w:pPr>
            <w:r>
              <w:rPr>
                <w:rFonts w:eastAsia="Calibri" w:cs="" w:cstheme="minorBidi" w:eastAsiaTheme="minorHAnsi" w:ascii="Calibri" w:hAnsi="Calibri"/>
                <w:sz w:val="20"/>
                <w:szCs w:val="21"/>
                <w:lang w:eastAsia="en-US"/>
              </w:rPr>
              <w:t>2,32</w:t>
            </w:r>
          </w:p>
        </w:tc>
        <w:tc>
          <w:tcPr>
            <w:tcW w:w="1284" w:type="dxa"/>
            <w:tcBorders/>
            <w:shd w:color="auto" w:fill="auto" w:val="clear"/>
          </w:tcPr>
          <w:p>
            <w:pPr>
              <w:pStyle w:val="Normal"/>
              <w:spacing w:lineRule="auto" w:line="240"/>
              <w:jc w:val="center"/>
              <w:rPr>
                <w:sz w:val="20"/>
                <w:szCs w:val="21"/>
              </w:rPr>
            </w:pPr>
            <w:r>
              <w:rPr>
                <w:rFonts w:eastAsia="Calibri" w:cs="" w:cstheme="minorBidi" w:eastAsiaTheme="minorHAnsi" w:ascii="Calibri" w:hAnsi="Calibri"/>
                <w:sz w:val="20"/>
                <w:szCs w:val="21"/>
                <w:lang w:eastAsia="en-US"/>
              </w:rPr>
              <w:t>2,32</w:t>
            </w:r>
          </w:p>
        </w:tc>
      </w:tr>
      <w:tr>
        <w:trPr>
          <w:trHeight w:val="617" w:hRule="atLeast"/>
        </w:trPr>
        <w:tc>
          <w:tcPr>
            <w:tcW w:w="704" w:type="dxa"/>
            <w:vMerge w:val="continue"/>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tcPr>
          <w:p>
            <w:pPr>
              <w:pStyle w:val="Normal"/>
              <w:spacing w:lineRule="auto" w:line="240"/>
              <w:jc w:val="left"/>
              <w:rPr>
                <w:sz w:val="20"/>
                <w:szCs w:val="20"/>
              </w:rPr>
            </w:pPr>
            <w:r>
              <w:rPr>
                <w:rFonts w:eastAsia="Times New Roman" w:cs="" w:cstheme="minorBidi" w:ascii="Calibri" w:hAnsi="Calibri"/>
                <w:sz w:val="20"/>
                <w:szCs w:val="20"/>
                <w:lang w:eastAsia="en-US"/>
              </w:rPr>
              <w:t>Зона лесов</w:t>
            </w:r>
          </w:p>
        </w:tc>
        <w:tc>
          <w:tcPr>
            <w:tcW w:w="1559" w:type="dxa"/>
            <w:tcBorders/>
          </w:tcPr>
          <w:p>
            <w:pPr>
              <w:pStyle w:val="Normal"/>
              <w:spacing w:lineRule="auto" w:line="240"/>
              <w:jc w:val="center"/>
              <w:rPr>
                <w:rFonts w:eastAsia="Times New Roman"/>
                <w:sz w:val="20"/>
                <w:szCs w:val="20"/>
              </w:rPr>
            </w:pPr>
            <w:r>
              <w:rPr>
                <w:rFonts w:eastAsia="Times New Roman" w:cs="" w:cstheme="minorBidi" w:ascii="Calibri" w:hAnsi="Calibri"/>
                <w:sz w:val="20"/>
                <w:szCs w:val="20"/>
                <w:lang w:eastAsia="en-US"/>
              </w:rPr>
              <w:t>га</w:t>
            </w:r>
          </w:p>
        </w:tc>
        <w:tc>
          <w:tcPr>
            <w:tcW w:w="1699" w:type="dxa"/>
            <w:tcBorders/>
            <w:shd w:color="auto" w:fill="auto" w:val="clear"/>
          </w:tcPr>
          <w:p>
            <w:pPr>
              <w:pStyle w:val="Normal"/>
              <w:spacing w:lineRule="auto" w:line="240"/>
              <w:jc w:val="center"/>
              <w:rPr>
                <w:rFonts w:eastAsia="Times New Roman"/>
                <w:sz w:val="20"/>
                <w:szCs w:val="21"/>
              </w:rPr>
            </w:pPr>
            <w:r>
              <w:rPr>
                <w:rFonts w:eastAsia="Calibri" w:cs="" w:cstheme="minorBidi" w:eastAsiaTheme="minorHAnsi" w:ascii="Calibri" w:hAnsi="Calibri"/>
                <w:sz w:val="20"/>
                <w:szCs w:val="21"/>
                <w:lang w:eastAsia="en-US"/>
              </w:rPr>
              <w:t>1042,61</w:t>
            </w:r>
          </w:p>
        </w:tc>
        <w:tc>
          <w:tcPr>
            <w:tcW w:w="1284" w:type="dxa"/>
            <w:tcBorders/>
            <w:shd w:color="auto" w:fill="auto" w:val="clear"/>
          </w:tcPr>
          <w:p>
            <w:pPr>
              <w:pStyle w:val="Normal"/>
              <w:spacing w:lineRule="auto" w:line="240"/>
              <w:jc w:val="center"/>
              <w:rPr>
                <w:sz w:val="20"/>
                <w:szCs w:val="21"/>
              </w:rPr>
            </w:pPr>
            <w:r>
              <w:rPr>
                <w:rFonts w:eastAsia="Calibri" w:cs="" w:cstheme="minorBidi" w:eastAsiaTheme="minorHAnsi" w:ascii="Calibri" w:hAnsi="Calibri"/>
                <w:sz w:val="20"/>
                <w:szCs w:val="21"/>
                <w:lang w:eastAsia="en-US"/>
              </w:rPr>
              <w:t>1042,61</w:t>
            </w:r>
          </w:p>
        </w:tc>
      </w:tr>
      <w:tr>
        <w:trPr>
          <w:trHeight w:val="20" w:hRule="atLeast"/>
        </w:trPr>
        <w:tc>
          <w:tcPr>
            <w:tcW w:w="704" w:type="dxa"/>
            <w:vMerge w:val="continue"/>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tcPr>
          <w:p>
            <w:pPr>
              <w:pStyle w:val="Normal"/>
              <w:spacing w:lineRule="auto" w:line="240"/>
              <w:jc w:val="left"/>
              <w:rPr>
                <w:sz w:val="20"/>
                <w:szCs w:val="20"/>
              </w:rPr>
            </w:pPr>
            <w:r>
              <w:rPr>
                <w:rFonts w:eastAsia="Times New Roman" w:cs="" w:cstheme="minorBidi" w:ascii="Calibri" w:hAnsi="Calibri"/>
                <w:sz w:val="20"/>
                <w:szCs w:val="20"/>
                <w:lang w:eastAsia="en-US"/>
              </w:rPr>
              <w:t>Зона кладбищ</w:t>
            </w:r>
          </w:p>
        </w:tc>
        <w:tc>
          <w:tcPr>
            <w:tcW w:w="1559" w:type="dxa"/>
            <w:tcBorders/>
          </w:tcPr>
          <w:p>
            <w:pPr>
              <w:pStyle w:val="Normal"/>
              <w:spacing w:lineRule="auto" w:line="240"/>
              <w:jc w:val="center"/>
              <w:rPr>
                <w:rFonts w:eastAsia="Times New Roman"/>
                <w:sz w:val="20"/>
                <w:szCs w:val="20"/>
              </w:rPr>
            </w:pPr>
            <w:r>
              <w:rPr>
                <w:rFonts w:eastAsia="Times New Roman" w:cs="" w:cstheme="minorBidi" w:ascii="Calibri" w:hAnsi="Calibri"/>
                <w:sz w:val="20"/>
                <w:szCs w:val="20"/>
                <w:lang w:eastAsia="en-US"/>
              </w:rPr>
              <w:t>га</w:t>
            </w:r>
          </w:p>
        </w:tc>
        <w:tc>
          <w:tcPr>
            <w:tcW w:w="1699" w:type="dxa"/>
            <w:tcBorders/>
          </w:tcPr>
          <w:p>
            <w:pPr>
              <w:pStyle w:val="Normal"/>
              <w:spacing w:lineRule="auto" w:line="240"/>
              <w:jc w:val="center"/>
              <w:rPr>
                <w:rFonts w:eastAsia="Times New Roman"/>
                <w:sz w:val="20"/>
                <w:szCs w:val="21"/>
              </w:rPr>
            </w:pPr>
            <w:r>
              <w:rPr>
                <w:rFonts w:eastAsia="Calibri" w:cs="" w:cstheme="minorBidi" w:eastAsiaTheme="minorHAnsi" w:ascii="Calibri" w:hAnsi="Calibri"/>
                <w:sz w:val="20"/>
                <w:szCs w:val="21"/>
                <w:lang w:eastAsia="en-US"/>
              </w:rPr>
              <w:t>3,99</w:t>
            </w:r>
          </w:p>
        </w:tc>
        <w:tc>
          <w:tcPr>
            <w:tcW w:w="1284" w:type="dxa"/>
            <w:tcBorders/>
            <w:shd w:color="auto" w:fill="auto" w:val="clear"/>
          </w:tcPr>
          <w:p>
            <w:pPr>
              <w:pStyle w:val="Normal"/>
              <w:spacing w:lineRule="auto" w:line="240"/>
              <w:jc w:val="center"/>
              <w:rPr>
                <w:sz w:val="20"/>
                <w:szCs w:val="21"/>
              </w:rPr>
            </w:pPr>
            <w:r>
              <w:rPr>
                <w:rFonts w:eastAsia="Calibri" w:cs="" w:cstheme="minorBidi" w:eastAsiaTheme="minorHAnsi" w:ascii="Calibri" w:hAnsi="Calibri"/>
                <w:sz w:val="20"/>
                <w:szCs w:val="21"/>
                <w:lang w:eastAsia="en-US"/>
              </w:rPr>
              <w:t>3,99</w:t>
            </w:r>
          </w:p>
        </w:tc>
      </w:tr>
      <w:tr>
        <w:trPr>
          <w:trHeight w:val="20" w:hRule="atLeast"/>
        </w:trPr>
        <w:tc>
          <w:tcPr>
            <w:tcW w:w="704" w:type="dxa"/>
            <w:vMerge w:val="continue"/>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tcPr>
          <w:p>
            <w:pPr>
              <w:pStyle w:val="Normal"/>
              <w:spacing w:lineRule="auto" w:line="240"/>
              <w:jc w:val="left"/>
              <w:rPr>
                <w:rFonts w:eastAsia="Times New Roman"/>
                <w:sz w:val="20"/>
                <w:szCs w:val="20"/>
              </w:rPr>
            </w:pPr>
            <w:r>
              <w:rPr>
                <w:rFonts w:eastAsia="Times New Roman" w:cs="" w:cstheme="minorBidi" w:ascii="Calibri" w:hAnsi="Calibri"/>
                <w:sz w:val="20"/>
                <w:szCs w:val="20"/>
                <w:lang w:eastAsia="en-US"/>
              </w:rPr>
              <w:t>Зона озелененных территорий специального назначения</w:t>
            </w:r>
          </w:p>
        </w:tc>
        <w:tc>
          <w:tcPr>
            <w:tcW w:w="1559" w:type="dxa"/>
            <w:tcBorders/>
          </w:tcPr>
          <w:p>
            <w:pPr>
              <w:pStyle w:val="Normal"/>
              <w:spacing w:lineRule="auto" w:line="240"/>
              <w:jc w:val="center"/>
              <w:rPr>
                <w:rFonts w:eastAsia="Times New Roman"/>
                <w:sz w:val="20"/>
                <w:szCs w:val="20"/>
              </w:rPr>
            </w:pPr>
            <w:r>
              <w:rPr>
                <w:rFonts w:eastAsia="Times New Roman" w:cs="" w:cstheme="minorBidi" w:ascii="Calibri" w:hAnsi="Calibri"/>
                <w:sz w:val="20"/>
                <w:szCs w:val="20"/>
                <w:lang w:eastAsia="en-US"/>
              </w:rPr>
              <w:t>га</w:t>
            </w:r>
          </w:p>
        </w:tc>
        <w:tc>
          <w:tcPr>
            <w:tcW w:w="1699" w:type="dxa"/>
            <w:tcBorders/>
            <w:shd w:color="auto" w:fill="auto"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46,65</w:t>
            </w:r>
          </w:p>
        </w:tc>
        <w:tc>
          <w:tcPr>
            <w:tcW w:w="1284" w:type="dxa"/>
            <w:tcBorders/>
            <w:shd w:color="auto" w:fill="auto"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46,65</w:t>
            </w:r>
          </w:p>
        </w:tc>
      </w:tr>
      <w:tr>
        <w:trPr>
          <w:trHeight w:val="20" w:hRule="atLeast"/>
        </w:trPr>
        <w:tc>
          <w:tcPr>
            <w:tcW w:w="704" w:type="dxa"/>
            <w:vMerge w:val="continue"/>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tcPr>
          <w:p>
            <w:pPr>
              <w:pStyle w:val="Normal"/>
              <w:spacing w:lineRule="auto" w:line="240"/>
              <w:jc w:val="left"/>
              <w:rPr>
                <w:rFonts w:eastAsia="Times New Roman"/>
                <w:sz w:val="20"/>
                <w:szCs w:val="20"/>
              </w:rPr>
            </w:pPr>
            <w:r>
              <w:rPr>
                <w:rFonts w:eastAsia="Times New Roman" w:cs="" w:cstheme="minorBidi" w:ascii="Calibri" w:hAnsi="Calibri"/>
                <w:sz w:val="20"/>
                <w:szCs w:val="20"/>
                <w:lang w:eastAsia="en-US"/>
              </w:rPr>
              <w:t>Иные зоны</w:t>
            </w:r>
          </w:p>
        </w:tc>
        <w:tc>
          <w:tcPr>
            <w:tcW w:w="1559" w:type="dxa"/>
            <w:tcBorders/>
          </w:tcPr>
          <w:p>
            <w:pPr>
              <w:pStyle w:val="Normal"/>
              <w:spacing w:lineRule="auto" w:line="240"/>
              <w:jc w:val="center"/>
              <w:rPr>
                <w:rFonts w:eastAsia="Times New Roman"/>
                <w:sz w:val="20"/>
                <w:szCs w:val="20"/>
                <w:lang w:val="en-US"/>
              </w:rPr>
            </w:pPr>
            <w:r>
              <w:rPr>
                <w:rFonts w:eastAsia="Times New Roman" w:cs="" w:cstheme="minorBidi" w:ascii="Calibri" w:hAnsi="Calibri"/>
                <w:sz w:val="20"/>
                <w:szCs w:val="20"/>
                <w:lang w:eastAsia="en-US"/>
              </w:rPr>
              <w:t>га</w:t>
            </w:r>
          </w:p>
        </w:tc>
        <w:tc>
          <w:tcPr>
            <w:tcW w:w="1699" w:type="dxa"/>
            <w:tcBorders/>
            <w:shd w:color="auto" w:fill="auto"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6734,51</w:t>
            </w:r>
          </w:p>
        </w:tc>
        <w:tc>
          <w:tcPr>
            <w:tcW w:w="1284" w:type="dxa"/>
            <w:tcBorders/>
            <w:shd w:color="auto" w:fill="auto"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6730,64</w:t>
            </w:r>
          </w:p>
        </w:tc>
      </w:tr>
      <w:tr>
        <w:trPr>
          <w:trHeight w:val="20" w:hRule="atLeast"/>
        </w:trPr>
        <w:tc>
          <w:tcPr>
            <w:tcW w:w="704" w:type="dxa"/>
            <w:tcBorders/>
          </w:tcPr>
          <w:p>
            <w:pPr>
              <w:pStyle w:val="Normal"/>
              <w:spacing w:lineRule="auto" w:line="240"/>
              <w:jc w:val="center"/>
              <w:rPr>
                <w:rFonts w:eastAsia="Times New Roman"/>
                <w:b/>
                <w:b/>
                <w:sz w:val="20"/>
                <w:szCs w:val="21"/>
              </w:rPr>
            </w:pPr>
            <w:r>
              <w:rPr>
                <w:rFonts w:eastAsia="Times New Roman" w:cs="" w:cstheme="minorBidi" w:ascii="Calibri" w:hAnsi="Calibri"/>
                <w:b/>
                <w:sz w:val="20"/>
                <w:szCs w:val="21"/>
                <w:lang w:eastAsia="en-US"/>
              </w:rPr>
              <w:t>2</w:t>
            </w:r>
          </w:p>
        </w:tc>
        <w:tc>
          <w:tcPr>
            <w:tcW w:w="9217" w:type="dxa"/>
            <w:gridSpan w:val="4"/>
            <w:tcBorders/>
          </w:tcPr>
          <w:p>
            <w:pPr>
              <w:pStyle w:val="Normal"/>
              <w:spacing w:lineRule="auto" w:line="240"/>
              <w:jc w:val="left"/>
              <w:rPr>
                <w:rFonts w:eastAsia="Times New Roman"/>
                <w:b/>
                <w:b/>
                <w:sz w:val="20"/>
                <w:szCs w:val="21"/>
              </w:rPr>
            </w:pPr>
            <w:r>
              <w:rPr>
                <w:rFonts w:eastAsia="Times New Roman" w:cs="" w:cstheme="minorBidi" w:ascii="Calibri" w:hAnsi="Calibri"/>
                <w:b/>
                <w:sz w:val="20"/>
                <w:szCs w:val="21"/>
                <w:lang w:eastAsia="en-US"/>
              </w:rPr>
              <w:t>Население</w:t>
            </w:r>
          </w:p>
        </w:tc>
      </w:tr>
      <w:tr>
        <w:trPr>
          <w:trHeight w:val="20" w:hRule="atLeast"/>
        </w:trPr>
        <w:tc>
          <w:tcPr>
            <w:tcW w:w="70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2.1</w:t>
            </w:r>
          </w:p>
        </w:tc>
        <w:tc>
          <w:tcPr>
            <w:tcW w:w="4675" w:type="dxa"/>
            <w:tcBorders/>
          </w:tcPr>
          <w:p>
            <w:pPr>
              <w:pStyle w:val="Normal"/>
              <w:spacing w:lineRule="auto" w:line="240"/>
              <w:jc w:val="left"/>
              <w:rPr>
                <w:rFonts w:eastAsia="Times New Roman"/>
                <w:sz w:val="20"/>
                <w:szCs w:val="21"/>
              </w:rPr>
            </w:pPr>
            <w:r>
              <w:rPr>
                <w:rFonts w:eastAsia="Times New Roman" w:cs="" w:cstheme="minorBidi" w:ascii="Calibri" w:hAnsi="Calibri"/>
                <w:sz w:val="20"/>
                <w:szCs w:val="21"/>
                <w:lang w:eastAsia="en-US"/>
              </w:rPr>
              <w:t>Численность постоянного населения</w:t>
            </w:r>
          </w:p>
        </w:tc>
        <w:tc>
          <w:tcPr>
            <w:tcW w:w="155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человек</w:t>
            </w:r>
          </w:p>
        </w:tc>
        <w:tc>
          <w:tcPr>
            <w:tcW w:w="1699" w:type="dxa"/>
            <w:tcBorders/>
          </w:tcPr>
          <w:p>
            <w:pPr>
              <w:pStyle w:val="Normal"/>
              <w:spacing w:lineRule="auto" w:line="240"/>
              <w:jc w:val="center"/>
              <w:rPr>
                <w:rFonts w:eastAsia="Times New Roman"/>
                <w:sz w:val="20"/>
                <w:szCs w:val="20"/>
              </w:rPr>
            </w:pPr>
            <w:r>
              <w:rPr>
                <w:rFonts w:eastAsia="Times New Roman" w:cs="" w:cstheme="minorBidi" w:ascii="Calibri" w:hAnsi="Calibri"/>
                <w:sz w:val="20"/>
                <w:szCs w:val="20"/>
                <w:lang w:eastAsia="ru-RU"/>
              </w:rPr>
              <w:t>1197</w:t>
            </w:r>
          </w:p>
        </w:tc>
        <w:tc>
          <w:tcPr>
            <w:tcW w:w="1284" w:type="dxa"/>
            <w:tcBorders/>
          </w:tcPr>
          <w:p>
            <w:pPr>
              <w:pStyle w:val="Normal"/>
              <w:spacing w:lineRule="auto" w:line="240"/>
              <w:jc w:val="center"/>
              <w:rPr>
                <w:rFonts w:eastAsia="Times New Roman"/>
                <w:sz w:val="20"/>
                <w:szCs w:val="20"/>
              </w:rPr>
            </w:pPr>
            <w:r>
              <w:rPr>
                <w:rFonts w:eastAsia="Calibri" w:cs="" w:cstheme="minorBidi" w:eastAsiaTheme="minorHAnsi" w:ascii="Calibri" w:hAnsi="Calibri"/>
                <w:sz w:val="20"/>
                <w:szCs w:val="20"/>
                <w:lang w:eastAsia="en-US"/>
              </w:rPr>
              <w:t>1523</w:t>
            </w:r>
          </w:p>
        </w:tc>
      </w:tr>
      <w:tr>
        <w:trPr>
          <w:trHeight w:val="148" w:hRule="atLeast"/>
        </w:trPr>
        <w:tc>
          <w:tcPr>
            <w:tcW w:w="704" w:type="dxa"/>
            <w:tcBorders/>
          </w:tcPr>
          <w:p>
            <w:pPr>
              <w:pStyle w:val="Normal"/>
              <w:spacing w:lineRule="auto" w:line="240"/>
              <w:jc w:val="center"/>
              <w:rPr>
                <w:rFonts w:eastAsia="Times New Roman"/>
                <w:b/>
                <w:b/>
                <w:sz w:val="20"/>
                <w:szCs w:val="20"/>
              </w:rPr>
            </w:pPr>
            <w:r>
              <w:rPr>
                <w:rFonts w:eastAsia="Times New Roman" w:cs="" w:cstheme="minorBidi" w:ascii="Calibri" w:hAnsi="Calibri"/>
                <w:b/>
                <w:sz w:val="20"/>
                <w:szCs w:val="20"/>
                <w:lang w:eastAsia="en-US"/>
              </w:rPr>
              <w:t>3</w:t>
            </w:r>
          </w:p>
        </w:tc>
        <w:tc>
          <w:tcPr>
            <w:tcW w:w="9217" w:type="dxa"/>
            <w:gridSpan w:val="4"/>
            <w:tcBorders/>
          </w:tcPr>
          <w:p>
            <w:pPr>
              <w:pStyle w:val="Normal"/>
              <w:spacing w:lineRule="auto" w:line="240"/>
              <w:jc w:val="left"/>
              <w:rPr>
                <w:b/>
                <w:b/>
                <w:sz w:val="20"/>
                <w:szCs w:val="21"/>
              </w:rPr>
            </w:pPr>
            <w:r>
              <w:rPr>
                <w:rFonts w:eastAsia="Calibri" w:cs="" w:cstheme="minorBidi" w:eastAsiaTheme="minorHAnsi" w:ascii="Calibri" w:hAnsi="Calibri"/>
                <w:b/>
                <w:sz w:val="20"/>
                <w:szCs w:val="21"/>
                <w:lang w:eastAsia="en-US"/>
              </w:rPr>
              <w:t>Жилищный фонд</w:t>
            </w:r>
          </w:p>
        </w:tc>
      </w:tr>
      <w:tr>
        <w:trPr>
          <w:trHeight w:val="20" w:hRule="atLeast"/>
        </w:trPr>
        <w:tc>
          <w:tcPr>
            <w:tcW w:w="704" w:type="dxa"/>
            <w:tcBorders/>
          </w:tcPr>
          <w:p>
            <w:pPr>
              <w:pStyle w:val="Normal"/>
              <w:spacing w:lineRule="auto" w:line="240"/>
              <w:jc w:val="center"/>
              <w:rPr>
                <w:rFonts w:eastAsia="Times New Roman"/>
                <w:sz w:val="20"/>
                <w:szCs w:val="20"/>
              </w:rPr>
            </w:pPr>
            <w:r>
              <w:rPr>
                <w:rFonts w:eastAsia="Times New Roman" w:cs="" w:cstheme="minorBidi" w:ascii="Calibri" w:hAnsi="Calibri"/>
                <w:sz w:val="20"/>
                <w:szCs w:val="20"/>
                <w:lang w:eastAsia="en-US"/>
              </w:rPr>
              <w:t>3.1</w:t>
            </w:r>
          </w:p>
        </w:tc>
        <w:tc>
          <w:tcPr>
            <w:tcW w:w="4675" w:type="dxa"/>
            <w:tcBorders/>
          </w:tcPr>
          <w:p>
            <w:pPr>
              <w:pStyle w:val="Normal"/>
              <w:spacing w:lineRule="auto" w:line="240"/>
              <w:jc w:val="left"/>
              <w:rPr>
                <w:rFonts w:eastAsia="Times New Roman"/>
                <w:sz w:val="20"/>
                <w:szCs w:val="20"/>
              </w:rPr>
            </w:pPr>
            <w:r>
              <w:rPr>
                <w:rFonts w:eastAsia="Times New Roman" w:cs="" w:cstheme="minorBidi" w:ascii="Calibri" w:hAnsi="Calibri"/>
                <w:sz w:val="20"/>
                <w:szCs w:val="20"/>
                <w:lang w:eastAsia="en-US"/>
              </w:rPr>
              <w:t>Общий объем жилого фонда, в том числе:</w:t>
            </w:r>
          </w:p>
        </w:tc>
        <w:tc>
          <w:tcPr>
            <w:tcW w:w="1559" w:type="dxa"/>
            <w:tcBorders/>
          </w:tcPr>
          <w:p>
            <w:pPr>
              <w:pStyle w:val="Normal"/>
              <w:spacing w:lineRule="auto" w:line="240"/>
              <w:jc w:val="center"/>
              <w:rPr>
                <w:rFonts w:eastAsia="Times New Roman"/>
                <w:sz w:val="20"/>
                <w:szCs w:val="20"/>
              </w:rPr>
            </w:pPr>
            <w:r>
              <w:rPr>
                <w:rFonts w:eastAsia="Times New Roman" w:cs="" w:cstheme="minorBidi" w:ascii="Calibri" w:hAnsi="Calibri"/>
                <w:sz w:val="20"/>
                <w:szCs w:val="20"/>
                <w:lang w:eastAsia="en-US"/>
              </w:rPr>
              <w:t>м</w:t>
            </w:r>
            <w:r>
              <w:rPr>
                <w:rFonts w:eastAsia="Times New Roman" w:cs="" w:cstheme="minorBidi" w:ascii="Calibri" w:hAnsi="Calibri"/>
                <w:sz w:val="20"/>
                <w:szCs w:val="20"/>
                <w:vertAlign w:val="superscript"/>
                <w:lang w:eastAsia="en-US"/>
              </w:rPr>
              <w:t>2</w:t>
            </w:r>
          </w:p>
        </w:tc>
        <w:tc>
          <w:tcPr>
            <w:tcW w:w="1699" w:type="dxa"/>
            <w:tcBorders/>
          </w:tcPr>
          <w:p>
            <w:pPr>
              <w:pStyle w:val="Normal"/>
              <w:spacing w:lineRule="auto" w:line="240"/>
              <w:jc w:val="center"/>
              <w:rPr>
                <w:sz w:val="20"/>
                <w:szCs w:val="21"/>
              </w:rPr>
            </w:pPr>
            <w:r>
              <w:rPr>
                <w:rFonts w:eastAsia="Calibri" w:cs="" w:cstheme="minorBidi" w:eastAsiaTheme="minorHAnsi" w:ascii="Calibri" w:hAnsi="Calibri"/>
                <w:sz w:val="20"/>
                <w:szCs w:val="21"/>
                <w:lang w:eastAsia="en-US"/>
              </w:rPr>
              <w:t>31200</w:t>
            </w:r>
          </w:p>
        </w:tc>
        <w:tc>
          <w:tcPr>
            <w:tcW w:w="1284" w:type="dxa"/>
            <w:tcBorders/>
          </w:tcPr>
          <w:p>
            <w:pPr>
              <w:pStyle w:val="Normal"/>
              <w:spacing w:lineRule="auto" w:line="240"/>
              <w:jc w:val="center"/>
              <w:rPr>
                <w:sz w:val="20"/>
                <w:szCs w:val="21"/>
              </w:rPr>
            </w:pPr>
            <w:r>
              <w:rPr>
                <w:rFonts w:eastAsia="Calibri" w:cs="" w:cstheme="minorBidi" w:eastAsiaTheme="minorHAnsi" w:ascii="Calibri" w:hAnsi="Calibri"/>
                <w:sz w:val="20"/>
                <w:szCs w:val="21"/>
                <w:lang w:eastAsia="en-US"/>
              </w:rPr>
              <w:t>31200</w:t>
            </w:r>
          </w:p>
        </w:tc>
      </w:tr>
      <w:tr>
        <w:trPr>
          <w:trHeight w:val="20" w:hRule="atLeast"/>
        </w:trPr>
        <w:tc>
          <w:tcPr>
            <w:tcW w:w="704" w:type="dxa"/>
            <w:tcBorders/>
          </w:tcPr>
          <w:p>
            <w:pPr>
              <w:pStyle w:val="Normal"/>
              <w:spacing w:lineRule="auto" w:line="240"/>
              <w:jc w:val="center"/>
              <w:rPr>
                <w:rFonts w:eastAsia="Times New Roman"/>
                <w:sz w:val="20"/>
                <w:szCs w:val="20"/>
              </w:rPr>
            </w:pPr>
            <w:r>
              <w:rPr>
                <w:rFonts w:eastAsia="Times New Roman" w:cs="" w:cstheme="minorBidi" w:ascii="Calibri" w:hAnsi="Calibri"/>
                <w:sz w:val="20"/>
                <w:szCs w:val="20"/>
                <w:lang w:eastAsia="en-US"/>
              </w:rPr>
              <w:t>3.2</w:t>
            </w:r>
          </w:p>
        </w:tc>
        <w:tc>
          <w:tcPr>
            <w:tcW w:w="4675" w:type="dxa"/>
            <w:tcBorders/>
          </w:tcPr>
          <w:p>
            <w:pPr>
              <w:pStyle w:val="Normal"/>
              <w:spacing w:lineRule="auto" w:line="240"/>
              <w:jc w:val="left"/>
              <w:rPr>
                <w:rFonts w:eastAsia="Times New Roman"/>
                <w:sz w:val="20"/>
                <w:szCs w:val="20"/>
              </w:rPr>
            </w:pPr>
            <w:r>
              <w:rPr>
                <w:rFonts w:eastAsia="Times New Roman" w:cs="" w:cstheme="minorBidi" w:ascii="Calibri" w:hAnsi="Calibri"/>
                <w:sz w:val="20"/>
                <w:szCs w:val="20"/>
                <w:lang w:eastAsia="en-US"/>
              </w:rPr>
              <w:t>Обеспеченность населения общей площадью жилого фонда</w:t>
            </w:r>
          </w:p>
        </w:tc>
        <w:tc>
          <w:tcPr>
            <w:tcW w:w="1559" w:type="dxa"/>
            <w:tcBorders/>
          </w:tcPr>
          <w:p>
            <w:pPr>
              <w:pStyle w:val="Normal"/>
              <w:spacing w:lineRule="auto" w:line="240"/>
              <w:jc w:val="center"/>
              <w:rPr>
                <w:rFonts w:eastAsia="Times New Roman"/>
                <w:sz w:val="20"/>
                <w:szCs w:val="20"/>
              </w:rPr>
            </w:pPr>
            <w:r>
              <w:rPr>
                <w:rFonts w:eastAsia="Times New Roman" w:cs="" w:cstheme="minorBidi" w:ascii="Calibri" w:hAnsi="Calibri"/>
                <w:sz w:val="20"/>
                <w:szCs w:val="20"/>
                <w:lang w:eastAsia="en-US"/>
              </w:rPr>
              <w:t>м</w:t>
            </w:r>
            <w:r>
              <w:rPr>
                <w:rFonts w:eastAsia="Times New Roman" w:cs="" w:cstheme="minorBidi" w:ascii="Calibri" w:hAnsi="Calibri"/>
                <w:sz w:val="20"/>
                <w:szCs w:val="20"/>
                <w:vertAlign w:val="superscript"/>
                <w:lang w:eastAsia="en-US"/>
              </w:rPr>
              <w:t>2</w:t>
            </w:r>
            <w:r>
              <w:rPr>
                <w:rFonts w:eastAsia="Times New Roman" w:cs="" w:cstheme="minorBidi" w:ascii="Calibri" w:hAnsi="Calibri"/>
                <w:sz w:val="20"/>
                <w:szCs w:val="20"/>
                <w:lang w:eastAsia="en-US"/>
              </w:rPr>
              <w:t>/человек</w:t>
            </w:r>
          </w:p>
        </w:tc>
        <w:tc>
          <w:tcPr>
            <w:tcW w:w="1699" w:type="dxa"/>
            <w:tcBorders/>
          </w:tcPr>
          <w:p>
            <w:pPr>
              <w:pStyle w:val="Normal"/>
              <w:spacing w:lineRule="auto" w:line="240"/>
              <w:jc w:val="center"/>
              <w:rPr>
                <w:sz w:val="20"/>
                <w:szCs w:val="21"/>
              </w:rPr>
            </w:pPr>
            <w:r>
              <w:rPr>
                <w:rFonts w:eastAsia="Calibri" w:cs="" w:cstheme="minorBidi" w:eastAsiaTheme="minorHAnsi" w:ascii="Calibri" w:hAnsi="Calibri"/>
                <w:sz w:val="20"/>
                <w:szCs w:val="21"/>
                <w:lang w:eastAsia="en-US"/>
              </w:rPr>
              <w:t>20,8</w:t>
            </w:r>
          </w:p>
        </w:tc>
        <w:tc>
          <w:tcPr>
            <w:tcW w:w="1284" w:type="dxa"/>
            <w:tcBorders/>
          </w:tcPr>
          <w:p>
            <w:pPr>
              <w:pStyle w:val="Normal"/>
              <w:spacing w:lineRule="auto" w:line="240"/>
              <w:jc w:val="center"/>
              <w:rPr>
                <w:sz w:val="20"/>
                <w:szCs w:val="21"/>
              </w:rPr>
            </w:pPr>
            <w:r>
              <w:rPr>
                <w:rFonts w:eastAsia="Calibri" w:cs="" w:cstheme="minorBidi" w:eastAsiaTheme="minorHAnsi" w:ascii="Calibri" w:hAnsi="Calibri"/>
                <w:sz w:val="20"/>
                <w:szCs w:val="21"/>
                <w:lang w:eastAsia="en-US"/>
              </w:rPr>
              <w:t>20,44</w:t>
            </w:r>
          </w:p>
        </w:tc>
      </w:tr>
      <w:tr>
        <w:trPr>
          <w:trHeight w:val="20" w:hRule="atLeast"/>
        </w:trPr>
        <w:tc>
          <w:tcPr>
            <w:tcW w:w="704" w:type="dxa"/>
            <w:tcBorders/>
          </w:tcPr>
          <w:p>
            <w:pPr>
              <w:pStyle w:val="Normal"/>
              <w:spacing w:lineRule="auto" w:line="240"/>
              <w:jc w:val="center"/>
              <w:rPr>
                <w:rFonts w:eastAsia="Times New Roman"/>
                <w:sz w:val="20"/>
                <w:szCs w:val="20"/>
              </w:rPr>
            </w:pPr>
            <w:r>
              <w:rPr>
                <w:rFonts w:eastAsia="Times New Roman" w:cs="" w:cstheme="minorBidi" w:ascii="Calibri" w:hAnsi="Calibri"/>
                <w:sz w:val="20"/>
                <w:szCs w:val="20"/>
                <w:lang w:eastAsia="en-US"/>
              </w:rPr>
              <w:t>3.3</w:t>
            </w:r>
          </w:p>
        </w:tc>
        <w:tc>
          <w:tcPr>
            <w:tcW w:w="4675" w:type="dxa"/>
            <w:tcBorders/>
          </w:tcPr>
          <w:p>
            <w:pPr>
              <w:pStyle w:val="Normal"/>
              <w:spacing w:lineRule="auto" w:line="240"/>
              <w:jc w:val="left"/>
              <w:rPr>
                <w:rFonts w:eastAsia="Times New Roman"/>
                <w:sz w:val="20"/>
                <w:szCs w:val="20"/>
              </w:rPr>
            </w:pPr>
            <w:r>
              <w:rPr>
                <w:rFonts w:eastAsia="Times New Roman" w:cs="" w:cstheme="minorBidi" w:ascii="Calibri" w:hAnsi="Calibri"/>
                <w:sz w:val="20"/>
                <w:szCs w:val="20"/>
                <w:lang w:eastAsia="en-US"/>
              </w:rPr>
              <w:t>Ввод нового жилого фонда по типу жилых домов</w:t>
            </w:r>
          </w:p>
        </w:tc>
        <w:tc>
          <w:tcPr>
            <w:tcW w:w="1559" w:type="dxa"/>
            <w:tcBorders/>
          </w:tcPr>
          <w:p>
            <w:pPr>
              <w:pStyle w:val="Normal"/>
              <w:spacing w:lineRule="auto" w:line="240"/>
              <w:jc w:val="center"/>
              <w:rPr>
                <w:rFonts w:eastAsia="Times New Roman"/>
                <w:sz w:val="20"/>
                <w:szCs w:val="20"/>
              </w:rPr>
            </w:pPr>
            <w:r>
              <w:rPr>
                <w:rFonts w:eastAsia="Times New Roman" w:cs="" w:cstheme="minorBidi" w:ascii="Calibri" w:hAnsi="Calibri"/>
                <w:sz w:val="20"/>
                <w:szCs w:val="20"/>
                <w:lang w:eastAsia="en-US"/>
              </w:rPr>
              <w:t>м</w:t>
            </w:r>
            <w:r>
              <w:rPr>
                <w:rFonts w:eastAsia="Times New Roman" w:cs="" w:cstheme="minorBidi" w:ascii="Calibri" w:hAnsi="Calibri"/>
                <w:sz w:val="20"/>
                <w:szCs w:val="20"/>
                <w:vertAlign w:val="superscript"/>
                <w:lang w:eastAsia="en-US"/>
              </w:rPr>
              <w:t>2</w:t>
            </w:r>
          </w:p>
        </w:tc>
        <w:tc>
          <w:tcPr>
            <w:tcW w:w="1699" w:type="dxa"/>
            <w:tcBorders/>
          </w:tcPr>
          <w:p>
            <w:pPr>
              <w:pStyle w:val="Normal"/>
              <w:spacing w:lineRule="auto" w:line="240"/>
              <w:jc w:val="center"/>
              <w:rPr>
                <w:sz w:val="20"/>
                <w:szCs w:val="21"/>
              </w:rPr>
            </w:pPr>
            <w:r>
              <w:rPr>
                <w:rFonts w:eastAsia="Calibri" w:cs="" w:cstheme="minorBidi" w:eastAsiaTheme="minorHAnsi" w:ascii="Calibri" w:hAnsi="Calibri"/>
                <w:sz w:val="20"/>
                <w:szCs w:val="21"/>
                <w:lang w:eastAsia="en-US"/>
              </w:rPr>
              <w:t>-</w:t>
            </w:r>
          </w:p>
        </w:tc>
        <w:tc>
          <w:tcPr>
            <w:tcW w:w="1284" w:type="dxa"/>
            <w:tcBorders/>
          </w:tcPr>
          <w:p>
            <w:pPr>
              <w:pStyle w:val="Normal"/>
              <w:spacing w:lineRule="auto" w:line="240"/>
              <w:jc w:val="center"/>
              <w:rPr>
                <w:sz w:val="20"/>
                <w:szCs w:val="21"/>
              </w:rPr>
            </w:pPr>
            <w:r>
              <w:rPr>
                <w:rFonts w:eastAsia="Calibri" w:cs="" w:cstheme="minorBidi" w:eastAsiaTheme="minorHAnsi" w:ascii="Calibri" w:hAnsi="Calibri"/>
                <w:sz w:val="20"/>
                <w:szCs w:val="21"/>
                <w:lang w:eastAsia="en-US"/>
              </w:rPr>
              <w:t>500</w:t>
            </w:r>
          </w:p>
        </w:tc>
      </w:tr>
      <w:tr>
        <w:trPr>
          <w:trHeight w:val="20" w:hRule="atLeast"/>
        </w:trPr>
        <w:tc>
          <w:tcPr>
            <w:tcW w:w="704" w:type="dxa"/>
            <w:tcBorders/>
          </w:tcPr>
          <w:p>
            <w:pPr>
              <w:pStyle w:val="Normal"/>
              <w:spacing w:lineRule="auto" w:line="240"/>
              <w:jc w:val="center"/>
              <w:rPr>
                <w:rFonts w:eastAsia="Times New Roman"/>
                <w:sz w:val="20"/>
                <w:szCs w:val="20"/>
              </w:rPr>
            </w:pPr>
            <w:r>
              <w:rPr>
                <w:rFonts w:eastAsia="Times New Roman" w:cs="" w:cstheme="minorBidi" w:ascii="Calibri" w:hAnsi="Calibri"/>
                <w:sz w:val="20"/>
                <w:szCs w:val="20"/>
                <w:lang w:eastAsia="en-US"/>
              </w:rPr>
              <w:t>3.4</w:t>
            </w:r>
          </w:p>
        </w:tc>
        <w:tc>
          <w:tcPr>
            <w:tcW w:w="4675" w:type="dxa"/>
            <w:tcBorders/>
          </w:tcPr>
          <w:p>
            <w:pPr>
              <w:pStyle w:val="Normal"/>
              <w:spacing w:lineRule="auto" w:line="240"/>
              <w:jc w:val="left"/>
              <w:rPr>
                <w:rFonts w:eastAsia="Times New Roman"/>
                <w:sz w:val="20"/>
                <w:szCs w:val="20"/>
              </w:rPr>
            </w:pPr>
            <w:r>
              <w:rPr>
                <w:rFonts w:eastAsia="Times New Roman" w:cs="" w:cstheme="minorBidi" w:ascii="Calibri" w:hAnsi="Calibri"/>
                <w:sz w:val="20"/>
                <w:szCs w:val="20"/>
                <w:lang w:eastAsia="en-US"/>
              </w:rPr>
              <w:t>Ликвидируемый аварийный жилищный фонд</w:t>
            </w:r>
          </w:p>
        </w:tc>
        <w:tc>
          <w:tcPr>
            <w:tcW w:w="1559" w:type="dxa"/>
            <w:tcBorders/>
          </w:tcPr>
          <w:p>
            <w:pPr>
              <w:pStyle w:val="Normal"/>
              <w:spacing w:lineRule="auto" w:line="240"/>
              <w:jc w:val="center"/>
              <w:rPr>
                <w:rFonts w:eastAsia="Times New Roman"/>
                <w:sz w:val="20"/>
                <w:szCs w:val="20"/>
              </w:rPr>
            </w:pPr>
            <w:r>
              <w:rPr>
                <w:rFonts w:eastAsia="Times New Roman" w:cs="" w:cstheme="minorBidi" w:ascii="Calibri" w:hAnsi="Calibri"/>
                <w:sz w:val="20"/>
                <w:szCs w:val="20"/>
                <w:lang w:eastAsia="en-US"/>
              </w:rPr>
              <w:t>м</w:t>
            </w:r>
            <w:r>
              <w:rPr>
                <w:rFonts w:eastAsia="Times New Roman" w:cs="" w:cstheme="minorBidi" w:ascii="Calibri" w:hAnsi="Calibri"/>
                <w:sz w:val="20"/>
                <w:szCs w:val="20"/>
                <w:vertAlign w:val="superscript"/>
                <w:lang w:eastAsia="en-US"/>
              </w:rPr>
              <w:t>2</w:t>
            </w:r>
          </w:p>
        </w:tc>
        <w:tc>
          <w:tcPr>
            <w:tcW w:w="1699" w:type="dxa"/>
            <w:tcBorders/>
            <w:shd w:color="auto" w:fill="auto" w:val="clear"/>
          </w:tcPr>
          <w:p>
            <w:pPr>
              <w:pStyle w:val="Normal"/>
              <w:spacing w:lineRule="auto" w:line="240"/>
              <w:jc w:val="center"/>
              <w:rPr>
                <w:sz w:val="20"/>
                <w:szCs w:val="21"/>
              </w:rPr>
            </w:pPr>
            <w:r>
              <w:rPr>
                <w:rFonts w:eastAsia="Calibri" w:cs="" w:cstheme="minorBidi" w:eastAsiaTheme="minorHAnsi" w:ascii="Calibri" w:hAnsi="Calibri"/>
                <w:sz w:val="20"/>
                <w:szCs w:val="21"/>
                <w:lang w:eastAsia="en-US"/>
              </w:rPr>
              <w:t>0</w:t>
            </w:r>
          </w:p>
        </w:tc>
        <w:tc>
          <w:tcPr>
            <w:tcW w:w="1284" w:type="dxa"/>
            <w:tcBorders/>
          </w:tcPr>
          <w:p>
            <w:pPr>
              <w:pStyle w:val="Normal"/>
              <w:spacing w:lineRule="auto" w:line="240"/>
              <w:jc w:val="center"/>
              <w:rPr>
                <w:sz w:val="20"/>
                <w:szCs w:val="21"/>
              </w:rPr>
            </w:pPr>
            <w:r>
              <w:rPr>
                <w:rFonts w:eastAsia="Calibri" w:cs="" w:cstheme="minorBidi" w:eastAsiaTheme="minorHAnsi" w:ascii="Calibri" w:hAnsi="Calibri"/>
                <w:sz w:val="20"/>
                <w:szCs w:val="21"/>
                <w:lang w:eastAsia="en-US"/>
              </w:rPr>
              <w:t>500</w:t>
            </w:r>
          </w:p>
        </w:tc>
      </w:tr>
      <w:tr>
        <w:trPr>
          <w:trHeight w:val="20" w:hRule="atLeast"/>
        </w:trPr>
        <w:tc>
          <w:tcPr>
            <w:tcW w:w="704" w:type="dxa"/>
            <w:tcBorders/>
          </w:tcPr>
          <w:p>
            <w:pPr>
              <w:pStyle w:val="Normal"/>
              <w:spacing w:lineRule="auto" w:line="240"/>
              <w:jc w:val="center"/>
              <w:rPr>
                <w:rFonts w:eastAsia="Times New Roman"/>
                <w:b/>
                <w:b/>
                <w:sz w:val="20"/>
                <w:szCs w:val="21"/>
              </w:rPr>
            </w:pPr>
            <w:r>
              <w:rPr>
                <w:rFonts w:eastAsia="Times New Roman" w:cs="" w:cstheme="minorBidi" w:ascii="Calibri" w:hAnsi="Calibri"/>
                <w:b/>
                <w:sz w:val="20"/>
                <w:szCs w:val="21"/>
                <w:lang w:eastAsia="en-US"/>
              </w:rPr>
              <w:t>4</w:t>
            </w:r>
          </w:p>
        </w:tc>
        <w:tc>
          <w:tcPr>
            <w:tcW w:w="9217" w:type="dxa"/>
            <w:gridSpan w:val="4"/>
            <w:tcBorders/>
          </w:tcPr>
          <w:p>
            <w:pPr>
              <w:pStyle w:val="Normal"/>
              <w:spacing w:lineRule="auto" w:line="240"/>
              <w:jc w:val="left"/>
              <w:rPr>
                <w:b/>
                <w:b/>
                <w:sz w:val="20"/>
                <w:szCs w:val="21"/>
              </w:rPr>
            </w:pPr>
            <w:r>
              <w:rPr>
                <w:rFonts w:eastAsia="Calibri" w:cs="" w:cstheme="minorBidi" w:eastAsiaTheme="minorHAnsi" w:ascii="Calibri" w:hAnsi="Calibri"/>
                <w:b/>
                <w:sz w:val="20"/>
                <w:szCs w:val="21"/>
                <w:lang w:eastAsia="en-US"/>
              </w:rPr>
              <w:t>Социальная инфраструктура</w:t>
            </w:r>
          </w:p>
        </w:tc>
      </w:tr>
      <w:tr>
        <w:trPr>
          <w:trHeight w:val="20" w:hRule="atLeast"/>
        </w:trPr>
        <w:tc>
          <w:tcPr>
            <w:tcW w:w="70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4.1</w:t>
            </w:r>
          </w:p>
        </w:tc>
        <w:tc>
          <w:tcPr>
            <w:tcW w:w="4675" w:type="dxa"/>
            <w:tcBorders/>
          </w:tcPr>
          <w:p>
            <w:pPr>
              <w:pStyle w:val="Normal"/>
              <w:spacing w:lineRule="auto" w:line="240"/>
              <w:jc w:val="left"/>
              <w:rPr>
                <w:rFonts w:eastAsia="Times New Roman"/>
                <w:sz w:val="20"/>
                <w:szCs w:val="21"/>
              </w:rPr>
            </w:pPr>
            <w:r>
              <w:rPr>
                <w:rFonts w:eastAsia="Times New Roman" w:cs="" w:cstheme="minorBidi" w:ascii="Calibri" w:hAnsi="Calibri"/>
                <w:sz w:val="20"/>
                <w:szCs w:val="21"/>
                <w:lang w:eastAsia="en-US"/>
              </w:rPr>
              <w:t>Дошкольные образовательные организации</w:t>
            </w:r>
          </w:p>
        </w:tc>
        <w:tc>
          <w:tcPr>
            <w:tcW w:w="155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объектов</w:t>
            </w:r>
          </w:p>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мест</w:t>
            </w:r>
          </w:p>
        </w:tc>
        <w:tc>
          <w:tcPr>
            <w:tcW w:w="169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 xml:space="preserve">1 </w:t>
            </w:r>
          </w:p>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120</w:t>
            </w:r>
          </w:p>
        </w:tc>
        <w:tc>
          <w:tcPr>
            <w:tcW w:w="128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4</w:t>
            </w:r>
          </w:p>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180</w:t>
            </w:r>
          </w:p>
        </w:tc>
      </w:tr>
      <w:tr>
        <w:trPr>
          <w:trHeight w:val="20" w:hRule="atLeast"/>
        </w:trPr>
        <w:tc>
          <w:tcPr>
            <w:tcW w:w="70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4.2</w:t>
            </w:r>
          </w:p>
        </w:tc>
        <w:tc>
          <w:tcPr>
            <w:tcW w:w="4675" w:type="dxa"/>
            <w:tcBorders/>
          </w:tcPr>
          <w:p>
            <w:pPr>
              <w:pStyle w:val="Normal"/>
              <w:spacing w:lineRule="auto" w:line="240"/>
              <w:jc w:val="left"/>
              <w:rPr>
                <w:rFonts w:eastAsia="Times New Roman"/>
                <w:sz w:val="20"/>
                <w:szCs w:val="21"/>
              </w:rPr>
            </w:pPr>
            <w:r>
              <w:rPr>
                <w:rFonts w:eastAsia="Times New Roman" w:cs="" w:cstheme="minorBidi" w:ascii="Calibri" w:hAnsi="Calibri"/>
                <w:sz w:val="20"/>
                <w:szCs w:val="21"/>
                <w:lang w:eastAsia="en-US"/>
              </w:rPr>
              <w:t>Общеобразовательные организации</w:t>
            </w:r>
          </w:p>
        </w:tc>
        <w:tc>
          <w:tcPr>
            <w:tcW w:w="155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объектов</w:t>
            </w:r>
          </w:p>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мест</w:t>
            </w:r>
          </w:p>
        </w:tc>
        <w:tc>
          <w:tcPr>
            <w:tcW w:w="169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1</w:t>
            </w:r>
          </w:p>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395</w:t>
            </w:r>
          </w:p>
        </w:tc>
        <w:tc>
          <w:tcPr>
            <w:tcW w:w="128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1</w:t>
            </w:r>
          </w:p>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395</w:t>
            </w:r>
          </w:p>
        </w:tc>
      </w:tr>
      <w:tr>
        <w:trPr>
          <w:trHeight w:val="20" w:hRule="atLeast"/>
        </w:trPr>
        <w:tc>
          <w:tcPr>
            <w:tcW w:w="70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4.3</w:t>
            </w:r>
          </w:p>
        </w:tc>
        <w:tc>
          <w:tcPr>
            <w:tcW w:w="4675" w:type="dxa"/>
            <w:tcBorders/>
          </w:tcPr>
          <w:p>
            <w:pPr>
              <w:pStyle w:val="Normal"/>
              <w:spacing w:lineRule="auto" w:line="240"/>
              <w:jc w:val="left"/>
              <w:rPr>
                <w:rFonts w:eastAsia="Times New Roman"/>
                <w:sz w:val="20"/>
                <w:szCs w:val="21"/>
              </w:rPr>
            </w:pPr>
            <w:r>
              <w:rPr>
                <w:rFonts w:eastAsia="Times New Roman" w:cs="" w:cstheme="minorBidi" w:ascii="Calibri" w:hAnsi="Calibri"/>
                <w:sz w:val="20"/>
                <w:szCs w:val="21"/>
                <w:lang w:eastAsia="en-US"/>
              </w:rPr>
              <w:t>Организации дополнительного образования</w:t>
            </w:r>
          </w:p>
        </w:tc>
        <w:tc>
          <w:tcPr>
            <w:tcW w:w="155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объектов</w:t>
            </w:r>
          </w:p>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мест</w:t>
            </w:r>
          </w:p>
        </w:tc>
        <w:tc>
          <w:tcPr>
            <w:tcW w:w="169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w:t>
            </w:r>
          </w:p>
        </w:tc>
        <w:tc>
          <w:tcPr>
            <w:tcW w:w="128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w:t>
            </w:r>
          </w:p>
        </w:tc>
      </w:tr>
      <w:tr>
        <w:trPr>
          <w:trHeight w:val="20" w:hRule="atLeast"/>
        </w:trPr>
        <w:tc>
          <w:tcPr>
            <w:tcW w:w="70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4.4</w:t>
            </w:r>
          </w:p>
        </w:tc>
        <w:tc>
          <w:tcPr>
            <w:tcW w:w="4675" w:type="dxa"/>
            <w:tcBorders/>
          </w:tcPr>
          <w:p>
            <w:pPr>
              <w:pStyle w:val="Normal"/>
              <w:spacing w:lineRule="auto" w:line="240"/>
              <w:jc w:val="left"/>
              <w:rPr>
                <w:rFonts w:eastAsia="Times New Roman"/>
                <w:sz w:val="20"/>
                <w:szCs w:val="21"/>
              </w:rPr>
            </w:pPr>
            <w:r>
              <w:rPr>
                <w:rFonts w:eastAsia="Times New Roman" w:cs="" w:cstheme="minorBidi" w:ascii="Calibri" w:hAnsi="Calibri"/>
                <w:sz w:val="20"/>
                <w:szCs w:val="21"/>
                <w:lang w:eastAsia="en-US"/>
              </w:rPr>
              <w:t>Объект культурно-просветительного назначения</w:t>
            </w:r>
          </w:p>
        </w:tc>
        <w:tc>
          <w:tcPr>
            <w:tcW w:w="155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объектов</w:t>
            </w:r>
          </w:p>
        </w:tc>
        <w:tc>
          <w:tcPr>
            <w:tcW w:w="169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w:t>
            </w:r>
          </w:p>
        </w:tc>
        <w:tc>
          <w:tcPr>
            <w:tcW w:w="128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w:t>
            </w:r>
          </w:p>
        </w:tc>
      </w:tr>
      <w:tr>
        <w:trPr>
          <w:trHeight w:val="20" w:hRule="atLeast"/>
        </w:trPr>
        <w:tc>
          <w:tcPr>
            <w:tcW w:w="704" w:type="dxa"/>
            <w:tcBorders/>
          </w:tcPr>
          <w:p>
            <w:pPr>
              <w:pStyle w:val="Normal"/>
              <w:spacing w:lineRule="auto" w:line="240"/>
              <w:jc w:val="center"/>
              <w:rPr>
                <w:rFonts w:eastAsia="Times New Roman"/>
                <w:sz w:val="20"/>
                <w:szCs w:val="21"/>
                <w:lang w:bidi="ru-RU"/>
              </w:rPr>
            </w:pPr>
            <w:r>
              <w:rPr>
                <w:rFonts w:eastAsia="Times New Roman" w:cs="" w:cstheme="minorBidi" w:ascii="Calibri" w:hAnsi="Calibri"/>
                <w:sz w:val="20"/>
                <w:szCs w:val="21"/>
                <w:lang w:eastAsia="en-US" w:bidi="ru-RU"/>
              </w:rPr>
              <w:t>4.5</w:t>
            </w:r>
          </w:p>
        </w:tc>
        <w:tc>
          <w:tcPr>
            <w:tcW w:w="4675" w:type="dxa"/>
            <w:tcBorders/>
          </w:tcPr>
          <w:p>
            <w:pPr>
              <w:pStyle w:val="Normal"/>
              <w:spacing w:lineRule="auto" w:line="240"/>
              <w:jc w:val="left"/>
              <w:rPr>
                <w:rFonts w:eastAsia="Times New Roman"/>
                <w:sz w:val="20"/>
                <w:szCs w:val="21"/>
              </w:rPr>
            </w:pPr>
            <w:r>
              <w:rPr>
                <w:rFonts w:eastAsia="Times New Roman" w:cs="" w:cstheme="minorBidi" w:ascii="Calibri" w:hAnsi="Calibri"/>
                <w:sz w:val="20"/>
                <w:szCs w:val="21"/>
                <w:lang w:eastAsia="en-US"/>
              </w:rPr>
              <w:t>Объект культурно-досугового (клубного) типа</w:t>
            </w:r>
          </w:p>
        </w:tc>
        <w:tc>
          <w:tcPr>
            <w:tcW w:w="155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объектов</w:t>
            </w:r>
          </w:p>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мест</w:t>
            </w:r>
          </w:p>
        </w:tc>
        <w:tc>
          <w:tcPr>
            <w:tcW w:w="169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4</w:t>
            </w:r>
          </w:p>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59</w:t>
            </w:r>
          </w:p>
        </w:tc>
        <w:tc>
          <w:tcPr>
            <w:tcW w:w="128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4</w:t>
            </w:r>
          </w:p>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59</w:t>
            </w:r>
          </w:p>
        </w:tc>
      </w:tr>
      <w:tr>
        <w:trPr>
          <w:trHeight w:val="20" w:hRule="atLeast"/>
        </w:trPr>
        <w:tc>
          <w:tcPr>
            <w:tcW w:w="70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4.5</w:t>
            </w:r>
          </w:p>
        </w:tc>
        <w:tc>
          <w:tcPr>
            <w:tcW w:w="4675" w:type="dxa"/>
            <w:tcBorders/>
          </w:tcPr>
          <w:p>
            <w:pPr>
              <w:pStyle w:val="Normal"/>
              <w:spacing w:lineRule="auto" w:line="240"/>
              <w:jc w:val="left"/>
              <w:rPr>
                <w:rFonts w:eastAsia="Times New Roman"/>
                <w:sz w:val="20"/>
                <w:szCs w:val="21"/>
              </w:rPr>
            </w:pPr>
            <w:r>
              <w:rPr>
                <w:rFonts w:eastAsia="Times New Roman" w:cs="" w:cstheme="minorBidi" w:ascii="Calibri" w:hAnsi="Calibri"/>
                <w:sz w:val="20"/>
                <w:szCs w:val="21"/>
                <w:lang w:eastAsia="en-US"/>
              </w:rPr>
              <w:t>Медицинские организации, оказывающая медицинскую помощь в амбулаторных условиях</w:t>
            </w:r>
          </w:p>
        </w:tc>
        <w:tc>
          <w:tcPr>
            <w:tcW w:w="155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объектов</w:t>
            </w:r>
          </w:p>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мест</w:t>
            </w:r>
          </w:p>
        </w:tc>
        <w:tc>
          <w:tcPr>
            <w:tcW w:w="169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4</w:t>
            </w:r>
          </w:p>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w:t>
            </w:r>
          </w:p>
        </w:tc>
        <w:tc>
          <w:tcPr>
            <w:tcW w:w="1284" w:type="dxa"/>
            <w:tcBorders/>
          </w:tcPr>
          <w:p>
            <w:pPr>
              <w:pStyle w:val="Normal"/>
              <w:tabs>
                <w:tab w:val="clear" w:pos="708"/>
                <w:tab w:val="left" w:pos="465" w:leader="none"/>
                <w:tab w:val="center" w:pos="534" w:leader="none"/>
              </w:tabs>
              <w:spacing w:lineRule="auto" w:line="240"/>
              <w:jc w:val="left"/>
              <w:rPr>
                <w:rFonts w:eastAsia="Times New Roman"/>
                <w:sz w:val="20"/>
                <w:szCs w:val="21"/>
              </w:rPr>
            </w:pPr>
            <w:r>
              <w:rPr>
                <w:rFonts w:eastAsia="Times New Roman" w:cs="" w:cstheme="minorBidi" w:ascii="Calibri" w:hAnsi="Calibri"/>
                <w:sz w:val="20"/>
                <w:szCs w:val="21"/>
                <w:lang w:eastAsia="en-US"/>
              </w:rPr>
              <w:tab/>
              <w:t>4</w:t>
            </w:r>
          </w:p>
          <w:p>
            <w:pPr>
              <w:pStyle w:val="Normal"/>
              <w:tabs>
                <w:tab w:val="clear" w:pos="708"/>
                <w:tab w:val="left" w:pos="465" w:leader="none"/>
                <w:tab w:val="center" w:pos="534" w:leader="none"/>
              </w:tabs>
              <w:spacing w:lineRule="auto" w:line="240"/>
              <w:jc w:val="center"/>
              <w:rPr>
                <w:rFonts w:eastAsia="Times New Roman"/>
                <w:sz w:val="20"/>
                <w:szCs w:val="21"/>
              </w:rPr>
            </w:pPr>
            <w:r>
              <w:rPr>
                <w:rFonts w:eastAsia="Times New Roman" w:cs="" w:cstheme="minorBidi" w:ascii="Calibri" w:hAnsi="Calibri"/>
                <w:sz w:val="20"/>
                <w:szCs w:val="21"/>
                <w:lang w:eastAsia="en-US"/>
              </w:rPr>
              <w:t>-</w:t>
            </w:r>
          </w:p>
        </w:tc>
      </w:tr>
      <w:tr>
        <w:trPr>
          <w:trHeight w:val="20" w:hRule="atLeast"/>
        </w:trPr>
        <w:tc>
          <w:tcPr>
            <w:tcW w:w="70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4.6</w:t>
            </w:r>
          </w:p>
        </w:tc>
        <w:tc>
          <w:tcPr>
            <w:tcW w:w="4675" w:type="dxa"/>
            <w:tcBorders/>
          </w:tcPr>
          <w:p>
            <w:pPr>
              <w:pStyle w:val="Normal"/>
              <w:spacing w:lineRule="auto" w:line="240"/>
              <w:jc w:val="left"/>
              <w:rPr>
                <w:rFonts w:eastAsia="Times New Roman"/>
                <w:sz w:val="20"/>
                <w:szCs w:val="21"/>
              </w:rPr>
            </w:pPr>
            <w:r>
              <w:rPr>
                <w:rFonts w:eastAsia="Times New Roman" w:cs="" w:cstheme="minorBidi" w:ascii="Calibri" w:hAnsi="Calibri"/>
                <w:sz w:val="20"/>
                <w:szCs w:val="21"/>
                <w:lang w:eastAsia="en-US"/>
              </w:rPr>
              <w:t>Объект спорта, включающий раздельно нормируемые спортивные сооружения</w:t>
            </w:r>
          </w:p>
          <w:p>
            <w:pPr>
              <w:pStyle w:val="Normal"/>
              <w:spacing w:lineRule="auto" w:line="240"/>
              <w:jc w:val="left"/>
              <w:rPr>
                <w:rFonts w:eastAsia="Times New Roman"/>
                <w:sz w:val="20"/>
                <w:szCs w:val="21"/>
              </w:rPr>
            </w:pPr>
            <w:r>
              <w:rPr>
                <w:rFonts w:eastAsia="Times New Roman" w:cs="" w:cstheme="minorBidi" w:ascii="Calibri" w:hAnsi="Calibri"/>
                <w:sz w:val="20"/>
                <w:szCs w:val="21"/>
                <w:lang w:eastAsia="en-US"/>
              </w:rPr>
              <w:t>(объекты) (в т.ч. физкультурно-оздоровительный комплекс)</w:t>
            </w:r>
          </w:p>
        </w:tc>
        <w:tc>
          <w:tcPr>
            <w:tcW w:w="155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объектов</w:t>
            </w:r>
          </w:p>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площадь, м</w:t>
            </w:r>
            <w:r>
              <w:rPr>
                <w:rFonts w:eastAsia="Times New Roman" w:cs="" w:cstheme="minorBidi" w:ascii="Calibri" w:hAnsi="Calibri"/>
                <w:sz w:val="20"/>
                <w:szCs w:val="21"/>
                <w:vertAlign w:val="superscript"/>
                <w:lang w:eastAsia="en-US"/>
              </w:rPr>
              <w:t>2</w:t>
            </w:r>
          </w:p>
        </w:tc>
        <w:tc>
          <w:tcPr>
            <w:tcW w:w="169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1</w:t>
            </w:r>
          </w:p>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w:t>
            </w:r>
          </w:p>
        </w:tc>
        <w:tc>
          <w:tcPr>
            <w:tcW w:w="1284" w:type="dxa"/>
            <w:tcBorders/>
          </w:tcPr>
          <w:p>
            <w:pPr>
              <w:pStyle w:val="Normal"/>
              <w:tabs>
                <w:tab w:val="clear" w:pos="708"/>
                <w:tab w:val="left" w:pos="930" w:leader="none"/>
                <w:tab w:val="center" w:pos="1009" w:leader="none"/>
              </w:tabs>
              <w:spacing w:lineRule="auto" w:line="240"/>
              <w:jc w:val="center"/>
              <w:rPr>
                <w:rFonts w:eastAsia="Times New Roman"/>
                <w:sz w:val="20"/>
                <w:szCs w:val="21"/>
              </w:rPr>
            </w:pPr>
            <w:r>
              <w:rPr>
                <w:rFonts w:eastAsia="Times New Roman" w:cs="" w:cstheme="minorBidi" w:ascii="Calibri" w:hAnsi="Calibri"/>
                <w:sz w:val="20"/>
                <w:szCs w:val="21"/>
                <w:lang w:eastAsia="en-US"/>
              </w:rPr>
              <w:t>5</w:t>
            </w:r>
          </w:p>
          <w:p>
            <w:pPr>
              <w:pStyle w:val="Normal"/>
              <w:tabs>
                <w:tab w:val="clear" w:pos="708"/>
                <w:tab w:val="left" w:pos="930" w:leader="none"/>
                <w:tab w:val="center" w:pos="1009" w:leader="none"/>
              </w:tabs>
              <w:spacing w:lineRule="auto" w:line="240"/>
              <w:jc w:val="center"/>
              <w:rPr>
                <w:rFonts w:eastAsia="Times New Roman"/>
                <w:sz w:val="20"/>
                <w:szCs w:val="21"/>
              </w:rPr>
            </w:pPr>
            <w:r>
              <w:rPr>
                <w:rFonts w:eastAsia="Times New Roman" w:cs="" w:cstheme="minorBidi" w:ascii="Calibri" w:hAnsi="Calibri"/>
                <w:sz w:val="20"/>
                <w:szCs w:val="21"/>
                <w:lang w:eastAsia="en-US"/>
              </w:rPr>
              <w:t>1150</w:t>
            </w:r>
          </w:p>
        </w:tc>
      </w:tr>
      <w:tr>
        <w:trPr>
          <w:trHeight w:val="20" w:hRule="atLeast"/>
        </w:trPr>
        <w:tc>
          <w:tcPr>
            <w:tcW w:w="70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4.7</w:t>
            </w:r>
          </w:p>
        </w:tc>
        <w:tc>
          <w:tcPr>
            <w:tcW w:w="4675" w:type="dxa"/>
            <w:tcBorders/>
          </w:tcPr>
          <w:p>
            <w:pPr>
              <w:pStyle w:val="Normal"/>
              <w:spacing w:lineRule="auto" w:line="240"/>
              <w:jc w:val="left"/>
              <w:rPr>
                <w:rFonts w:eastAsia="Times New Roman"/>
                <w:sz w:val="20"/>
                <w:szCs w:val="21"/>
                <w:lang w:bidi="ru-RU"/>
              </w:rPr>
            </w:pPr>
            <w:r>
              <w:rPr>
                <w:rFonts w:eastAsia="Times New Roman" w:cs="" w:cstheme="minorBidi" w:ascii="Calibri" w:hAnsi="Calibri"/>
                <w:sz w:val="20"/>
                <w:szCs w:val="21"/>
                <w:lang w:eastAsia="en-US" w:bidi="ru-RU"/>
              </w:rPr>
              <w:t>Объекты обеспечения пожарной безопасности</w:t>
            </w:r>
          </w:p>
        </w:tc>
        <w:tc>
          <w:tcPr>
            <w:tcW w:w="155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объектов</w:t>
            </w:r>
          </w:p>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автомобилей</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Times New Roman" w:cs="" w:cstheme="minorBidi" w:ascii="Calibri" w:hAnsi="Calibri"/>
                <w:color w:val="000000"/>
                <w:sz w:val="20"/>
                <w:szCs w:val="21"/>
                <w:lang w:eastAsia="en-US"/>
              </w:rPr>
              <w:t>1</w:t>
            </w:r>
          </w:p>
          <w:p>
            <w:pPr>
              <w:pStyle w:val="Normal"/>
              <w:spacing w:lineRule="auto" w:line="240"/>
              <w:jc w:val="center"/>
              <w:rPr>
                <w:rFonts w:eastAsia="Times New Roman"/>
                <w:sz w:val="20"/>
                <w:szCs w:val="21"/>
              </w:rPr>
            </w:pPr>
            <w:r>
              <w:rPr>
                <w:rFonts w:eastAsia="Times New Roman" w:cs="" w:cstheme="minorBidi" w:ascii="Calibri" w:hAnsi="Calibri"/>
                <w:color w:val="000000"/>
                <w:sz w:val="20"/>
                <w:szCs w:val="21"/>
                <w:lang w:eastAsia="en-US"/>
              </w:rPr>
              <w:t>-</w:t>
            </w:r>
          </w:p>
        </w:tc>
        <w:tc>
          <w:tcPr>
            <w:tcW w:w="128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1</w:t>
            </w:r>
          </w:p>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w:t>
            </w:r>
          </w:p>
        </w:tc>
      </w:tr>
      <w:tr>
        <w:trPr>
          <w:trHeight w:val="20" w:hRule="atLeast"/>
        </w:trPr>
        <w:tc>
          <w:tcPr>
            <w:tcW w:w="70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4.8</w:t>
            </w:r>
          </w:p>
        </w:tc>
        <w:tc>
          <w:tcPr>
            <w:tcW w:w="4675" w:type="dxa"/>
            <w:tcBorders/>
          </w:tcPr>
          <w:p>
            <w:pPr>
              <w:pStyle w:val="Normal"/>
              <w:spacing w:lineRule="auto" w:line="240"/>
              <w:jc w:val="left"/>
              <w:rPr>
                <w:rFonts w:eastAsia="Times New Roman"/>
                <w:sz w:val="20"/>
                <w:szCs w:val="21"/>
                <w:lang w:bidi="ru-RU"/>
              </w:rPr>
            </w:pPr>
            <w:r>
              <w:rPr>
                <w:rFonts w:eastAsia="Times New Roman" w:cs="" w:cstheme="minorBidi" w:ascii="Calibri" w:hAnsi="Calibri"/>
                <w:sz w:val="20"/>
                <w:szCs w:val="21"/>
                <w:lang w:eastAsia="en-US" w:bidi="ru-RU"/>
              </w:rPr>
              <w:t xml:space="preserve">Объекты утилизации и переработки отходов производства и потребления </w:t>
            </w:r>
          </w:p>
        </w:tc>
        <w:tc>
          <w:tcPr>
            <w:tcW w:w="155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объектов</w:t>
            </w:r>
          </w:p>
        </w:tc>
        <w:tc>
          <w:tcPr>
            <w:tcW w:w="169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w:t>
            </w:r>
          </w:p>
        </w:tc>
        <w:tc>
          <w:tcPr>
            <w:tcW w:w="128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w:t>
            </w:r>
          </w:p>
        </w:tc>
      </w:tr>
      <w:tr>
        <w:trPr>
          <w:trHeight w:val="20" w:hRule="atLeast"/>
        </w:trPr>
        <w:tc>
          <w:tcPr>
            <w:tcW w:w="70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4.9</w:t>
            </w:r>
          </w:p>
        </w:tc>
        <w:tc>
          <w:tcPr>
            <w:tcW w:w="4675" w:type="dxa"/>
            <w:tcBorders/>
          </w:tcPr>
          <w:p>
            <w:pPr>
              <w:pStyle w:val="Normal"/>
              <w:spacing w:lineRule="auto" w:line="240"/>
              <w:jc w:val="left"/>
              <w:rPr>
                <w:rFonts w:eastAsia="Times New Roman"/>
                <w:sz w:val="20"/>
                <w:szCs w:val="21"/>
                <w:lang w:bidi="ru-RU"/>
              </w:rPr>
            </w:pPr>
            <w:r>
              <w:rPr>
                <w:rFonts w:eastAsia="Times New Roman" w:cs="" w:cstheme="minorBidi" w:ascii="Calibri" w:hAnsi="Calibri"/>
                <w:sz w:val="20"/>
                <w:szCs w:val="21"/>
                <w:lang w:eastAsia="en-US" w:bidi="ru-RU"/>
              </w:rPr>
              <w:t>Кладбища</w:t>
            </w:r>
          </w:p>
        </w:tc>
        <w:tc>
          <w:tcPr>
            <w:tcW w:w="155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объектов</w:t>
            </w:r>
          </w:p>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свободная площадь для захоронения/га</w:t>
            </w:r>
          </w:p>
        </w:tc>
        <w:tc>
          <w:tcPr>
            <w:tcW w:w="1699" w:type="dxa"/>
            <w:tcBorders/>
          </w:tcPr>
          <w:p>
            <w:pPr>
              <w:pStyle w:val="Normal"/>
              <w:spacing w:lineRule="auto" w:line="240"/>
              <w:jc w:val="center"/>
              <w:rPr>
                <w:rFonts w:eastAsia="Times New Roman"/>
                <w:color w:val="000000"/>
                <w:sz w:val="20"/>
                <w:szCs w:val="21"/>
              </w:rPr>
            </w:pPr>
            <w:r>
              <w:rPr>
                <w:rFonts w:eastAsia="Times New Roman" w:cs="" w:cstheme="minorBidi" w:ascii="Calibri" w:hAnsi="Calibri"/>
                <w:color w:val="000000"/>
                <w:sz w:val="20"/>
                <w:szCs w:val="21"/>
                <w:lang w:eastAsia="en-US"/>
              </w:rPr>
              <w:t>4</w:t>
            </w:r>
          </w:p>
          <w:p>
            <w:pPr>
              <w:pStyle w:val="Normal"/>
              <w:spacing w:lineRule="auto" w:line="240"/>
              <w:jc w:val="center"/>
              <w:rPr>
                <w:rFonts w:eastAsia="Times New Roman"/>
                <w:sz w:val="20"/>
                <w:szCs w:val="21"/>
              </w:rPr>
            </w:pPr>
            <w:r>
              <w:rPr>
                <w:rFonts w:eastAsia="Times New Roman" w:cs="" w:cstheme="minorBidi" w:ascii="Calibri" w:hAnsi="Calibri"/>
                <w:color w:val="000000"/>
                <w:sz w:val="20"/>
                <w:szCs w:val="21"/>
                <w:lang w:eastAsia="en-US"/>
              </w:rPr>
              <w:t>-</w:t>
            </w:r>
          </w:p>
        </w:tc>
        <w:tc>
          <w:tcPr>
            <w:tcW w:w="1284" w:type="dxa"/>
            <w:tcBorders/>
          </w:tcPr>
          <w:p>
            <w:pPr>
              <w:pStyle w:val="Normal"/>
              <w:spacing w:lineRule="auto" w:line="240"/>
              <w:jc w:val="center"/>
              <w:rPr>
                <w:rFonts w:eastAsia="Times New Roman"/>
                <w:color w:val="000000"/>
                <w:sz w:val="20"/>
                <w:szCs w:val="21"/>
              </w:rPr>
            </w:pPr>
            <w:r>
              <w:rPr>
                <w:rFonts w:eastAsia="Times New Roman" w:cs="" w:cstheme="minorBidi" w:ascii="Calibri" w:hAnsi="Calibri"/>
                <w:color w:val="000000"/>
                <w:sz w:val="20"/>
                <w:szCs w:val="21"/>
                <w:lang w:eastAsia="en-US"/>
              </w:rPr>
              <w:t>4</w:t>
            </w:r>
          </w:p>
          <w:p>
            <w:pPr>
              <w:pStyle w:val="Normal"/>
              <w:spacing w:lineRule="auto" w:line="240"/>
              <w:jc w:val="center"/>
              <w:rPr>
                <w:rFonts w:eastAsia="Times New Roman"/>
                <w:sz w:val="20"/>
                <w:szCs w:val="21"/>
              </w:rPr>
            </w:pPr>
            <w:r>
              <w:rPr>
                <w:rFonts w:eastAsia="Times New Roman" w:cs="" w:cstheme="minorBidi" w:ascii="Calibri" w:hAnsi="Calibri"/>
                <w:color w:val="000000"/>
                <w:sz w:val="20"/>
                <w:szCs w:val="21"/>
                <w:lang w:eastAsia="en-US"/>
              </w:rPr>
              <w:t>-</w:t>
            </w:r>
          </w:p>
        </w:tc>
      </w:tr>
      <w:tr>
        <w:trPr>
          <w:trHeight w:val="20" w:hRule="atLeast"/>
        </w:trPr>
        <w:tc>
          <w:tcPr>
            <w:tcW w:w="704" w:type="dxa"/>
            <w:tcBorders/>
          </w:tcPr>
          <w:p>
            <w:pPr>
              <w:pStyle w:val="Normal"/>
              <w:spacing w:lineRule="auto" w:line="240"/>
              <w:jc w:val="center"/>
              <w:rPr>
                <w:rFonts w:eastAsia="Times New Roman"/>
                <w:b/>
                <w:b/>
                <w:sz w:val="20"/>
                <w:szCs w:val="21"/>
              </w:rPr>
            </w:pPr>
            <w:r>
              <w:rPr>
                <w:rFonts w:eastAsia="Times New Roman" w:cs="" w:cstheme="minorBidi" w:ascii="Calibri" w:hAnsi="Calibri"/>
                <w:b/>
                <w:sz w:val="20"/>
                <w:szCs w:val="21"/>
                <w:lang w:eastAsia="en-US"/>
              </w:rPr>
              <w:t>5</w:t>
            </w:r>
          </w:p>
        </w:tc>
        <w:tc>
          <w:tcPr>
            <w:tcW w:w="9217" w:type="dxa"/>
            <w:gridSpan w:val="4"/>
            <w:tcBorders/>
          </w:tcPr>
          <w:p>
            <w:pPr>
              <w:pStyle w:val="Normal"/>
              <w:spacing w:lineRule="auto" w:line="240"/>
              <w:jc w:val="left"/>
              <w:rPr>
                <w:rFonts w:eastAsia="Times New Roman"/>
                <w:b/>
                <w:b/>
                <w:sz w:val="20"/>
                <w:szCs w:val="21"/>
              </w:rPr>
            </w:pPr>
            <w:r>
              <w:rPr>
                <w:rFonts w:eastAsia="Times New Roman" w:cs="" w:cstheme="minorBidi" w:ascii="Calibri" w:hAnsi="Calibri"/>
                <w:b/>
                <w:sz w:val="20"/>
                <w:szCs w:val="21"/>
                <w:lang w:eastAsia="en-US"/>
              </w:rPr>
              <w:t>Автомобильные дороги, улично-дорожной сеть</w:t>
            </w:r>
          </w:p>
        </w:tc>
      </w:tr>
      <w:tr>
        <w:trPr>
          <w:trHeight w:val="20" w:hRule="atLeast"/>
        </w:trPr>
        <w:tc>
          <w:tcPr>
            <w:tcW w:w="704" w:type="dxa"/>
            <w:vMerge w:val="restart"/>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5.1</w:t>
            </w:r>
          </w:p>
          <w:p>
            <w:pPr>
              <w:pStyle w:val="Normal"/>
              <w:spacing w:lineRule="auto" w:line="240"/>
              <w:ind w:hanging="2100"/>
              <w:jc w:val="center"/>
              <w:rPr>
                <w:rFonts w:eastAsia="Times New Roman"/>
                <w:sz w:val="20"/>
                <w:szCs w:val="21"/>
              </w:rPr>
            </w:pPr>
            <w:r>
              <w:rPr>
                <w:rFonts w:eastAsia="Times New Roman" w:cs="" w:cstheme="minorBidi" w:ascii="Calibri" w:hAnsi="Calibri"/>
                <w:sz w:val="20"/>
                <w:szCs w:val="21"/>
                <w:lang w:eastAsia="en-US"/>
              </w:rPr>
              <w:t>5.3</w:t>
            </w:r>
          </w:p>
        </w:tc>
        <w:tc>
          <w:tcPr>
            <w:tcW w:w="4675" w:type="dxa"/>
            <w:tcBorders/>
          </w:tcPr>
          <w:p>
            <w:pPr>
              <w:pStyle w:val="Normal"/>
              <w:spacing w:lineRule="auto" w:line="240"/>
              <w:jc w:val="left"/>
              <w:rPr>
                <w:rFonts w:eastAsia="Times New Roman"/>
                <w:sz w:val="20"/>
                <w:szCs w:val="21"/>
              </w:rPr>
            </w:pPr>
            <w:r>
              <w:rPr>
                <w:rFonts w:eastAsia="Times New Roman" w:cs="" w:cstheme="minorBidi" w:ascii="Calibri" w:hAnsi="Calibri"/>
                <w:sz w:val="20"/>
                <w:szCs w:val="20"/>
                <w:lang w:eastAsia="en-US"/>
              </w:rPr>
              <w:t>Протяженность автомобильных дорог общего пользования, в том числе:</w:t>
            </w:r>
          </w:p>
        </w:tc>
        <w:tc>
          <w:tcPr>
            <w:tcW w:w="155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км</w:t>
            </w:r>
          </w:p>
        </w:tc>
        <w:tc>
          <w:tcPr>
            <w:tcW w:w="169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55,26</w:t>
            </w:r>
          </w:p>
        </w:tc>
        <w:tc>
          <w:tcPr>
            <w:tcW w:w="128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78,96</w:t>
            </w:r>
          </w:p>
        </w:tc>
      </w:tr>
      <w:tr>
        <w:trPr>
          <w:trHeight w:val="20" w:hRule="atLeast"/>
        </w:trPr>
        <w:tc>
          <w:tcPr>
            <w:tcW w:w="704" w:type="dxa"/>
            <w:vMerge w:val="continue"/>
            <w:tcBorders/>
          </w:tcPr>
          <w:p>
            <w:pPr>
              <w:pStyle w:val="Normal"/>
              <w:spacing w:lineRule="auto" w:line="240"/>
              <w:ind w:hanging="210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tcPr>
          <w:p>
            <w:pPr>
              <w:pStyle w:val="Normal"/>
              <w:spacing w:lineRule="auto" w:line="240"/>
              <w:jc w:val="left"/>
              <w:rPr>
                <w:rFonts w:eastAsia="Times New Roman"/>
                <w:sz w:val="20"/>
                <w:szCs w:val="21"/>
              </w:rPr>
            </w:pPr>
            <w:r>
              <w:rPr>
                <w:rFonts w:eastAsia="Times New Roman" w:cs="" w:cstheme="minorBidi" w:ascii="Calibri" w:hAnsi="Calibri"/>
                <w:sz w:val="20"/>
                <w:szCs w:val="21"/>
                <w:lang w:eastAsia="en-US"/>
              </w:rPr>
              <w:t>федерального значения</w:t>
            </w:r>
          </w:p>
        </w:tc>
        <w:tc>
          <w:tcPr>
            <w:tcW w:w="155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км</w:t>
            </w:r>
          </w:p>
        </w:tc>
        <w:tc>
          <w:tcPr>
            <w:tcW w:w="169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w:t>
            </w:r>
          </w:p>
        </w:tc>
        <w:tc>
          <w:tcPr>
            <w:tcW w:w="128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w:t>
            </w:r>
          </w:p>
        </w:tc>
      </w:tr>
      <w:tr>
        <w:trPr>
          <w:trHeight w:val="20" w:hRule="atLeast"/>
        </w:trPr>
        <w:tc>
          <w:tcPr>
            <w:tcW w:w="704" w:type="dxa"/>
            <w:vMerge w:val="continue"/>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tcPr>
          <w:p>
            <w:pPr>
              <w:pStyle w:val="Normal"/>
              <w:spacing w:lineRule="auto" w:line="240"/>
              <w:jc w:val="left"/>
              <w:rPr>
                <w:rFonts w:eastAsia="Times New Roman"/>
                <w:sz w:val="20"/>
                <w:szCs w:val="21"/>
              </w:rPr>
            </w:pPr>
            <w:r>
              <w:rPr>
                <w:rFonts w:eastAsia="Times New Roman" w:cs="" w:cstheme="minorBidi" w:ascii="Calibri" w:hAnsi="Calibri"/>
                <w:sz w:val="20"/>
                <w:szCs w:val="21"/>
                <w:lang w:eastAsia="en-US"/>
              </w:rPr>
              <w:t>регионального и межмуниципального значения</w:t>
            </w:r>
          </w:p>
        </w:tc>
        <w:tc>
          <w:tcPr>
            <w:tcW w:w="155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км</w:t>
            </w:r>
          </w:p>
        </w:tc>
        <w:tc>
          <w:tcPr>
            <w:tcW w:w="169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50,52</w:t>
            </w:r>
          </w:p>
        </w:tc>
        <w:tc>
          <w:tcPr>
            <w:tcW w:w="128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77,87</w:t>
            </w:r>
          </w:p>
        </w:tc>
      </w:tr>
      <w:tr>
        <w:trPr>
          <w:trHeight w:val="20" w:hRule="atLeast"/>
        </w:trPr>
        <w:tc>
          <w:tcPr>
            <w:tcW w:w="704" w:type="dxa"/>
            <w:vMerge w:val="continue"/>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tcPr>
          <w:p>
            <w:pPr>
              <w:pStyle w:val="Normal"/>
              <w:spacing w:lineRule="auto" w:line="240"/>
              <w:jc w:val="left"/>
              <w:rPr>
                <w:rFonts w:eastAsia="Times New Roman"/>
                <w:sz w:val="20"/>
                <w:szCs w:val="21"/>
              </w:rPr>
            </w:pPr>
            <w:r>
              <w:rPr>
                <w:rFonts w:eastAsia="Times New Roman" w:cs="" w:cstheme="minorBidi" w:ascii="Calibri" w:hAnsi="Calibri"/>
                <w:sz w:val="20"/>
                <w:szCs w:val="21"/>
                <w:lang w:eastAsia="en-US"/>
              </w:rPr>
              <w:t>местного значения</w:t>
            </w:r>
          </w:p>
        </w:tc>
        <w:tc>
          <w:tcPr>
            <w:tcW w:w="155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км</w:t>
            </w:r>
          </w:p>
        </w:tc>
        <w:tc>
          <w:tcPr>
            <w:tcW w:w="169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5,7</w:t>
            </w:r>
          </w:p>
        </w:tc>
        <w:tc>
          <w:tcPr>
            <w:tcW w:w="128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5,07</w:t>
            </w:r>
          </w:p>
        </w:tc>
      </w:tr>
      <w:tr>
        <w:trPr>
          <w:trHeight w:val="20" w:hRule="atLeast"/>
        </w:trPr>
        <w:tc>
          <w:tcPr>
            <w:tcW w:w="704" w:type="dxa"/>
            <w:vMerge w:val="continue"/>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tcPr>
          <w:p>
            <w:pPr>
              <w:pStyle w:val="Normal"/>
              <w:spacing w:lineRule="auto" w:line="240"/>
              <w:jc w:val="left"/>
              <w:rPr>
                <w:rFonts w:eastAsia="Times New Roman"/>
                <w:sz w:val="20"/>
                <w:szCs w:val="21"/>
              </w:rPr>
            </w:pPr>
            <w:r>
              <w:rPr>
                <w:rFonts w:eastAsia="Times New Roman" w:cs="" w:cstheme="minorBidi" w:ascii="Calibri" w:hAnsi="Calibri"/>
                <w:sz w:val="20"/>
                <w:szCs w:val="21"/>
                <w:lang w:eastAsia="en-US"/>
              </w:rPr>
              <w:t>улично-дорожная сеть</w:t>
            </w:r>
          </w:p>
        </w:tc>
        <w:tc>
          <w:tcPr>
            <w:tcW w:w="155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км</w:t>
            </w:r>
          </w:p>
        </w:tc>
        <w:tc>
          <w:tcPr>
            <w:tcW w:w="1699"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15,17</w:t>
            </w:r>
          </w:p>
        </w:tc>
        <w:tc>
          <w:tcPr>
            <w:tcW w:w="1284" w:type="dxa"/>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t>15,17</w:t>
            </w:r>
          </w:p>
        </w:tc>
      </w:tr>
      <w:tr>
        <w:trPr>
          <w:trHeight w:val="20" w:hRule="atLeast"/>
        </w:trPr>
        <w:tc>
          <w:tcPr>
            <w:tcW w:w="704" w:type="dxa"/>
            <w:tcBorders/>
            <w:shd w:color="auto" w:fill="auto" w:val="clear"/>
          </w:tcPr>
          <w:p>
            <w:pPr>
              <w:pStyle w:val="Normal"/>
              <w:spacing w:lineRule="auto" w:line="240"/>
              <w:jc w:val="center"/>
              <w:rPr>
                <w:rFonts w:eastAsia="Times New Roman"/>
                <w:sz w:val="20"/>
                <w:szCs w:val="21"/>
              </w:rPr>
            </w:pPr>
            <w:r>
              <w:rPr>
                <w:rFonts w:eastAsia="Calibri" w:cs="" w:cstheme="minorBidi" w:eastAsiaTheme="minorHAnsi" w:ascii="Calibri" w:hAnsi="Calibri"/>
                <w:b/>
                <w:color w:val="000000" w:themeColor="text1"/>
                <w:sz w:val="20"/>
                <w:szCs w:val="20"/>
                <w:lang w:eastAsia="ru-RU"/>
              </w:rPr>
              <w:t>6.1</w:t>
            </w:r>
          </w:p>
        </w:tc>
        <w:tc>
          <w:tcPr>
            <w:tcW w:w="9217" w:type="dxa"/>
            <w:gridSpan w:val="4"/>
            <w:tcBorders/>
            <w:shd w:color="auto" w:fill="auto" w:val="clear"/>
          </w:tcPr>
          <w:p>
            <w:pPr>
              <w:pStyle w:val="Normal"/>
              <w:spacing w:lineRule="auto" w:line="240"/>
              <w:jc w:val="left"/>
              <w:rPr>
                <w:rFonts w:eastAsia="Times New Roman"/>
                <w:color w:val="000000"/>
                <w:sz w:val="20"/>
                <w:szCs w:val="21"/>
              </w:rPr>
            </w:pPr>
            <w:r>
              <w:rPr>
                <w:rFonts w:eastAsia="Calibri" w:cs="" w:cstheme="minorBidi" w:eastAsiaTheme="minorHAnsi" w:ascii="Calibri" w:hAnsi="Calibri"/>
                <w:b/>
                <w:bCs/>
                <w:color w:val="000000"/>
                <w:sz w:val="20"/>
                <w:szCs w:val="20"/>
                <w:lang w:eastAsia="ru-RU"/>
              </w:rPr>
              <w:t>Водоснабжение</w:t>
            </w:r>
          </w:p>
        </w:tc>
      </w:tr>
      <w:tr>
        <w:trPr>
          <w:trHeight w:val="20" w:hRule="atLeast"/>
        </w:trPr>
        <w:tc>
          <w:tcPr>
            <w:tcW w:w="704" w:type="dxa"/>
            <w:vMerge w:val="restart"/>
            <w:tcBorders/>
            <w:shd w:color="auto" w:fill="auto" w:val="clear"/>
          </w:tcPr>
          <w:p>
            <w:pPr>
              <w:pStyle w:val="Normal"/>
              <w:spacing w:lineRule="auto" w:line="240"/>
              <w:jc w:val="center"/>
              <w:rPr>
                <w:rFonts w:eastAsia="Times New Roman"/>
                <w:sz w:val="20"/>
                <w:szCs w:val="21"/>
              </w:rPr>
            </w:pPr>
            <w:r>
              <w:rPr>
                <w:rFonts w:eastAsia="Calibri" w:cs="" w:cstheme="minorBidi" w:eastAsiaTheme="minorHAnsi" w:ascii="Calibri" w:hAnsi="Calibri"/>
                <w:color w:val="000000" w:themeColor="text1"/>
                <w:sz w:val="20"/>
                <w:szCs w:val="20"/>
                <w:lang w:eastAsia="ru-RU"/>
              </w:rPr>
              <w:t>6.1.1</w:t>
            </w:r>
          </w:p>
        </w:tc>
        <w:tc>
          <w:tcPr>
            <w:tcW w:w="4675" w:type="dxa"/>
            <w:tcBorders/>
            <w:shd w:color="auto" w:fill="auto" w:val="clear"/>
          </w:tcPr>
          <w:p>
            <w:pPr>
              <w:pStyle w:val="Normal"/>
              <w:spacing w:lineRule="auto" w:line="240"/>
              <w:jc w:val="left"/>
              <w:rPr>
                <w:rFonts w:eastAsia="Times New Roman"/>
                <w:sz w:val="20"/>
                <w:szCs w:val="21"/>
              </w:rPr>
            </w:pPr>
            <w:r>
              <w:rPr>
                <w:rFonts w:eastAsia="Calibri" w:cs="" w:cstheme="minorBidi" w:eastAsiaTheme="minorHAnsi" w:ascii="Calibri" w:hAnsi="Calibri"/>
                <w:color w:val="000000"/>
                <w:sz w:val="20"/>
                <w:szCs w:val="20"/>
                <w:lang w:eastAsia="ru-RU"/>
              </w:rPr>
              <w:t>Водопотребление</w:t>
            </w:r>
          </w:p>
        </w:tc>
        <w:tc>
          <w:tcPr>
            <w:tcW w:w="1559" w:type="dxa"/>
            <w:tcBorders/>
            <w:shd w:color="auto" w:fill="auto" w:val="clear"/>
          </w:tcPr>
          <w:p>
            <w:pPr>
              <w:pStyle w:val="Normal"/>
              <w:spacing w:lineRule="auto" w:line="240"/>
              <w:jc w:val="center"/>
              <w:rPr>
                <w:rFonts w:eastAsia="Times New Roman"/>
                <w:sz w:val="20"/>
                <w:szCs w:val="21"/>
              </w:rPr>
            </w:pPr>
            <w:r>
              <w:rPr>
                <w:rFonts w:eastAsia="Calibri" w:cs="" w:cstheme="minorBidi" w:eastAsiaTheme="minorHAnsi" w:ascii="Calibri" w:hAnsi="Calibri"/>
                <w:color w:val="000000"/>
                <w:sz w:val="20"/>
                <w:szCs w:val="20"/>
                <w:lang w:eastAsia="ru-RU"/>
              </w:rPr>
              <w:t>тыс. м</w:t>
            </w:r>
            <w:r>
              <w:rPr>
                <w:rFonts w:eastAsia="Calibri" w:cs="" w:cstheme="minorBidi" w:eastAsiaTheme="minorHAnsi" w:ascii="Calibri" w:hAnsi="Calibri"/>
                <w:color w:val="000000"/>
                <w:sz w:val="20"/>
                <w:szCs w:val="20"/>
                <w:vertAlign w:val="superscript"/>
                <w:lang w:eastAsia="ru-RU"/>
              </w:rPr>
              <w:t>3</w:t>
            </w:r>
            <w:r>
              <w:rPr>
                <w:rFonts w:eastAsia="Calibri" w:cs="" w:cstheme="minorBidi" w:eastAsiaTheme="minorHAnsi" w:ascii="Calibri" w:hAnsi="Calibri"/>
                <w:color w:val="000000"/>
                <w:sz w:val="20"/>
                <w:szCs w:val="20"/>
                <w:lang w:eastAsia="ru-RU"/>
              </w:rPr>
              <w:t>/ в сут</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Calibri" w:cs="" w:cstheme="minorBidi" w:eastAsiaTheme="minorHAnsi" w:ascii="Calibri" w:hAnsi="Calibri"/>
                <w:color w:val="000000"/>
                <w:sz w:val="20"/>
                <w:szCs w:val="20"/>
                <w:lang w:eastAsia="ru-RU"/>
              </w:rPr>
              <w:t>0,236</w:t>
            </w:r>
          </w:p>
        </w:tc>
        <w:tc>
          <w:tcPr>
            <w:tcW w:w="1284" w:type="dxa"/>
            <w:tcBorders/>
            <w:shd w:color="auto" w:fill="auto" w:val="clear"/>
          </w:tcPr>
          <w:p>
            <w:pPr>
              <w:pStyle w:val="Normal"/>
              <w:spacing w:lineRule="auto" w:line="240"/>
              <w:jc w:val="center"/>
              <w:rPr>
                <w:rFonts w:eastAsia="Times New Roman"/>
                <w:color w:val="000000"/>
                <w:sz w:val="20"/>
                <w:szCs w:val="21"/>
              </w:rPr>
            </w:pPr>
            <w:r>
              <w:rPr>
                <w:rFonts w:eastAsia="Calibri" w:cs="" w:cstheme="minorBidi" w:eastAsiaTheme="minorHAnsi" w:ascii="Calibri" w:hAnsi="Calibri"/>
                <w:color w:val="000000" w:themeColor="text1"/>
                <w:sz w:val="20"/>
                <w:szCs w:val="20"/>
                <w:lang w:eastAsia="ru-RU"/>
              </w:rPr>
              <w:t>0,437</w:t>
            </w:r>
          </w:p>
        </w:tc>
      </w:tr>
      <w:tr>
        <w:trPr>
          <w:trHeight w:val="20" w:hRule="atLeast"/>
        </w:trPr>
        <w:tc>
          <w:tcPr>
            <w:tcW w:w="704" w:type="dxa"/>
            <w:vMerge w:val="continue"/>
            <w:tcBorders/>
            <w:shd w:color="auto" w:fill="auto"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9217" w:type="dxa"/>
            <w:gridSpan w:val="4"/>
            <w:tcBorders/>
            <w:shd w:color="auto" w:fill="auto" w:val="clear"/>
          </w:tcPr>
          <w:p>
            <w:pPr>
              <w:pStyle w:val="Normal"/>
              <w:spacing w:lineRule="auto" w:line="240"/>
              <w:jc w:val="left"/>
              <w:rPr>
                <w:rFonts w:eastAsia="Times New Roman"/>
                <w:color w:val="000000"/>
                <w:sz w:val="20"/>
                <w:szCs w:val="21"/>
              </w:rPr>
            </w:pPr>
            <w:r>
              <w:rPr>
                <w:rFonts w:eastAsia="Calibri" w:cs="" w:cstheme="minorBidi" w:eastAsiaTheme="minorHAnsi" w:ascii="Calibri" w:hAnsi="Calibri"/>
                <w:color w:val="000000"/>
                <w:sz w:val="20"/>
                <w:szCs w:val="20"/>
                <w:lang w:eastAsia="ru-RU"/>
              </w:rPr>
              <w:t>в том числе:</w:t>
            </w:r>
          </w:p>
        </w:tc>
      </w:tr>
      <w:tr>
        <w:trPr>
          <w:trHeight w:val="20" w:hRule="atLeast"/>
        </w:trPr>
        <w:tc>
          <w:tcPr>
            <w:tcW w:w="704" w:type="dxa"/>
            <w:vMerge w:val="continue"/>
            <w:tcBorders/>
            <w:shd w:color="auto" w:fill="auto"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shd w:color="auto" w:fill="auto" w:val="clear"/>
          </w:tcPr>
          <w:p>
            <w:pPr>
              <w:pStyle w:val="Normal"/>
              <w:spacing w:lineRule="auto" w:line="240"/>
              <w:jc w:val="left"/>
              <w:rPr>
                <w:rFonts w:eastAsia="Times New Roman"/>
                <w:sz w:val="20"/>
                <w:szCs w:val="21"/>
              </w:rPr>
            </w:pPr>
            <w:r>
              <w:rPr>
                <w:rFonts w:eastAsia="Calibri" w:cs="" w:cstheme="minorBidi" w:eastAsiaTheme="minorHAnsi" w:ascii="Calibri" w:hAnsi="Calibri"/>
                <w:color w:val="000000"/>
                <w:sz w:val="20"/>
                <w:szCs w:val="20"/>
                <w:lang w:eastAsia="ru-RU"/>
              </w:rPr>
              <w:t>на хозяйственно-питьевые нужды</w:t>
            </w:r>
          </w:p>
        </w:tc>
        <w:tc>
          <w:tcPr>
            <w:tcW w:w="1559" w:type="dxa"/>
            <w:tcBorders/>
            <w:shd w:color="auto" w:fill="auto" w:val="clear"/>
          </w:tcPr>
          <w:p>
            <w:pPr>
              <w:pStyle w:val="Normal"/>
              <w:spacing w:lineRule="auto" w:line="240"/>
              <w:jc w:val="center"/>
              <w:rPr>
                <w:rFonts w:eastAsia="Times New Roman"/>
                <w:sz w:val="20"/>
                <w:szCs w:val="21"/>
              </w:rPr>
            </w:pPr>
            <w:r>
              <w:rPr>
                <w:rFonts w:eastAsia="Calibri" w:cs="" w:cstheme="minorBidi" w:eastAsiaTheme="minorHAnsi" w:ascii="Calibri" w:hAnsi="Calibri"/>
                <w:color w:val="000000"/>
                <w:sz w:val="20"/>
                <w:szCs w:val="20"/>
                <w:lang w:eastAsia="ru-RU"/>
              </w:rPr>
              <w:t>тыс. м</w:t>
            </w:r>
            <w:r>
              <w:rPr>
                <w:rFonts w:eastAsia="Calibri" w:cs="" w:cstheme="minorBidi" w:eastAsiaTheme="minorHAnsi" w:ascii="Calibri" w:hAnsi="Calibri"/>
                <w:color w:val="000000"/>
                <w:sz w:val="20"/>
                <w:szCs w:val="20"/>
                <w:vertAlign w:val="superscript"/>
                <w:lang w:eastAsia="ru-RU"/>
              </w:rPr>
              <w:t>3</w:t>
            </w:r>
            <w:r>
              <w:rPr>
                <w:rFonts w:eastAsia="Calibri" w:cs="" w:cstheme="minorBidi" w:eastAsiaTheme="minorHAnsi" w:ascii="Calibri" w:hAnsi="Calibri"/>
                <w:color w:val="000000"/>
                <w:sz w:val="20"/>
                <w:szCs w:val="20"/>
                <w:lang w:eastAsia="ru-RU"/>
              </w:rPr>
              <w:t>/ в сут</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Calibri" w:cs="" w:cstheme="minorBidi" w:eastAsiaTheme="minorHAnsi" w:ascii="Calibri" w:hAnsi="Calibri"/>
                <w:color w:val="000000" w:themeColor="text1"/>
                <w:sz w:val="20"/>
                <w:szCs w:val="20"/>
                <w:lang w:eastAsia="ru-RU"/>
              </w:rPr>
              <w:t>0,215</w:t>
            </w:r>
          </w:p>
        </w:tc>
        <w:tc>
          <w:tcPr>
            <w:tcW w:w="1284" w:type="dxa"/>
            <w:tcBorders/>
            <w:vAlign w:val="center"/>
          </w:tcPr>
          <w:p>
            <w:pPr>
              <w:pStyle w:val="Normal"/>
              <w:spacing w:lineRule="auto" w:line="240"/>
              <w:jc w:val="center"/>
              <w:rPr>
                <w:rFonts w:eastAsia="Times New Roman"/>
                <w:color w:val="000000"/>
                <w:sz w:val="20"/>
                <w:szCs w:val="21"/>
              </w:rPr>
            </w:pPr>
            <w:r>
              <w:rPr>
                <w:rFonts w:eastAsia="Calibri" w:cs="Times New Roman" w:eastAsiaTheme="minorHAnsi" w:ascii="Calibri" w:hAnsi="Calibri"/>
                <w:sz w:val="20"/>
                <w:szCs w:val="20"/>
                <w:lang w:eastAsia="en-US"/>
              </w:rPr>
              <w:t>0,301</w:t>
            </w:r>
          </w:p>
        </w:tc>
      </w:tr>
      <w:tr>
        <w:trPr>
          <w:trHeight w:val="20" w:hRule="atLeast"/>
        </w:trPr>
        <w:tc>
          <w:tcPr>
            <w:tcW w:w="704" w:type="dxa"/>
            <w:vMerge w:val="continue"/>
            <w:tcBorders/>
            <w:shd w:color="auto" w:fill="auto"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shd w:color="auto" w:fill="auto" w:val="clear"/>
          </w:tcPr>
          <w:p>
            <w:pPr>
              <w:pStyle w:val="Normal"/>
              <w:spacing w:lineRule="auto" w:line="240"/>
              <w:jc w:val="left"/>
              <w:rPr>
                <w:rFonts w:eastAsia="Times New Roman"/>
                <w:sz w:val="20"/>
                <w:szCs w:val="21"/>
              </w:rPr>
            </w:pPr>
            <w:r>
              <w:rPr>
                <w:rFonts w:eastAsia="Calibri" w:cs="" w:cstheme="minorBidi" w:eastAsiaTheme="minorHAnsi" w:ascii="Calibri" w:hAnsi="Calibri"/>
                <w:color w:val="000000"/>
                <w:sz w:val="20"/>
                <w:szCs w:val="20"/>
                <w:lang w:eastAsia="ru-RU"/>
              </w:rPr>
              <w:t>неучтенные расходы</w:t>
            </w:r>
          </w:p>
        </w:tc>
        <w:tc>
          <w:tcPr>
            <w:tcW w:w="1559" w:type="dxa"/>
            <w:tcBorders/>
            <w:shd w:color="auto" w:fill="auto" w:val="clear"/>
          </w:tcPr>
          <w:p>
            <w:pPr>
              <w:pStyle w:val="Normal"/>
              <w:spacing w:lineRule="auto" w:line="240"/>
              <w:jc w:val="center"/>
              <w:rPr>
                <w:rFonts w:eastAsia="Times New Roman"/>
                <w:sz w:val="20"/>
                <w:szCs w:val="21"/>
              </w:rPr>
            </w:pPr>
            <w:r>
              <w:rPr>
                <w:rFonts w:eastAsia="Calibri" w:cs="" w:cstheme="minorBidi" w:eastAsiaTheme="minorHAnsi" w:ascii="Calibri" w:hAnsi="Calibri"/>
                <w:color w:val="000000"/>
                <w:sz w:val="20"/>
                <w:szCs w:val="20"/>
                <w:lang w:eastAsia="ru-RU"/>
              </w:rPr>
              <w:t>тыс. м</w:t>
            </w:r>
            <w:r>
              <w:rPr>
                <w:rFonts w:eastAsia="Calibri" w:cs="" w:cstheme="minorBidi" w:eastAsiaTheme="minorHAnsi" w:ascii="Calibri" w:hAnsi="Calibri"/>
                <w:color w:val="000000"/>
                <w:sz w:val="20"/>
                <w:szCs w:val="20"/>
                <w:vertAlign w:val="superscript"/>
                <w:lang w:eastAsia="ru-RU"/>
              </w:rPr>
              <w:t>3</w:t>
            </w:r>
            <w:r>
              <w:rPr>
                <w:rFonts w:eastAsia="Calibri" w:cs="" w:cstheme="minorBidi" w:eastAsiaTheme="minorHAnsi" w:ascii="Calibri" w:hAnsi="Calibri"/>
                <w:color w:val="000000"/>
                <w:sz w:val="20"/>
                <w:szCs w:val="20"/>
                <w:lang w:eastAsia="ru-RU"/>
              </w:rPr>
              <w:t>/ в сут</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Calibri" w:cs="" w:cstheme="minorBidi" w:eastAsiaTheme="minorHAnsi" w:ascii="Calibri" w:hAnsi="Calibri"/>
                <w:color w:val="000000" w:themeColor="text1"/>
                <w:sz w:val="20"/>
                <w:szCs w:val="20"/>
                <w:lang w:eastAsia="ru-RU"/>
              </w:rPr>
              <w:t>0,009</w:t>
            </w:r>
          </w:p>
        </w:tc>
        <w:tc>
          <w:tcPr>
            <w:tcW w:w="1284" w:type="dxa"/>
            <w:tcBorders/>
            <w:vAlign w:val="center"/>
          </w:tcPr>
          <w:p>
            <w:pPr>
              <w:pStyle w:val="Normal"/>
              <w:spacing w:lineRule="auto" w:line="240"/>
              <w:jc w:val="center"/>
              <w:rPr>
                <w:rFonts w:eastAsia="Times New Roman"/>
                <w:color w:val="000000"/>
                <w:sz w:val="20"/>
                <w:szCs w:val="21"/>
              </w:rPr>
            </w:pPr>
            <w:r>
              <w:rPr>
                <w:rFonts w:eastAsia="Calibri" w:cs="Times New Roman" w:eastAsiaTheme="minorHAnsi" w:ascii="Calibri" w:hAnsi="Calibri"/>
                <w:sz w:val="20"/>
                <w:szCs w:val="20"/>
                <w:lang w:eastAsia="en-US"/>
              </w:rPr>
              <w:t>0,015</w:t>
            </w:r>
          </w:p>
        </w:tc>
      </w:tr>
      <w:tr>
        <w:trPr>
          <w:trHeight w:val="20" w:hRule="atLeast"/>
        </w:trPr>
        <w:tc>
          <w:tcPr>
            <w:tcW w:w="704" w:type="dxa"/>
            <w:vMerge w:val="continue"/>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shd w:color="auto" w:fill="auto" w:val="clear"/>
          </w:tcPr>
          <w:p>
            <w:pPr>
              <w:pStyle w:val="Normal"/>
              <w:spacing w:lineRule="auto" w:line="240"/>
              <w:jc w:val="left"/>
              <w:rPr>
                <w:rFonts w:eastAsia="Times New Roman"/>
                <w:sz w:val="20"/>
                <w:szCs w:val="21"/>
              </w:rPr>
            </w:pPr>
            <w:r>
              <w:rPr>
                <w:rFonts w:eastAsia="Calibri" w:cs="" w:cstheme="minorBidi" w:eastAsiaTheme="minorHAnsi" w:ascii="Calibri" w:hAnsi="Calibri"/>
                <w:color w:val="000000"/>
                <w:sz w:val="20"/>
                <w:szCs w:val="20"/>
                <w:lang w:eastAsia="ru-RU"/>
              </w:rPr>
              <w:t>на производственные нужды</w:t>
            </w:r>
          </w:p>
        </w:tc>
        <w:tc>
          <w:tcPr>
            <w:tcW w:w="1559" w:type="dxa"/>
            <w:tcBorders/>
            <w:shd w:color="auto" w:fill="auto" w:val="clear"/>
          </w:tcPr>
          <w:p>
            <w:pPr>
              <w:pStyle w:val="Normal"/>
              <w:spacing w:lineRule="auto" w:line="240"/>
              <w:jc w:val="center"/>
              <w:rPr>
                <w:rFonts w:eastAsia="Times New Roman"/>
                <w:sz w:val="20"/>
                <w:szCs w:val="21"/>
              </w:rPr>
            </w:pPr>
            <w:r>
              <w:rPr>
                <w:rFonts w:eastAsia="Calibri" w:cs="" w:cstheme="minorBidi" w:eastAsiaTheme="minorHAnsi" w:ascii="Calibri" w:hAnsi="Calibri"/>
                <w:color w:val="000000"/>
                <w:sz w:val="20"/>
                <w:szCs w:val="20"/>
                <w:lang w:eastAsia="ru-RU"/>
              </w:rPr>
              <w:t>тыс. м</w:t>
            </w:r>
            <w:r>
              <w:rPr>
                <w:rFonts w:eastAsia="Calibri" w:cs="" w:cstheme="minorBidi" w:eastAsiaTheme="minorHAnsi" w:ascii="Calibri" w:hAnsi="Calibri"/>
                <w:color w:val="000000"/>
                <w:sz w:val="20"/>
                <w:szCs w:val="20"/>
                <w:vertAlign w:val="superscript"/>
                <w:lang w:eastAsia="ru-RU"/>
              </w:rPr>
              <w:t>3</w:t>
            </w:r>
            <w:r>
              <w:rPr>
                <w:rFonts w:eastAsia="Calibri" w:cs="" w:cstheme="minorBidi" w:eastAsiaTheme="minorHAnsi" w:ascii="Calibri" w:hAnsi="Calibri"/>
                <w:color w:val="000000"/>
                <w:sz w:val="20"/>
                <w:szCs w:val="20"/>
                <w:lang w:eastAsia="ru-RU"/>
              </w:rPr>
              <w:t>/ в сут</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Calibri" w:cs="" w:cstheme="minorBidi" w:eastAsiaTheme="minorHAnsi" w:ascii="Calibri" w:hAnsi="Calibri"/>
                <w:color w:val="000000" w:themeColor="text1"/>
                <w:sz w:val="20"/>
                <w:szCs w:val="20"/>
                <w:lang w:eastAsia="ru-RU"/>
              </w:rPr>
              <w:t>0,002</w:t>
            </w:r>
          </w:p>
        </w:tc>
        <w:tc>
          <w:tcPr>
            <w:tcW w:w="1284" w:type="dxa"/>
            <w:tcBorders/>
            <w:vAlign w:val="center"/>
          </w:tcPr>
          <w:p>
            <w:pPr>
              <w:pStyle w:val="Normal"/>
              <w:spacing w:lineRule="auto" w:line="240"/>
              <w:jc w:val="center"/>
              <w:rPr>
                <w:rFonts w:eastAsia="Times New Roman"/>
                <w:color w:val="000000"/>
                <w:sz w:val="20"/>
                <w:szCs w:val="21"/>
              </w:rPr>
            </w:pPr>
            <w:r>
              <w:rPr>
                <w:rFonts w:eastAsia="Calibri" w:cs="Times New Roman" w:eastAsiaTheme="minorHAnsi" w:ascii="Calibri" w:hAnsi="Calibri"/>
                <w:sz w:val="20"/>
                <w:szCs w:val="20"/>
                <w:lang w:eastAsia="en-US"/>
              </w:rPr>
              <w:t>0,045</w:t>
            </w:r>
          </w:p>
        </w:tc>
      </w:tr>
      <w:tr>
        <w:trPr>
          <w:trHeight w:val="20" w:hRule="atLeast"/>
        </w:trPr>
        <w:tc>
          <w:tcPr>
            <w:tcW w:w="704" w:type="dxa"/>
            <w:vMerge w:val="continue"/>
            <w:tcBorders/>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shd w:color="auto" w:fill="auto" w:val="clear"/>
          </w:tcPr>
          <w:p>
            <w:pPr>
              <w:pStyle w:val="Normal"/>
              <w:spacing w:lineRule="auto" w:line="240"/>
              <w:jc w:val="left"/>
              <w:rPr>
                <w:rFonts w:eastAsia="Times New Roman"/>
                <w:sz w:val="20"/>
                <w:szCs w:val="21"/>
              </w:rPr>
            </w:pPr>
            <w:r>
              <w:rPr>
                <w:rFonts w:eastAsia="Calibri" w:cs="" w:cstheme="minorBidi" w:eastAsiaTheme="minorHAnsi" w:ascii="Calibri" w:hAnsi="Calibri"/>
                <w:color w:val="000000"/>
                <w:sz w:val="20"/>
                <w:szCs w:val="20"/>
                <w:lang w:eastAsia="ru-RU"/>
              </w:rPr>
              <w:t>на полив</w:t>
            </w:r>
          </w:p>
        </w:tc>
        <w:tc>
          <w:tcPr>
            <w:tcW w:w="1559" w:type="dxa"/>
            <w:tcBorders/>
            <w:shd w:color="auto" w:fill="auto" w:val="clear"/>
          </w:tcPr>
          <w:p>
            <w:pPr>
              <w:pStyle w:val="Normal"/>
              <w:spacing w:lineRule="auto" w:line="240"/>
              <w:jc w:val="center"/>
              <w:rPr>
                <w:rFonts w:eastAsia="Times New Roman"/>
                <w:sz w:val="20"/>
                <w:szCs w:val="21"/>
              </w:rPr>
            </w:pPr>
            <w:r>
              <w:rPr>
                <w:rFonts w:eastAsia="Calibri" w:cs="" w:cstheme="minorBidi" w:eastAsiaTheme="minorHAnsi" w:ascii="Calibri" w:hAnsi="Calibri"/>
                <w:color w:val="000000"/>
                <w:sz w:val="20"/>
                <w:szCs w:val="20"/>
                <w:lang w:eastAsia="ru-RU"/>
              </w:rPr>
              <w:t>тыс. м</w:t>
            </w:r>
            <w:r>
              <w:rPr>
                <w:rFonts w:eastAsia="Calibri" w:cs="" w:cstheme="minorBidi" w:eastAsiaTheme="minorHAnsi" w:ascii="Calibri" w:hAnsi="Calibri"/>
                <w:color w:val="000000"/>
                <w:sz w:val="20"/>
                <w:szCs w:val="20"/>
                <w:vertAlign w:val="superscript"/>
                <w:lang w:eastAsia="ru-RU"/>
              </w:rPr>
              <w:t>3</w:t>
            </w:r>
            <w:r>
              <w:rPr>
                <w:rFonts w:eastAsia="Calibri" w:cs="" w:cstheme="minorBidi" w:eastAsiaTheme="minorHAnsi" w:ascii="Calibri" w:hAnsi="Calibri"/>
                <w:color w:val="000000"/>
                <w:sz w:val="20"/>
                <w:szCs w:val="20"/>
                <w:lang w:eastAsia="ru-RU"/>
              </w:rPr>
              <w:t>/ в сут</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Times New Roman" w:cs="" w:cstheme="minorBidi" w:ascii="Calibri" w:hAnsi="Calibri"/>
                <w:color w:val="000000"/>
                <w:sz w:val="20"/>
                <w:szCs w:val="21"/>
                <w:lang w:eastAsia="en-US"/>
              </w:rPr>
              <w:t>0,01</w:t>
            </w:r>
          </w:p>
        </w:tc>
        <w:tc>
          <w:tcPr>
            <w:tcW w:w="1284" w:type="dxa"/>
            <w:tcBorders/>
            <w:vAlign w:val="center"/>
          </w:tcPr>
          <w:p>
            <w:pPr>
              <w:pStyle w:val="Normal"/>
              <w:spacing w:lineRule="auto" w:line="240"/>
              <w:jc w:val="center"/>
              <w:rPr>
                <w:rFonts w:eastAsia="Times New Roman"/>
                <w:color w:val="000000"/>
                <w:sz w:val="20"/>
                <w:szCs w:val="21"/>
              </w:rPr>
            </w:pPr>
            <w:r>
              <w:rPr>
                <w:rFonts w:eastAsia="Calibri" w:cs="Times New Roman" w:eastAsiaTheme="minorHAnsi" w:ascii="Calibri" w:hAnsi="Calibri"/>
                <w:sz w:val="20"/>
                <w:szCs w:val="20"/>
                <w:lang w:eastAsia="en-US"/>
              </w:rPr>
              <w:t>0,076</w:t>
            </w:r>
          </w:p>
        </w:tc>
      </w:tr>
      <w:tr>
        <w:trPr>
          <w:trHeight w:val="20" w:hRule="atLeast"/>
        </w:trPr>
        <w:tc>
          <w:tcPr>
            <w:tcW w:w="704" w:type="dxa"/>
            <w:tcBorders/>
            <w:shd w:color="auto" w:fill="auto" w:val="clear"/>
          </w:tcPr>
          <w:p>
            <w:pPr>
              <w:pStyle w:val="Normal"/>
              <w:spacing w:lineRule="auto" w:line="240"/>
              <w:jc w:val="center"/>
              <w:rPr>
                <w:rFonts w:eastAsia="Times New Roman"/>
                <w:sz w:val="20"/>
                <w:szCs w:val="21"/>
              </w:rPr>
            </w:pPr>
            <w:r>
              <w:rPr>
                <w:rFonts w:eastAsia="Calibri" w:cs="" w:cstheme="minorBidi" w:eastAsiaTheme="minorHAnsi" w:ascii="Calibri" w:hAnsi="Calibri"/>
                <w:color w:val="000000"/>
                <w:sz w:val="20"/>
                <w:szCs w:val="20"/>
                <w:lang w:eastAsia="ru-RU"/>
              </w:rPr>
              <w:t>6.1.2</w:t>
            </w:r>
          </w:p>
        </w:tc>
        <w:tc>
          <w:tcPr>
            <w:tcW w:w="4675" w:type="dxa"/>
            <w:tcBorders/>
            <w:shd w:color="auto" w:fill="auto" w:val="clear"/>
          </w:tcPr>
          <w:p>
            <w:pPr>
              <w:pStyle w:val="Normal"/>
              <w:spacing w:lineRule="auto" w:line="240"/>
              <w:jc w:val="left"/>
              <w:rPr>
                <w:rFonts w:eastAsia="Times New Roman"/>
                <w:sz w:val="20"/>
                <w:szCs w:val="21"/>
              </w:rPr>
            </w:pPr>
            <w:r>
              <w:rPr>
                <w:rFonts w:eastAsia="Calibri" w:cs="" w:cstheme="minorBidi" w:eastAsiaTheme="minorHAnsi" w:ascii="Calibri" w:hAnsi="Calibri"/>
                <w:color w:val="000000"/>
                <w:sz w:val="20"/>
                <w:szCs w:val="20"/>
                <w:lang w:eastAsia="ru-RU"/>
              </w:rPr>
              <w:t>Протяженность сетей водоснабжения</w:t>
            </w:r>
          </w:p>
        </w:tc>
        <w:tc>
          <w:tcPr>
            <w:tcW w:w="1559" w:type="dxa"/>
            <w:tcBorders/>
            <w:shd w:color="auto" w:fill="auto" w:val="clear"/>
          </w:tcPr>
          <w:p>
            <w:pPr>
              <w:pStyle w:val="Normal"/>
              <w:spacing w:lineRule="auto" w:line="240"/>
              <w:jc w:val="center"/>
              <w:rPr>
                <w:rFonts w:eastAsia="Times New Roman"/>
                <w:sz w:val="20"/>
                <w:szCs w:val="21"/>
              </w:rPr>
            </w:pPr>
            <w:r>
              <w:rPr>
                <w:rFonts w:eastAsia="Calibri" w:cs="" w:cstheme="minorBidi" w:eastAsiaTheme="minorHAnsi" w:ascii="Calibri" w:hAnsi="Calibri"/>
                <w:color w:val="000000"/>
                <w:sz w:val="20"/>
                <w:szCs w:val="20"/>
                <w:lang w:eastAsia="ru-RU"/>
              </w:rPr>
              <w:t>км</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Calibri" w:cs="" w:cstheme="minorBidi" w:eastAsiaTheme="minorHAnsi" w:ascii="Calibri" w:hAnsi="Calibri"/>
                <w:color w:val="000000"/>
                <w:sz w:val="20"/>
                <w:szCs w:val="20"/>
                <w:lang w:eastAsia="ru-RU"/>
              </w:rPr>
              <w:t>13,1</w:t>
            </w:r>
          </w:p>
        </w:tc>
        <w:tc>
          <w:tcPr>
            <w:tcW w:w="1284" w:type="dxa"/>
            <w:tcBorders/>
            <w:shd w:color="auto" w:fill="auto" w:val="clear"/>
          </w:tcPr>
          <w:p>
            <w:pPr>
              <w:pStyle w:val="Normal"/>
              <w:spacing w:lineRule="auto" w:line="240"/>
              <w:jc w:val="center"/>
              <w:rPr>
                <w:rFonts w:eastAsia="Times New Roman"/>
                <w:color w:val="000000"/>
                <w:sz w:val="20"/>
                <w:szCs w:val="21"/>
              </w:rPr>
            </w:pPr>
            <w:r>
              <w:rPr>
                <w:rFonts w:eastAsia="Calibri" w:cs="" w:cstheme="minorBidi" w:eastAsiaTheme="minorHAnsi" w:ascii="Calibri" w:hAnsi="Calibri"/>
                <w:color w:val="000000"/>
                <w:sz w:val="20"/>
                <w:szCs w:val="20"/>
                <w:lang w:eastAsia="ru-RU"/>
              </w:rPr>
              <w:t>20,451</w:t>
            </w:r>
          </w:p>
        </w:tc>
      </w:tr>
      <w:tr>
        <w:trPr>
          <w:trHeight w:val="20" w:hRule="atLeast"/>
        </w:trPr>
        <w:tc>
          <w:tcPr>
            <w:tcW w:w="704" w:type="dxa"/>
            <w:tcBorders/>
            <w:shd w:color="auto" w:fill="auto" w:val="clear"/>
          </w:tcPr>
          <w:p>
            <w:pPr>
              <w:pStyle w:val="Normal"/>
              <w:spacing w:lineRule="auto" w:line="240"/>
              <w:jc w:val="center"/>
              <w:rPr>
                <w:rFonts w:eastAsia="Times New Roman"/>
                <w:sz w:val="20"/>
                <w:szCs w:val="21"/>
              </w:rPr>
            </w:pPr>
            <w:r>
              <w:rPr>
                <w:rFonts w:eastAsia="Calibri" w:cs="" w:cstheme="minorBidi" w:eastAsiaTheme="minorHAnsi" w:ascii="Calibri" w:hAnsi="Calibri"/>
                <w:b/>
                <w:color w:val="000000" w:themeColor="text1"/>
                <w:sz w:val="20"/>
                <w:szCs w:val="20"/>
                <w:lang w:eastAsia="ru-RU"/>
              </w:rPr>
              <w:t>6.2</w:t>
            </w:r>
          </w:p>
        </w:tc>
        <w:tc>
          <w:tcPr>
            <w:tcW w:w="9217" w:type="dxa"/>
            <w:gridSpan w:val="4"/>
            <w:tcBorders/>
            <w:shd w:color="auto" w:fill="auto" w:val="clear"/>
          </w:tcPr>
          <w:p>
            <w:pPr>
              <w:pStyle w:val="Normal"/>
              <w:spacing w:lineRule="auto" w:line="240"/>
              <w:jc w:val="left"/>
              <w:rPr>
                <w:rFonts w:eastAsia="Times New Roman"/>
                <w:color w:val="000000"/>
                <w:sz w:val="20"/>
                <w:szCs w:val="21"/>
              </w:rPr>
            </w:pPr>
            <w:r>
              <w:rPr>
                <w:rFonts w:eastAsia="Calibri" w:cs="" w:cstheme="minorBidi" w:eastAsiaTheme="minorHAnsi" w:ascii="Calibri" w:hAnsi="Calibri"/>
                <w:b/>
                <w:bCs/>
                <w:color w:val="000000"/>
                <w:sz w:val="20"/>
                <w:szCs w:val="20"/>
                <w:lang w:eastAsia="ru-RU"/>
              </w:rPr>
              <w:t>Водоотведение</w:t>
            </w:r>
          </w:p>
        </w:tc>
      </w:tr>
      <w:tr>
        <w:trPr>
          <w:trHeight w:val="20" w:hRule="atLeast"/>
        </w:trPr>
        <w:tc>
          <w:tcPr>
            <w:tcW w:w="704" w:type="dxa"/>
            <w:vMerge w:val="restart"/>
            <w:tcBorders/>
            <w:shd w:color="auto" w:fill="auto" w:val="clear"/>
          </w:tcPr>
          <w:p>
            <w:pPr>
              <w:pStyle w:val="Normal"/>
              <w:spacing w:lineRule="auto" w:line="240"/>
              <w:jc w:val="center"/>
              <w:rPr>
                <w:rFonts w:eastAsia="Times New Roman"/>
                <w:sz w:val="20"/>
                <w:szCs w:val="21"/>
              </w:rPr>
            </w:pPr>
            <w:r>
              <w:rPr>
                <w:rFonts w:eastAsia="Calibri" w:cs="" w:cstheme="minorBidi" w:eastAsiaTheme="minorHAnsi" w:ascii="Calibri" w:hAnsi="Calibri"/>
                <w:color w:val="000000" w:themeColor="text1"/>
                <w:sz w:val="20"/>
                <w:szCs w:val="20"/>
                <w:lang w:eastAsia="ru-RU"/>
              </w:rPr>
              <w:t>6.2.1</w:t>
            </w:r>
          </w:p>
        </w:tc>
        <w:tc>
          <w:tcPr>
            <w:tcW w:w="4675" w:type="dxa"/>
            <w:tcBorders/>
            <w:shd w:color="auto" w:fill="auto" w:val="clear"/>
          </w:tcPr>
          <w:p>
            <w:pPr>
              <w:pStyle w:val="Normal"/>
              <w:spacing w:lineRule="auto" w:line="240"/>
              <w:jc w:val="left"/>
              <w:rPr>
                <w:rFonts w:eastAsia="Times New Roman"/>
                <w:sz w:val="20"/>
                <w:szCs w:val="21"/>
              </w:rPr>
            </w:pPr>
            <w:r>
              <w:rPr>
                <w:rFonts w:eastAsia="Calibri" w:cs="" w:cstheme="minorBidi" w:eastAsiaTheme="minorHAnsi" w:ascii="Calibri" w:hAnsi="Calibri"/>
                <w:color w:val="000000"/>
                <w:sz w:val="20"/>
                <w:szCs w:val="20"/>
                <w:lang w:eastAsia="ru-RU"/>
              </w:rPr>
              <w:t>Общее поступление сточных вод</w:t>
            </w:r>
          </w:p>
        </w:tc>
        <w:tc>
          <w:tcPr>
            <w:tcW w:w="1559" w:type="dxa"/>
            <w:tcBorders/>
            <w:shd w:color="auto" w:fill="auto" w:val="clear"/>
          </w:tcPr>
          <w:p>
            <w:pPr>
              <w:pStyle w:val="Normal"/>
              <w:spacing w:lineRule="auto" w:line="240"/>
              <w:jc w:val="center"/>
              <w:rPr>
                <w:rFonts w:eastAsia="Times New Roman"/>
                <w:sz w:val="20"/>
                <w:szCs w:val="21"/>
              </w:rPr>
            </w:pPr>
            <w:r>
              <w:rPr>
                <w:rFonts w:eastAsia="Calibri" w:cs="" w:cstheme="minorBidi" w:eastAsiaTheme="minorHAnsi" w:ascii="Calibri" w:hAnsi="Calibri"/>
                <w:color w:val="000000"/>
                <w:sz w:val="20"/>
                <w:szCs w:val="20"/>
                <w:lang w:eastAsia="ru-RU"/>
              </w:rPr>
              <w:t>тыс. м</w:t>
            </w:r>
            <w:r>
              <w:rPr>
                <w:rFonts w:eastAsia="Calibri" w:cs="" w:cstheme="minorBidi" w:eastAsiaTheme="minorHAnsi" w:ascii="Calibri" w:hAnsi="Calibri"/>
                <w:color w:val="000000"/>
                <w:sz w:val="20"/>
                <w:szCs w:val="20"/>
                <w:vertAlign w:val="superscript"/>
                <w:lang w:eastAsia="ru-RU"/>
              </w:rPr>
              <w:t>3</w:t>
            </w:r>
            <w:r>
              <w:rPr>
                <w:rFonts w:eastAsia="Calibri" w:cs="" w:cstheme="minorBidi" w:eastAsiaTheme="minorHAnsi" w:ascii="Calibri" w:hAnsi="Calibri"/>
                <w:color w:val="000000"/>
                <w:sz w:val="20"/>
                <w:szCs w:val="20"/>
                <w:lang w:eastAsia="ru-RU"/>
              </w:rPr>
              <w:t>/ в сут</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Calibri" w:cs="" w:cstheme="minorBidi" w:eastAsiaTheme="minorHAnsi" w:ascii="Calibri" w:hAnsi="Calibri"/>
                <w:b/>
                <w:color w:val="000000" w:themeColor="text1"/>
                <w:sz w:val="20"/>
                <w:szCs w:val="20"/>
                <w:lang w:eastAsia="ru-RU"/>
              </w:rPr>
              <w:t>-</w:t>
            </w:r>
          </w:p>
        </w:tc>
        <w:tc>
          <w:tcPr>
            <w:tcW w:w="1284" w:type="dxa"/>
            <w:tcBorders/>
            <w:shd w:color="auto" w:fill="auto" w:val="clear"/>
          </w:tcPr>
          <w:p>
            <w:pPr>
              <w:pStyle w:val="Normal"/>
              <w:spacing w:lineRule="auto" w:line="240"/>
              <w:jc w:val="center"/>
              <w:rPr>
                <w:rFonts w:eastAsia="Times New Roman"/>
                <w:color w:val="000000"/>
                <w:sz w:val="20"/>
                <w:szCs w:val="21"/>
              </w:rPr>
            </w:pPr>
            <w:r>
              <w:rPr>
                <w:rFonts w:eastAsia="Calibri" w:cs="" w:cstheme="minorBidi" w:eastAsiaTheme="minorHAnsi" w:ascii="Calibri" w:hAnsi="Calibri"/>
                <w:color w:val="000000" w:themeColor="text1"/>
                <w:sz w:val="20"/>
                <w:szCs w:val="20"/>
                <w:lang w:eastAsia="ru-RU"/>
              </w:rPr>
              <w:t>0,340</w:t>
            </w:r>
          </w:p>
        </w:tc>
      </w:tr>
      <w:tr>
        <w:trPr>
          <w:trHeight w:val="20" w:hRule="atLeast"/>
        </w:trPr>
        <w:tc>
          <w:tcPr>
            <w:tcW w:w="704" w:type="dxa"/>
            <w:vMerge w:val="continue"/>
            <w:tcBorders/>
            <w:shd w:color="auto" w:fill="FFC000" w:themeFill="accent4"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9217" w:type="dxa"/>
            <w:gridSpan w:val="4"/>
            <w:tcBorders/>
            <w:shd w:color="auto" w:fill="auto" w:val="clear"/>
          </w:tcPr>
          <w:p>
            <w:pPr>
              <w:pStyle w:val="Normal"/>
              <w:spacing w:lineRule="auto" w:line="240"/>
              <w:jc w:val="left"/>
              <w:rPr>
                <w:rFonts w:eastAsia="Times New Roman"/>
                <w:color w:val="000000"/>
                <w:sz w:val="20"/>
                <w:szCs w:val="21"/>
              </w:rPr>
            </w:pPr>
            <w:r>
              <w:rPr>
                <w:rFonts w:eastAsia="Calibri" w:cs="" w:cstheme="minorBidi" w:eastAsiaTheme="minorHAnsi" w:ascii="Calibri" w:hAnsi="Calibri"/>
                <w:color w:val="000000"/>
                <w:sz w:val="20"/>
                <w:szCs w:val="20"/>
                <w:lang w:eastAsia="ru-RU"/>
              </w:rPr>
              <w:t>в том числе:</w:t>
            </w:r>
          </w:p>
        </w:tc>
      </w:tr>
      <w:tr>
        <w:trPr>
          <w:trHeight w:val="20" w:hRule="atLeast"/>
        </w:trPr>
        <w:tc>
          <w:tcPr>
            <w:tcW w:w="704" w:type="dxa"/>
            <w:vMerge w:val="continue"/>
            <w:tcBorders/>
            <w:shd w:color="auto" w:fill="FFC000" w:themeFill="accent4"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shd w:color="auto" w:fill="auto" w:val="clear"/>
          </w:tcPr>
          <w:p>
            <w:pPr>
              <w:pStyle w:val="Normal"/>
              <w:spacing w:lineRule="auto" w:line="240"/>
              <w:jc w:val="left"/>
              <w:rPr>
                <w:rFonts w:eastAsia="Times New Roman"/>
                <w:sz w:val="20"/>
                <w:szCs w:val="21"/>
              </w:rPr>
            </w:pPr>
            <w:r>
              <w:rPr>
                <w:rFonts w:eastAsia="Calibri" w:cs="" w:cstheme="minorBidi" w:eastAsiaTheme="minorHAnsi" w:ascii="Calibri" w:hAnsi="Calibri"/>
                <w:color w:val="000000"/>
                <w:sz w:val="20"/>
                <w:szCs w:val="20"/>
                <w:lang w:eastAsia="ru-RU"/>
              </w:rPr>
              <w:t>хозяйственно-бытовые сточные воды</w:t>
            </w:r>
          </w:p>
        </w:tc>
        <w:tc>
          <w:tcPr>
            <w:tcW w:w="1559" w:type="dxa"/>
            <w:tcBorders/>
            <w:shd w:color="auto" w:fill="auto" w:val="clear"/>
          </w:tcPr>
          <w:p>
            <w:pPr>
              <w:pStyle w:val="Normal"/>
              <w:spacing w:lineRule="auto" w:line="240"/>
              <w:jc w:val="center"/>
              <w:rPr>
                <w:rFonts w:eastAsia="Times New Roman"/>
                <w:sz w:val="20"/>
                <w:szCs w:val="21"/>
              </w:rPr>
            </w:pPr>
            <w:r>
              <w:rPr>
                <w:rFonts w:eastAsia="Calibri" w:cs="" w:cstheme="minorBidi" w:eastAsiaTheme="minorHAnsi" w:ascii="Calibri" w:hAnsi="Calibri"/>
                <w:color w:val="000000"/>
                <w:sz w:val="20"/>
                <w:szCs w:val="20"/>
                <w:lang w:eastAsia="ru-RU"/>
              </w:rPr>
              <w:t>тыс. м</w:t>
            </w:r>
            <w:r>
              <w:rPr>
                <w:rFonts w:eastAsia="Calibri" w:cs="" w:cstheme="minorBidi" w:eastAsiaTheme="minorHAnsi" w:ascii="Calibri" w:hAnsi="Calibri"/>
                <w:color w:val="000000"/>
                <w:sz w:val="20"/>
                <w:szCs w:val="20"/>
                <w:vertAlign w:val="superscript"/>
                <w:lang w:eastAsia="ru-RU"/>
              </w:rPr>
              <w:t>3</w:t>
            </w:r>
            <w:r>
              <w:rPr>
                <w:rFonts w:eastAsia="Calibri" w:cs="" w:cstheme="minorBidi" w:eastAsiaTheme="minorHAnsi" w:ascii="Calibri" w:hAnsi="Calibri"/>
                <w:color w:val="000000"/>
                <w:sz w:val="20"/>
                <w:szCs w:val="20"/>
                <w:lang w:eastAsia="ru-RU"/>
              </w:rPr>
              <w:t>/ в сут</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Calibri" w:cs="" w:cstheme="minorBidi" w:eastAsiaTheme="minorHAnsi" w:ascii="Calibri" w:hAnsi="Calibri"/>
                <w:b/>
                <w:color w:val="000000" w:themeColor="text1"/>
                <w:sz w:val="20"/>
                <w:szCs w:val="20"/>
                <w:lang w:eastAsia="ru-RU"/>
              </w:rPr>
              <w:t>-</w:t>
            </w:r>
          </w:p>
        </w:tc>
        <w:tc>
          <w:tcPr>
            <w:tcW w:w="1284" w:type="dxa"/>
            <w:tcBorders/>
            <w:shd w:color="auto" w:fill="auto" w:val="clear"/>
          </w:tcPr>
          <w:p>
            <w:pPr>
              <w:pStyle w:val="Normal"/>
              <w:spacing w:lineRule="auto" w:line="240"/>
              <w:jc w:val="center"/>
              <w:rPr>
                <w:rFonts w:eastAsia="Times New Roman"/>
                <w:color w:val="000000"/>
                <w:sz w:val="20"/>
                <w:szCs w:val="21"/>
              </w:rPr>
            </w:pPr>
            <w:r>
              <w:rPr>
                <w:rFonts w:eastAsia="Calibri" w:cs="" w:cstheme="minorBidi" w:eastAsiaTheme="minorHAnsi" w:ascii="Calibri" w:hAnsi="Calibri"/>
                <w:color w:val="000000" w:themeColor="text1"/>
                <w:sz w:val="20"/>
                <w:szCs w:val="20"/>
                <w:lang w:eastAsia="ru-RU"/>
              </w:rPr>
              <w:t>0,301</w:t>
            </w:r>
          </w:p>
        </w:tc>
      </w:tr>
      <w:tr>
        <w:trPr>
          <w:trHeight w:val="20" w:hRule="atLeast"/>
        </w:trPr>
        <w:tc>
          <w:tcPr>
            <w:tcW w:w="704" w:type="dxa"/>
            <w:vMerge w:val="continue"/>
            <w:tcBorders/>
            <w:shd w:color="auto" w:fill="FFC000" w:themeFill="accent4"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shd w:color="auto" w:fill="auto" w:val="clear"/>
          </w:tcPr>
          <w:p>
            <w:pPr>
              <w:pStyle w:val="Normal"/>
              <w:spacing w:lineRule="auto" w:line="240"/>
              <w:jc w:val="left"/>
              <w:rPr>
                <w:rFonts w:eastAsia="Times New Roman"/>
                <w:sz w:val="20"/>
                <w:szCs w:val="21"/>
              </w:rPr>
            </w:pPr>
            <w:r>
              <w:rPr>
                <w:rFonts w:eastAsia="Calibri" w:cs="" w:cstheme="minorBidi" w:eastAsiaTheme="minorHAnsi" w:ascii="Calibri" w:hAnsi="Calibri"/>
                <w:color w:val="000000"/>
                <w:sz w:val="20"/>
                <w:szCs w:val="20"/>
                <w:lang w:eastAsia="ru-RU"/>
              </w:rPr>
              <w:t>неучтенные</w:t>
            </w:r>
          </w:p>
        </w:tc>
        <w:tc>
          <w:tcPr>
            <w:tcW w:w="1559" w:type="dxa"/>
            <w:tcBorders/>
            <w:shd w:color="auto" w:fill="auto" w:val="clear"/>
          </w:tcPr>
          <w:p>
            <w:pPr>
              <w:pStyle w:val="Normal"/>
              <w:spacing w:lineRule="auto" w:line="240"/>
              <w:jc w:val="center"/>
              <w:rPr>
                <w:rFonts w:eastAsia="Times New Roman"/>
                <w:sz w:val="20"/>
                <w:szCs w:val="21"/>
              </w:rPr>
            </w:pPr>
            <w:r>
              <w:rPr>
                <w:rFonts w:eastAsia="Calibri" w:cs="" w:cstheme="minorBidi" w:eastAsiaTheme="minorHAnsi" w:ascii="Calibri" w:hAnsi="Calibri"/>
                <w:color w:val="000000"/>
                <w:sz w:val="20"/>
                <w:szCs w:val="20"/>
                <w:lang w:eastAsia="ru-RU"/>
              </w:rPr>
              <w:t>тыс. м</w:t>
            </w:r>
            <w:r>
              <w:rPr>
                <w:rFonts w:eastAsia="Calibri" w:cs="" w:cstheme="minorBidi" w:eastAsiaTheme="minorHAnsi" w:ascii="Calibri" w:hAnsi="Calibri"/>
                <w:color w:val="000000"/>
                <w:sz w:val="20"/>
                <w:szCs w:val="20"/>
                <w:vertAlign w:val="superscript"/>
                <w:lang w:eastAsia="ru-RU"/>
              </w:rPr>
              <w:t>3</w:t>
            </w:r>
            <w:r>
              <w:rPr>
                <w:rFonts w:eastAsia="Calibri" w:cs="" w:cstheme="minorBidi" w:eastAsiaTheme="minorHAnsi" w:ascii="Calibri" w:hAnsi="Calibri"/>
                <w:color w:val="000000"/>
                <w:sz w:val="20"/>
                <w:szCs w:val="20"/>
                <w:lang w:eastAsia="ru-RU"/>
              </w:rPr>
              <w:t>/ в сут</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Calibri" w:cs="" w:cstheme="minorBidi" w:eastAsiaTheme="minorHAnsi" w:ascii="Calibri" w:hAnsi="Calibri"/>
                <w:b/>
                <w:color w:val="000000" w:themeColor="text1"/>
                <w:sz w:val="20"/>
                <w:szCs w:val="20"/>
                <w:lang w:eastAsia="ru-RU"/>
              </w:rPr>
              <w:t>-</w:t>
            </w:r>
          </w:p>
        </w:tc>
        <w:tc>
          <w:tcPr>
            <w:tcW w:w="1284" w:type="dxa"/>
            <w:tcBorders/>
            <w:shd w:color="auto" w:fill="auto" w:val="clear"/>
          </w:tcPr>
          <w:p>
            <w:pPr>
              <w:pStyle w:val="Normal"/>
              <w:spacing w:lineRule="auto" w:line="240"/>
              <w:jc w:val="center"/>
              <w:rPr>
                <w:rFonts w:eastAsia="Times New Roman"/>
                <w:color w:val="000000"/>
                <w:sz w:val="20"/>
                <w:szCs w:val="21"/>
              </w:rPr>
            </w:pPr>
            <w:r>
              <w:rPr>
                <w:rFonts w:eastAsia="Calibri" w:cs="" w:cstheme="minorBidi" w:eastAsiaTheme="minorHAnsi" w:ascii="Calibri" w:hAnsi="Calibri"/>
                <w:color w:val="000000" w:themeColor="text1"/>
                <w:sz w:val="20"/>
                <w:szCs w:val="20"/>
                <w:lang w:eastAsia="ru-RU"/>
              </w:rPr>
              <w:t>0,015</w:t>
            </w:r>
          </w:p>
        </w:tc>
      </w:tr>
      <w:tr>
        <w:trPr>
          <w:trHeight w:val="20" w:hRule="atLeast"/>
        </w:trPr>
        <w:tc>
          <w:tcPr>
            <w:tcW w:w="704" w:type="dxa"/>
            <w:vMerge w:val="continue"/>
            <w:tcBorders/>
            <w:shd w:color="auto" w:fill="FFC000" w:themeFill="accent4"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shd w:color="auto" w:fill="auto" w:val="clear"/>
          </w:tcPr>
          <w:p>
            <w:pPr>
              <w:pStyle w:val="Normal"/>
              <w:spacing w:lineRule="auto" w:line="240"/>
              <w:jc w:val="left"/>
              <w:rPr>
                <w:rFonts w:eastAsia="Times New Roman"/>
                <w:sz w:val="20"/>
                <w:szCs w:val="21"/>
              </w:rPr>
            </w:pPr>
            <w:r>
              <w:rPr>
                <w:rFonts w:eastAsia="Calibri" w:cs="" w:cstheme="minorBidi" w:eastAsiaTheme="minorHAnsi" w:ascii="Calibri" w:hAnsi="Calibri"/>
                <w:color w:val="000000"/>
                <w:sz w:val="20"/>
                <w:szCs w:val="20"/>
                <w:lang w:eastAsia="ru-RU"/>
              </w:rPr>
              <w:t>производственные сточные воды</w:t>
            </w:r>
          </w:p>
        </w:tc>
        <w:tc>
          <w:tcPr>
            <w:tcW w:w="1559" w:type="dxa"/>
            <w:tcBorders/>
            <w:shd w:color="auto" w:fill="auto" w:val="clear"/>
          </w:tcPr>
          <w:p>
            <w:pPr>
              <w:pStyle w:val="Normal"/>
              <w:spacing w:lineRule="auto" w:line="240"/>
              <w:jc w:val="center"/>
              <w:rPr>
                <w:rFonts w:eastAsia="Times New Roman"/>
                <w:sz w:val="20"/>
                <w:szCs w:val="21"/>
              </w:rPr>
            </w:pPr>
            <w:r>
              <w:rPr>
                <w:rFonts w:eastAsia="Calibri" w:cs="" w:cstheme="minorBidi" w:eastAsiaTheme="minorHAnsi" w:ascii="Calibri" w:hAnsi="Calibri"/>
                <w:color w:val="000000"/>
                <w:sz w:val="20"/>
                <w:szCs w:val="20"/>
                <w:lang w:eastAsia="ru-RU"/>
              </w:rPr>
              <w:t>тыс. м</w:t>
            </w:r>
            <w:r>
              <w:rPr>
                <w:rFonts w:eastAsia="Calibri" w:cs="" w:cstheme="minorBidi" w:eastAsiaTheme="minorHAnsi" w:ascii="Calibri" w:hAnsi="Calibri"/>
                <w:color w:val="000000"/>
                <w:sz w:val="20"/>
                <w:szCs w:val="20"/>
                <w:vertAlign w:val="superscript"/>
                <w:lang w:eastAsia="ru-RU"/>
              </w:rPr>
              <w:t>3</w:t>
            </w:r>
            <w:r>
              <w:rPr>
                <w:rFonts w:eastAsia="Calibri" w:cs="" w:cstheme="minorBidi" w:eastAsiaTheme="minorHAnsi" w:ascii="Calibri" w:hAnsi="Calibri"/>
                <w:color w:val="000000"/>
                <w:sz w:val="20"/>
                <w:szCs w:val="20"/>
                <w:lang w:eastAsia="ru-RU"/>
              </w:rPr>
              <w:t>/ в сут</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Calibri" w:cs="" w:cstheme="minorBidi" w:eastAsiaTheme="minorHAnsi" w:ascii="Calibri" w:hAnsi="Calibri"/>
                <w:b/>
                <w:color w:val="000000" w:themeColor="text1"/>
                <w:sz w:val="20"/>
                <w:szCs w:val="20"/>
                <w:lang w:eastAsia="ru-RU"/>
              </w:rPr>
              <w:t>-</w:t>
            </w:r>
          </w:p>
        </w:tc>
        <w:tc>
          <w:tcPr>
            <w:tcW w:w="1284" w:type="dxa"/>
            <w:tcBorders/>
            <w:shd w:color="auto" w:fill="auto" w:val="clear"/>
          </w:tcPr>
          <w:p>
            <w:pPr>
              <w:pStyle w:val="Normal"/>
              <w:spacing w:lineRule="auto" w:line="240"/>
              <w:jc w:val="center"/>
              <w:rPr>
                <w:rFonts w:eastAsia="Times New Roman"/>
                <w:color w:val="000000"/>
                <w:sz w:val="20"/>
                <w:szCs w:val="21"/>
              </w:rPr>
            </w:pPr>
            <w:r>
              <w:rPr>
                <w:rFonts w:eastAsia="Calibri" w:cs="" w:cstheme="minorBidi" w:eastAsiaTheme="minorHAnsi" w:ascii="Calibri" w:hAnsi="Calibri"/>
                <w:color w:val="000000" w:themeColor="text1"/>
                <w:sz w:val="20"/>
                <w:szCs w:val="20"/>
                <w:lang w:eastAsia="ru-RU"/>
              </w:rPr>
              <w:t>0,024</w:t>
            </w:r>
          </w:p>
        </w:tc>
      </w:tr>
      <w:tr>
        <w:trPr>
          <w:trHeight w:val="20" w:hRule="atLeast"/>
        </w:trPr>
        <w:tc>
          <w:tcPr>
            <w:tcW w:w="704" w:type="dxa"/>
            <w:tcBorders/>
            <w:shd w:color="auto" w:fill="auto" w:val="clear"/>
          </w:tcPr>
          <w:p>
            <w:pPr>
              <w:pStyle w:val="Normal"/>
              <w:spacing w:lineRule="auto" w:line="240"/>
              <w:jc w:val="center"/>
              <w:rPr>
                <w:rFonts w:eastAsia="Times New Roman"/>
                <w:sz w:val="20"/>
                <w:szCs w:val="21"/>
              </w:rPr>
            </w:pPr>
            <w:r>
              <w:rPr>
                <w:rFonts w:eastAsia="Calibri" w:cs="" w:cstheme="minorBidi" w:eastAsiaTheme="minorHAnsi" w:ascii="Calibri" w:hAnsi="Calibri"/>
                <w:color w:val="000000"/>
                <w:sz w:val="20"/>
                <w:szCs w:val="20"/>
                <w:lang w:eastAsia="ru-RU"/>
              </w:rPr>
              <w:t>6.2.2</w:t>
            </w:r>
          </w:p>
        </w:tc>
        <w:tc>
          <w:tcPr>
            <w:tcW w:w="4675" w:type="dxa"/>
            <w:tcBorders/>
            <w:shd w:color="auto" w:fill="auto" w:val="clear"/>
          </w:tcPr>
          <w:p>
            <w:pPr>
              <w:pStyle w:val="Normal"/>
              <w:spacing w:lineRule="auto" w:line="240"/>
              <w:jc w:val="left"/>
              <w:rPr>
                <w:rFonts w:eastAsia="Times New Roman"/>
                <w:sz w:val="20"/>
                <w:szCs w:val="21"/>
              </w:rPr>
            </w:pPr>
            <w:r>
              <w:rPr>
                <w:rFonts w:eastAsia="Calibri" w:cs="" w:cstheme="minorBidi" w:eastAsiaTheme="minorHAnsi" w:ascii="Calibri" w:hAnsi="Calibri"/>
                <w:color w:val="000000"/>
                <w:sz w:val="20"/>
                <w:szCs w:val="20"/>
                <w:lang w:eastAsia="ru-RU"/>
              </w:rPr>
              <w:t>Протяженность сетей канализации</w:t>
            </w:r>
          </w:p>
        </w:tc>
        <w:tc>
          <w:tcPr>
            <w:tcW w:w="1559" w:type="dxa"/>
            <w:tcBorders/>
            <w:shd w:color="auto" w:fill="auto" w:val="clear"/>
          </w:tcPr>
          <w:p>
            <w:pPr>
              <w:pStyle w:val="Normal"/>
              <w:spacing w:lineRule="auto" w:line="240"/>
              <w:jc w:val="center"/>
              <w:rPr>
                <w:rFonts w:eastAsia="Times New Roman"/>
                <w:sz w:val="20"/>
                <w:szCs w:val="21"/>
              </w:rPr>
            </w:pPr>
            <w:r>
              <w:rPr>
                <w:rFonts w:eastAsia="Calibri" w:cs="" w:cstheme="minorBidi" w:eastAsiaTheme="minorHAnsi" w:ascii="Calibri" w:hAnsi="Calibri"/>
                <w:color w:val="000000"/>
                <w:sz w:val="20"/>
                <w:szCs w:val="20"/>
                <w:lang w:eastAsia="ru-RU"/>
              </w:rPr>
              <w:t>км</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Calibri" w:cs="" w:cstheme="minorBidi" w:eastAsiaTheme="minorHAnsi" w:ascii="Calibri" w:hAnsi="Calibri"/>
                <w:color w:val="000000"/>
                <w:sz w:val="20"/>
                <w:szCs w:val="20"/>
                <w:lang w:eastAsia="ru-RU"/>
              </w:rPr>
              <w:t>-</w:t>
            </w:r>
          </w:p>
        </w:tc>
        <w:tc>
          <w:tcPr>
            <w:tcW w:w="1284" w:type="dxa"/>
            <w:tcBorders/>
            <w:shd w:color="auto" w:fill="auto" w:val="clear"/>
          </w:tcPr>
          <w:p>
            <w:pPr>
              <w:pStyle w:val="Normal"/>
              <w:spacing w:lineRule="auto" w:line="240"/>
              <w:jc w:val="center"/>
              <w:rPr>
                <w:rFonts w:eastAsia="Times New Roman"/>
                <w:color w:val="000000"/>
                <w:sz w:val="20"/>
                <w:szCs w:val="21"/>
              </w:rPr>
            </w:pPr>
            <w:r>
              <w:rPr>
                <w:rFonts w:eastAsia="Calibri" w:cs="" w:cstheme="minorBidi" w:eastAsiaTheme="minorHAnsi" w:ascii="Calibri" w:hAnsi="Calibri"/>
                <w:color w:val="000000"/>
                <w:sz w:val="20"/>
                <w:szCs w:val="20"/>
                <w:lang w:eastAsia="ru-RU"/>
              </w:rPr>
              <w:t>3,2</w:t>
            </w:r>
          </w:p>
        </w:tc>
      </w:tr>
      <w:tr>
        <w:trPr>
          <w:trHeight w:val="20" w:hRule="atLeast"/>
        </w:trPr>
        <w:tc>
          <w:tcPr>
            <w:tcW w:w="704" w:type="dxa"/>
            <w:tcBorders/>
            <w:shd w:color="auto" w:fill="auto" w:val="clear"/>
          </w:tcPr>
          <w:p>
            <w:pPr>
              <w:pStyle w:val="Normal"/>
              <w:spacing w:lineRule="auto" w:line="240"/>
              <w:jc w:val="center"/>
              <w:rPr>
                <w:rFonts w:eastAsia="Times New Roman"/>
                <w:sz w:val="20"/>
                <w:szCs w:val="21"/>
              </w:rPr>
            </w:pPr>
            <w:r>
              <w:rPr>
                <w:rFonts w:eastAsia="Tahoma" w:cs="" w:cstheme="minorBidi" w:ascii="Calibri" w:hAnsi="Calibri"/>
                <w:b/>
                <w:color w:val="000000"/>
                <w:sz w:val="20"/>
                <w:szCs w:val="20"/>
                <w:lang w:eastAsia="ru-RU" w:bidi="ru-RU"/>
              </w:rPr>
              <w:t>6.3</w:t>
            </w:r>
          </w:p>
        </w:tc>
        <w:tc>
          <w:tcPr>
            <w:tcW w:w="9217" w:type="dxa"/>
            <w:gridSpan w:val="4"/>
            <w:tcBorders/>
            <w:shd w:color="auto" w:fill="auto" w:val="clear"/>
          </w:tcPr>
          <w:p>
            <w:pPr>
              <w:pStyle w:val="Normal"/>
              <w:spacing w:lineRule="auto" w:line="240"/>
              <w:jc w:val="left"/>
              <w:rPr>
                <w:rFonts w:eastAsia="Times New Roman"/>
                <w:color w:val="000000"/>
                <w:sz w:val="20"/>
                <w:szCs w:val="21"/>
              </w:rPr>
            </w:pPr>
            <w:r>
              <w:rPr>
                <w:rFonts w:eastAsia="Tahoma" w:cs="" w:cstheme="minorBidi" w:ascii="Calibri" w:hAnsi="Calibri"/>
                <w:b/>
                <w:color w:val="000000"/>
                <w:sz w:val="20"/>
                <w:szCs w:val="20"/>
                <w:lang w:eastAsia="ru-RU" w:bidi="ru-RU"/>
              </w:rPr>
              <w:t>Электроснабжение</w:t>
            </w:r>
          </w:p>
        </w:tc>
      </w:tr>
      <w:tr>
        <w:trPr>
          <w:trHeight w:val="20" w:hRule="atLeast"/>
        </w:trPr>
        <w:tc>
          <w:tcPr>
            <w:tcW w:w="704" w:type="dxa"/>
            <w:vMerge w:val="restart"/>
            <w:tcBorders/>
            <w:shd w:color="auto" w:fill="auto" w:val="clear"/>
          </w:tcPr>
          <w:p>
            <w:pPr>
              <w:pStyle w:val="Normal"/>
              <w:spacing w:lineRule="auto" w:line="240"/>
              <w:jc w:val="center"/>
              <w:rPr>
                <w:rFonts w:eastAsia="Times New Roman"/>
                <w:sz w:val="20"/>
                <w:szCs w:val="21"/>
              </w:rPr>
            </w:pPr>
            <w:r>
              <w:rPr>
                <w:rFonts w:eastAsia="Tahoma" w:cs="" w:cstheme="minorBidi" w:ascii="Calibri" w:hAnsi="Calibri"/>
                <w:color w:val="000000"/>
                <w:sz w:val="20"/>
                <w:szCs w:val="20"/>
                <w:lang w:eastAsia="ru-RU" w:bidi="ru-RU"/>
              </w:rPr>
              <w:t>6.3.1</w:t>
            </w:r>
          </w:p>
        </w:tc>
        <w:tc>
          <w:tcPr>
            <w:tcW w:w="4675" w:type="dxa"/>
            <w:tcBorders/>
            <w:shd w:color="auto" w:fill="auto" w:val="clear"/>
          </w:tcPr>
          <w:p>
            <w:pPr>
              <w:pStyle w:val="Normal"/>
              <w:spacing w:lineRule="auto" w:line="240"/>
              <w:jc w:val="left"/>
              <w:rPr>
                <w:rFonts w:eastAsia="Times New Roman"/>
                <w:sz w:val="20"/>
                <w:szCs w:val="21"/>
              </w:rPr>
            </w:pPr>
            <w:r>
              <w:rPr>
                <w:rFonts w:eastAsia="Tahoma" w:cs="" w:cstheme="minorBidi" w:ascii="Calibri" w:hAnsi="Calibri"/>
                <w:color w:val="000000"/>
                <w:sz w:val="20"/>
                <w:szCs w:val="20"/>
                <w:lang w:eastAsia="ru-RU" w:bidi="ru-RU"/>
              </w:rPr>
              <w:t>Электропотребление, всего</w:t>
            </w:r>
          </w:p>
        </w:tc>
        <w:tc>
          <w:tcPr>
            <w:tcW w:w="1559" w:type="dxa"/>
            <w:tcBorders/>
            <w:shd w:color="auto" w:fill="auto" w:val="clear"/>
          </w:tcPr>
          <w:p>
            <w:pPr>
              <w:pStyle w:val="Normal"/>
              <w:spacing w:lineRule="auto" w:line="240"/>
              <w:jc w:val="center"/>
              <w:rPr>
                <w:rFonts w:eastAsia="Times New Roman"/>
                <w:sz w:val="20"/>
                <w:szCs w:val="21"/>
              </w:rPr>
            </w:pPr>
            <w:r>
              <w:rPr>
                <w:rFonts w:eastAsia="Tahoma" w:cs="" w:cstheme="minorBidi" w:ascii="Calibri" w:hAnsi="Calibri"/>
                <w:color w:val="000000"/>
                <w:sz w:val="20"/>
                <w:szCs w:val="20"/>
                <w:lang w:eastAsia="ru-RU" w:bidi="ru-RU"/>
              </w:rPr>
              <w:t>млн. кВт*ч/год</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Times New Roman" w:cs="" w:cstheme="minorBidi" w:ascii="Calibri" w:hAnsi="Calibri"/>
                <w:color w:val="000000"/>
                <w:sz w:val="20"/>
                <w:szCs w:val="21"/>
                <w:lang w:eastAsia="en-US"/>
              </w:rPr>
              <w:t>6,5</w:t>
            </w:r>
          </w:p>
        </w:tc>
        <w:tc>
          <w:tcPr>
            <w:tcW w:w="1284" w:type="dxa"/>
            <w:tcBorders/>
            <w:shd w:color="auto" w:fill="auto" w:val="clear"/>
          </w:tcPr>
          <w:p>
            <w:pPr>
              <w:pStyle w:val="Normal"/>
              <w:spacing w:lineRule="auto" w:line="240"/>
              <w:jc w:val="center"/>
              <w:rPr>
                <w:rFonts w:eastAsia="Times New Roman"/>
                <w:color w:val="000000"/>
                <w:sz w:val="20"/>
                <w:szCs w:val="21"/>
              </w:rPr>
            </w:pPr>
            <w:r>
              <w:rPr>
                <w:rFonts w:eastAsia="Tahoma" w:cs="" w:cstheme="minorBidi" w:ascii="Calibri" w:hAnsi="Calibri"/>
                <w:color w:val="000000"/>
                <w:sz w:val="20"/>
                <w:szCs w:val="20"/>
                <w:lang w:eastAsia="ru-RU" w:bidi="ru-RU"/>
              </w:rPr>
              <w:t>6,7</w:t>
            </w:r>
          </w:p>
        </w:tc>
      </w:tr>
      <w:tr>
        <w:trPr>
          <w:trHeight w:val="20" w:hRule="atLeast"/>
        </w:trPr>
        <w:tc>
          <w:tcPr>
            <w:tcW w:w="704" w:type="dxa"/>
            <w:vMerge w:val="continue"/>
            <w:tcBorders/>
            <w:shd w:color="auto" w:fill="FFC000" w:themeFill="accent4"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shd w:color="auto" w:fill="auto" w:val="clear"/>
          </w:tcPr>
          <w:p>
            <w:pPr>
              <w:pStyle w:val="Normal"/>
              <w:spacing w:lineRule="auto" w:line="240"/>
              <w:jc w:val="left"/>
              <w:rPr>
                <w:rFonts w:eastAsia="Times New Roman"/>
                <w:sz w:val="20"/>
                <w:szCs w:val="21"/>
              </w:rPr>
            </w:pPr>
            <w:r>
              <w:rPr>
                <w:rFonts w:eastAsia="Tahoma" w:cs="" w:cstheme="minorBidi" w:ascii="Calibri" w:hAnsi="Calibri"/>
                <w:color w:val="000000"/>
                <w:sz w:val="20"/>
                <w:szCs w:val="20"/>
                <w:lang w:eastAsia="ru-RU" w:bidi="ru-RU"/>
              </w:rPr>
              <w:t>Протяженность сетей всего</w:t>
            </w:r>
          </w:p>
        </w:tc>
        <w:tc>
          <w:tcPr>
            <w:tcW w:w="1559" w:type="dxa"/>
            <w:tcBorders/>
            <w:shd w:color="auto" w:fill="auto" w:val="clear"/>
          </w:tcPr>
          <w:p>
            <w:pPr>
              <w:pStyle w:val="Normal"/>
              <w:spacing w:lineRule="auto" w:line="240"/>
              <w:jc w:val="center"/>
              <w:rPr>
                <w:rFonts w:eastAsia="Times New Roman"/>
                <w:sz w:val="20"/>
                <w:szCs w:val="21"/>
              </w:rPr>
            </w:pPr>
            <w:r>
              <w:rPr>
                <w:rFonts w:eastAsia="Tahoma" w:cs="" w:cstheme="minorBidi" w:ascii="Calibri" w:hAnsi="Calibri"/>
                <w:color w:val="000000"/>
                <w:sz w:val="20"/>
                <w:szCs w:val="20"/>
                <w:lang w:eastAsia="ru-RU" w:bidi="ru-RU"/>
              </w:rPr>
              <w:t>км</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Tahoma" w:cs="" w:cstheme="minorBidi" w:ascii="Calibri" w:hAnsi="Calibri"/>
                <w:color w:val="000000"/>
                <w:sz w:val="20"/>
                <w:szCs w:val="20"/>
                <w:lang w:eastAsia="ru-RU" w:bidi="ru-RU"/>
              </w:rPr>
              <w:t>138,06</w:t>
            </w:r>
          </w:p>
        </w:tc>
        <w:tc>
          <w:tcPr>
            <w:tcW w:w="1284" w:type="dxa"/>
            <w:tcBorders/>
            <w:shd w:color="auto" w:fill="auto" w:val="clear"/>
          </w:tcPr>
          <w:p>
            <w:pPr>
              <w:pStyle w:val="Normal"/>
              <w:spacing w:lineRule="auto" w:line="240"/>
              <w:jc w:val="center"/>
              <w:rPr>
                <w:rFonts w:eastAsia="Times New Roman"/>
                <w:color w:val="000000"/>
                <w:sz w:val="20"/>
                <w:szCs w:val="21"/>
              </w:rPr>
            </w:pPr>
            <w:r>
              <w:rPr>
                <w:rFonts w:eastAsia="Tahoma" w:cs="" w:cstheme="minorBidi" w:ascii="Calibri" w:hAnsi="Calibri"/>
                <w:color w:val="000000"/>
                <w:sz w:val="20"/>
                <w:szCs w:val="20"/>
                <w:lang w:eastAsia="ru-RU" w:bidi="ru-RU"/>
              </w:rPr>
              <w:t>138,06</w:t>
            </w:r>
          </w:p>
        </w:tc>
      </w:tr>
      <w:tr>
        <w:trPr>
          <w:trHeight w:val="20" w:hRule="atLeast"/>
        </w:trPr>
        <w:tc>
          <w:tcPr>
            <w:tcW w:w="704" w:type="dxa"/>
            <w:vMerge w:val="continue"/>
            <w:tcBorders/>
            <w:shd w:color="auto" w:fill="FFC000" w:themeFill="accent4"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9217" w:type="dxa"/>
            <w:gridSpan w:val="4"/>
            <w:tcBorders/>
            <w:shd w:color="auto" w:fill="auto" w:val="clear"/>
          </w:tcPr>
          <w:p>
            <w:pPr>
              <w:pStyle w:val="Normal"/>
              <w:spacing w:lineRule="auto" w:line="240"/>
              <w:jc w:val="left"/>
              <w:rPr>
                <w:rFonts w:eastAsia="Times New Roman"/>
                <w:color w:val="000000"/>
                <w:sz w:val="20"/>
                <w:szCs w:val="21"/>
              </w:rPr>
            </w:pPr>
            <w:r>
              <w:rPr>
                <w:rFonts w:eastAsia="Tahoma" w:cs="" w:cstheme="minorBidi" w:ascii="Calibri" w:hAnsi="Calibri"/>
                <w:color w:val="000000"/>
                <w:sz w:val="20"/>
                <w:szCs w:val="20"/>
                <w:lang w:eastAsia="ru-RU" w:bidi="ru-RU"/>
              </w:rPr>
              <w:t>в том числе:</w:t>
            </w:r>
          </w:p>
        </w:tc>
      </w:tr>
      <w:tr>
        <w:trPr>
          <w:trHeight w:val="20" w:hRule="atLeast"/>
        </w:trPr>
        <w:tc>
          <w:tcPr>
            <w:tcW w:w="704" w:type="dxa"/>
            <w:vMerge w:val="continue"/>
            <w:tcBorders/>
            <w:shd w:color="auto" w:fill="FFC000" w:themeFill="accent4"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shd w:color="auto" w:fill="auto" w:val="clear"/>
          </w:tcPr>
          <w:p>
            <w:pPr>
              <w:pStyle w:val="Normal"/>
              <w:spacing w:lineRule="auto" w:line="240"/>
              <w:jc w:val="left"/>
              <w:rPr>
                <w:rFonts w:eastAsia="Times New Roman"/>
                <w:sz w:val="20"/>
                <w:szCs w:val="21"/>
              </w:rPr>
            </w:pPr>
            <w:r>
              <w:rPr>
                <w:rFonts w:eastAsia="Tahoma" w:cs="" w:cstheme="minorBidi" w:ascii="Calibri" w:hAnsi="Calibri"/>
                <w:color w:val="000000"/>
                <w:sz w:val="20"/>
                <w:szCs w:val="20"/>
                <w:lang w:eastAsia="ru-RU" w:bidi="ru-RU"/>
              </w:rPr>
              <w:t>220 кВ</w:t>
            </w:r>
          </w:p>
        </w:tc>
        <w:tc>
          <w:tcPr>
            <w:tcW w:w="1559" w:type="dxa"/>
            <w:tcBorders/>
            <w:shd w:color="auto" w:fill="auto" w:val="clear"/>
          </w:tcPr>
          <w:p>
            <w:pPr>
              <w:pStyle w:val="Normal"/>
              <w:spacing w:lineRule="auto" w:line="240"/>
              <w:jc w:val="center"/>
              <w:rPr>
                <w:rFonts w:eastAsia="Times New Roman"/>
                <w:sz w:val="20"/>
                <w:szCs w:val="21"/>
              </w:rPr>
            </w:pPr>
            <w:r>
              <w:rPr>
                <w:rFonts w:eastAsia="Tahoma" w:cs="" w:cstheme="minorBidi" w:ascii="Calibri" w:hAnsi="Calibri"/>
                <w:color w:val="000000"/>
                <w:sz w:val="20"/>
                <w:szCs w:val="20"/>
                <w:lang w:eastAsia="ru-RU" w:bidi="ru-RU"/>
              </w:rPr>
              <w:t>км</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Tahoma" w:cs="" w:cstheme="minorBidi" w:ascii="Calibri" w:hAnsi="Calibri"/>
                <w:sz w:val="20"/>
                <w:szCs w:val="20"/>
                <w:lang w:eastAsia="ru-RU" w:bidi="ru-RU"/>
              </w:rPr>
              <w:t>2,78</w:t>
            </w:r>
          </w:p>
        </w:tc>
        <w:tc>
          <w:tcPr>
            <w:tcW w:w="1284" w:type="dxa"/>
            <w:tcBorders/>
            <w:shd w:color="auto" w:fill="auto" w:val="clear"/>
          </w:tcPr>
          <w:p>
            <w:pPr>
              <w:pStyle w:val="Normal"/>
              <w:spacing w:lineRule="auto" w:line="240"/>
              <w:jc w:val="center"/>
              <w:rPr>
                <w:rFonts w:eastAsia="Times New Roman"/>
                <w:color w:val="000000"/>
                <w:sz w:val="20"/>
                <w:szCs w:val="21"/>
              </w:rPr>
            </w:pPr>
            <w:r>
              <w:rPr>
                <w:rFonts w:eastAsia="Tahoma" w:cs="" w:cstheme="minorBidi" w:ascii="Calibri" w:hAnsi="Calibri"/>
                <w:sz w:val="20"/>
                <w:szCs w:val="20"/>
                <w:lang w:eastAsia="ru-RU" w:bidi="ru-RU"/>
              </w:rPr>
              <w:t>2,78</w:t>
            </w:r>
          </w:p>
        </w:tc>
      </w:tr>
      <w:tr>
        <w:trPr>
          <w:trHeight w:val="20" w:hRule="atLeast"/>
        </w:trPr>
        <w:tc>
          <w:tcPr>
            <w:tcW w:w="704" w:type="dxa"/>
            <w:vMerge w:val="continue"/>
            <w:tcBorders/>
            <w:shd w:color="auto" w:fill="FFC000" w:themeFill="accent4"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shd w:color="auto" w:fill="auto" w:val="clear"/>
          </w:tcPr>
          <w:p>
            <w:pPr>
              <w:pStyle w:val="Normal"/>
              <w:spacing w:lineRule="auto" w:line="240"/>
              <w:jc w:val="left"/>
              <w:rPr>
                <w:rFonts w:eastAsia="Times New Roman"/>
                <w:sz w:val="20"/>
                <w:szCs w:val="21"/>
              </w:rPr>
            </w:pPr>
            <w:r>
              <w:rPr>
                <w:rFonts w:eastAsia="Tahoma" w:cs="" w:cstheme="minorBidi" w:ascii="Calibri" w:hAnsi="Calibri"/>
                <w:color w:val="000000"/>
                <w:sz w:val="20"/>
                <w:szCs w:val="20"/>
                <w:lang w:eastAsia="ru-RU" w:bidi="ru-RU"/>
              </w:rPr>
              <w:t>110 кВ</w:t>
            </w:r>
          </w:p>
        </w:tc>
        <w:tc>
          <w:tcPr>
            <w:tcW w:w="1559" w:type="dxa"/>
            <w:tcBorders/>
            <w:shd w:color="auto" w:fill="auto" w:val="clear"/>
          </w:tcPr>
          <w:p>
            <w:pPr>
              <w:pStyle w:val="Normal"/>
              <w:spacing w:lineRule="auto" w:line="240"/>
              <w:jc w:val="center"/>
              <w:rPr>
                <w:rFonts w:eastAsia="Times New Roman"/>
                <w:sz w:val="20"/>
                <w:szCs w:val="21"/>
              </w:rPr>
            </w:pPr>
            <w:r>
              <w:rPr>
                <w:rFonts w:eastAsia="Tahoma" w:cs="" w:cstheme="minorBidi" w:ascii="Calibri" w:hAnsi="Calibri"/>
                <w:color w:val="000000"/>
                <w:sz w:val="20"/>
                <w:szCs w:val="20"/>
                <w:lang w:eastAsia="ru-RU" w:bidi="ru-RU"/>
              </w:rPr>
              <w:t>км</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Tahoma" w:cs="" w:cstheme="minorBidi" w:ascii="Calibri" w:hAnsi="Calibri"/>
                <w:sz w:val="20"/>
                <w:szCs w:val="20"/>
                <w:lang w:eastAsia="ru-RU" w:bidi="ru-RU"/>
              </w:rPr>
              <w:t>29,72</w:t>
            </w:r>
          </w:p>
        </w:tc>
        <w:tc>
          <w:tcPr>
            <w:tcW w:w="1284" w:type="dxa"/>
            <w:tcBorders/>
            <w:shd w:color="auto" w:fill="auto" w:val="clear"/>
          </w:tcPr>
          <w:p>
            <w:pPr>
              <w:pStyle w:val="Normal"/>
              <w:spacing w:lineRule="auto" w:line="240"/>
              <w:jc w:val="center"/>
              <w:rPr>
                <w:rFonts w:eastAsia="Times New Roman"/>
                <w:color w:val="000000"/>
                <w:sz w:val="20"/>
                <w:szCs w:val="21"/>
              </w:rPr>
            </w:pPr>
            <w:r>
              <w:rPr>
                <w:rFonts w:eastAsia="Tahoma" w:cs="" w:cstheme="minorBidi" w:ascii="Calibri" w:hAnsi="Calibri"/>
                <w:sz w:val="20"/>
                <w:szCs w:val="20"/>
                <w:lang w:eastAsia="ru-RU" w:bidi="ru-RU"/>
              </w:rPr>
              <w:t>29,72</w:t>
            </w:r>
          </w:p>
        </w:tc>
      </w:tr>
      <w:tr>
        <w:trPr>
          <w:trHeight w:val="20" w:hRule="atLeast"/>
        </w:trPr>
        <w:tc>
          <w:tcPr>
            <w:tcW w:w="704" w:type="dxa"/>
            <w:vMerge w:val="continue"/>
            <w:tcBorders/>
            <w:shd w:color="auto" w:fill="FFC000" w:themeFill="accent4"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shd w:color="auto" w:fill="auto" w:val="clear"/>
          </w:tcPr>
          <w:p>
            <w:pPr>
              <w:pStyle w:val="Normal"/>
              <w:spacing w:lineRule="auto" w:line="240"/>
              <w:jc w:val="left"/>
              <w:rPr>
                <w:rFonts w:eastAsia="Tahoma"/>
                <w:color w:val="000000"/>
                <w:sz w:val="20"/>
                <w:szCs w:val="20"/>
                <w:lang w:eastAsia="ru-RU" w:bidi="ru-RU"/>
              </w:rPr>
            </w:pPr>
            <w:r>
              <w:rPr>
                <w:rFonts w:eastAsia="Tahoma" w:cs="Times New Roman" w:ascii="Calibri" w:hAnsi="Calibri"/>
                <w:sz w:val="20"/>
                <w:szCs w:val="20"/>
                <w:lang w:eastAsia="ru-RU" w:bidi="ru-RU"/>
              </w:rPr>
              <w:t>35 кВ</w:t>
            </w:r>
          </w:p>
        </w:tc>
        <w:tc>
          <w:tcPr>
            <w:tcW w:w="1559" w:type="dxa"/>
            <w:tcBorders/>
            <w:shd w:color="auto" w:fill="auto" w:val="clear"/>
          </w:tcPr>
          <w:p>
            <w:pPr>
              <w:pStyle w:val="Normal"/>
              <w:spacing w:lineRule="auto" w:line="240"/>
              <w:jc w:val="center"/>
              <w:rPr>
                <w:rFonts w:eastAsia="Tahoma"/>
                <w:color w:val="000000"/>
                <w:sz w:val="20"/>
                <w:szCs w:val="20"/>
                <w:lang w:eastAsia="ru-RU" w:bidi="ru-RU"/>
              </w:rPr>
            </w:pPr>
            <w:r>
              <w:rPr>
                <w:rFonts w:eastAsia="Tahoma" w:cs="" w:ascii="Calibri" w:hAnsi="Calibri"/>
                <w:color w:val="000000"/>
                <w:sz w:val="20"/>
                <w:szCs w:val="20"/>
                <w:lang w:eastAsia="ru-RU" w:bidi="ru-RU"/>
              </w:rPr>
            </w:r>
          </w:p>
        </w:tc>
        <w:tc>
          <w:tcPr>
            <w:tcW w:w="1699" w:type="dxa"/>
            <w:tcBorders/>
            <w:shd w:color="auto" w:fill="auto" w:val="clear"/>
          </w:tcPr>
          <w:p>
            <w:pPr>
              <w:pStyle w:val="Normal"/>
              <w:spacing w:lineRule="auto" w:line="240"/>
              <w:jc w:val="center"/>
              <w:rPr>
                <w:rFonts w:eastAsia="Tahoma"/>
                <w:color w:val="000000"/>
                <w:sz w:val="20"/>
                <w:szCs w:val="20"/>
                <w:lang w:eastAsia="ru-RU" w:bidi="ru-RU"/>
              </w:rPr>
            </w:pPr>
            <w:r>
              <w:rPr>
                <w:rFonts w:eastAsia="Tahoma" w:cs="" w:cstheme="minorBidi" w:ascii="Calibri" w:hAnsi="Calibri"/>
                <w:sz w:val="20"/>
                <w:szCs w:val="20"/>
                <w:lang w:eastAsia="ru-RU" w:bidi="ru-RU"/>
              </w:rPr>
              <w:t>42,46</w:t>
            </w:r>
          </w:p>
        </w:tc>
        <w:tc>
          <w:tcPr>
            <w:tcW w:w="1284" w:type="dxa"/>
            <w:tcBorders/>
            <w:shd w:color="auto" w:fill="auto" w:val="clear"/>
          </w:tcPr>
          <w:p>
            <w:pPr>
              <w:pStyle w:val="Normal"/>
              <w:spacing w:lineRule="auto" w:line="240"/>
              <w:jc w:val="center"/>
              <w:rPr>
                <w:rFonts w:eastAsia="Tahoma"/>
                <w:color w:val="000000"/>
                <w:sz w:val="20"/>
                <w:szCs w:val="20"/>
                <w:lang w:eastAsia="ru-RU" w:bidi="ru-RU"/>
              </w:rPr>
            </w:pPr>
            <w:r>
              <w:rPr>
                <w:rFonts w:eastAsia="Tahoma" w:cs="" w:cstheme="minorBidi" w:ascii="Calibri" w:hAnsi="Calibri"/>
                <w:sz w:val="20"/>
                <w:szCs w:val="20"/>
                <w:lang w:eastAsia="ru-RU" w:bidi="ru-RU"/>
              </w:rPr>
              <w:t>42,46</w:t>
            </w:r>
          </w:p>
        </w:tc>
      </w:tr>
      <w:tr>
        <w:trPr>
          <w:trHeight w:val="20" w:hRule="atLeast"/>
        </w:trPr>
        <w:tc>
          <w:tcPr>
            <w:tcW w:w="704" w:type="dxa"/>
            <w:vMerge w:val="continue"/>
            <w:tcBorders/>
            <w:shd w:color="auto" w:fill="FFC000" w:themeFill="accent4" w:val="clear"/>
          </w:tcPr>
          <w:p>
            <w:pPr>
              <w:pStyle w:val="Normal"/>
              <w:spacing w:lineRule="auto" w:line="240"/>
              <w:jc w:val="center"/>
              <w:rPr>
                <w:rFonts w:eastAsia="Times New Roman"/>
                <w:sz w:val="20"/>
                <w:szCs w:val="21"/>
              </w:rPr>
            </w:pPr>
            <w:r>
              <w:rPr>
                <w:rFonts w:eastAsia="Times New Roman" w:cs="" w:cstheme="minorBidi" w:ascii="Calibri" w:hAnsi="Calibri"/>
                <w:sz w:val="20"/>
                <w:szCs w:val="21"/>
                <w:lang w:eastAsia="en-US"/>
              </w:rPr>
            </w:r>
          </w:p>
        </w:tc>
        <w:tc>
          <w:tcPr>
            <w:tcW w:w="4675" w:type="dxa"/>
            <w:tcBorders/>
            <w:shd w:color="auto" w:fill="auto" w:val="clear"/>
          </w:tcPr>
          <w:p>
            <w:pPr>
              <w:pStyle w:val="Normal"/>
              <w:spacing w:lineRule="auto" w:line="240"/>
              <w:jc w:val="left"/>
              <w:rPr>
                <w:rFonts w:eastAsia="Tahoma"/>
                <w:color w:val="000000"/>
                <w:sz w:val="20"/>
                <w:szCs w:val="20"/>
                <w:lang w:eastAsia="ru-RU" w:bidi="ru-RU"/>
              </w:rPr>
            </w:pPr>
            <w:r>
              <w:rPr>
                <w:rFonts w:eastAsia="Tahoma" w:cs="Times New Roman" w:ascii="Calibri" w:hAnsi="Calibri"/>
                <w:sz w:val="20"/>
                <w:szCs w:val="20"/>
                <w:lang w:eastAsia="ru-RU" w:bidi="ru-RU"/>
              </w:rPr>
              <w:t>10</w:t>
            </w:r>
            <w:r>
              <w:rPr>
                <w:rFonts w:eastAsia="Tahoma" w:cs="Times New Roman" w:ascii="Calibri" w:hAnsi="Calibri"/>
                <w:sz w:val="20"/>
                <w:szCs w:val="20"/>
                <w:lang w:val="en-US" w:eastAsia="ru-RU" w:bidi="ru-RU"/>
              </w:rPr>
              <w:t xml:space="preserve"> (6)</w:t>
            </w:r>
            <w:r>
              <w:rPr>
                <w:rFonts w:eastAsia="Tahoma" w:cs="Times New Roman" w:ascii="Calibri" w:hAnsi="Calibri"/>
                <w:sz w:val="20"/>
                <w:szCs w:val="20"/>
                <w:lang w:eastAsia="ru-RU" w:bidi="ru-RU"/>
              </w:rPr>
              <w:t xml:space="preserve"> кВ</w:t>
            </w:r>
          </w:p>
        </w:tc>
        <w:tc>
          <w:tcPr>
            <w:tcW w:w="1559" w:type="dxa"/>
            <w:tcBorders/>
            <w:shd w:color="auto" w:fill="auto" w:val="clear"/>
          </w:tcPr>
          <w:p>
            <w:pPr>
              <w:pStyle w:val="Normal"/>
              <w:spacing w:lineRule="auto" w:line="240"/>
              <w:jc w:val="center"/>
              <w:rPr>
                <w:rFonts w:eastAsia="Tahoma"/>
                <w:color w:val="000000"/>
                <w:sz w:val="20"/>
                <w:szCs w:val="20"/>
                <w:lang w:eastAsia="ru-RU" w:bidi="ru-RU"/>
              </w:rPr>
            </w:pPr>
            <w:r>
              <w:rPr>
                <w:rFonts w:eastAsia="Tahoma" w:cs="" w:ascii="Calibri" w:hAnsi="Calibri"/>
                <w:color w:val="000000"/>
                <w:sz w:val="20"/>
                <w:szCs w:val="20"/>
                <w:lang w:eastAsia="ru-RU" w:bidi="ru-RU"/>
              </w:rPr>
            </w:r>
          </w:p>
        </w:tc>
        <w:tc>
          <w:tcPr>
            <w:tcW w:w="1699" w:type="dxa"/>
            <w:tcBorders/>
            <w:shd w:color="auto" w:fill="auto" w:val="clear"/>
          </w:tcPr>
          <w:p>
            <w:pPr>
              <w:pStyle w:val="Normal"/>
              <w:spacing w:lineRule="auto" w:line="240"/>
              <w:jc w:val="center"/>
              <w:rPr>
                <w:rFonts w:eastAsia="Tahoma"/>
                <w:color w:val="000000"/>
                <w:sz w:val="20"/>
                <w:szCs w:val="20"/>
                <w:lang w:eastAsia="ru-RU" w:bidi="ru-RU"/>
              </w:rPr>
            </w:pPr>
            <w:r>
              <w:rPr>
                <w:rFonts w:eastAsia="Tahoma" w:cs="" w:cstheme="minorBidi" w:ascii="Calibri" w:hAnsi="Calibri"/>
                <w:sz w:val="20"/>
                <w:szCs w:val="20"/>
                <w:lang w:eastAsia="ru-RU" w:bidi="ru-RU"/>
              </w:rPr>
              <w:t>63,1</w:t>
            </w:r>
          </w:p>
        </w:tc>
        <w:tc>
          <w:tcPr>
            <w:tcW w:w="1284" w:type="dxa"/>
            <w:tcBorders/>
            <w:shd w:color="auto" w:fill="auto" w:val="clear"/>
          </w:tcPr>
          <w:p>
            <w:pPr>
              <w:pStyle w:val="Normal"/>
              <w:spacing w:lineRule="auto" w:line="240"/>
              <w:jc w:val="center"/>
              <w:rPr>
                <w:rFonts w:eastAsia="Tahoma"/>
                <w:color w:val="000000"/>
                <w:sz w:val="20"/>
                <w:szCs w:val="20"/>
                <w:lang w:eastAsia="ru-RU" w:bidi="ru-RU"/>
              </w:rPr>
            </w:pPr>
            <w:r>
              <w:rPr>
                <w:rFonts w:eastAsia="Tahoma" w:cs="" w:cstheme="minorBidi" w:ascii="Calibri" w:hAnsi="Calibri"/>
                <w:sz w:val="20"/>
                <w:szCs w:val="20"/>
                <w:lang w:eastAsia="ru-RU" w:bidi="ru-RU"/>
              </w:rPr>
              <w:t>63,1</w:t>
            </w:r>
          </w:p>
        </w:tc>
      </w:tr>
      <w:tr>
        <w:trPr>
          <w:trHeight w:val="20" w:hRule="atLeast"/>
        </w:trPr>
        <w:tc>
          <w:tcPr>
            <w:tcW w:w="704" w:type="dxa"/>
            <w:vMerge w:val="restart"/>
            <w:tcBorders>
              <w:top w:val="single" w:sz="2" w:space="0" w:color="000000"/>
            </w:tcBorders>
            <w:shd w:color="auto" w:fill="auto" w:val="clear"/>
          </w:tcPr>
          <w:p>
            <w:pPr>
              <w:pStyle w:val="Normal"/>
              <w:spacing w:lineRule="auto" w:line="240"/>
              <w:jc w:val="center"/>
              <w:rPr>
                <w:rFonts w:eastAsia="Times New Roman"/>
                <w:sz w:val="20"/>
                <w:szCs w:val="21"/>
              </w:rPr>
            </w:pPr>
            <w:r>
              <w:rPr>
                <w:rFonts w:eastAsia="Tahoma" w:cs="" w:cstheme="minorBidi" w:ascii="Calibri" w:hAnsi="Calibri"/>
                <w:color w:val="000000"/>
                <w:sz w:val="20"/>
                <w:szCs w:val="20"/>
                <w:lang w:eastAsia="ru-RU" w:bidi="ru-RU"/>
              </w:rPr>
              <w:t>6.3.3</w:t>
            </w:r>
          </w:p>
        </w:tc>
        <w:tc>
          <w:tcPr>
            <w:tcW w:w="4675" w:type="dxa"/>
            <w:tcBorders>
              <w:top w:val="single" w:sz="2" w:space="0" w:color="000000"/>
              <w:bottom w:val="single" w:sz="2" w:space="0" w:color="000000"/>
            </w:tcBorders>
            <w:shd w:color="auto" w:fill="auto" w:val="clear"/>
          </w:tcPr>
          <w:p>
            <w:pPr>
              <w:pStyle w:val="Normal"/>
              <w:spacing w:lineRule="auto" w:line="240"/>
              <w:jc w:val="left"/>
              <w:rPr>
                <w:rFonts w:eastAsia="Times New Roman"/>
                <w:sz w:val="20"/>
                <w:szCs w:val="21"/>
              </w:rPr>
            </w:pPr>
            <w:r>
              <w:rPr>
                <w:rFonts w:eastAsia="Tahoma" w:cs="" w:cstheme="minorBidi" w:ascii="Calibri" w:hAnsi="Calibri"/>
                <w:sz w:val="20"/>
                <w:szCs w:val="20"/>
                <w:lang w:eastAsia="ru-RU" w:bidi="ru-RU"/>
              </w:rPr>
              <w:t>Количество ГПЭС</w:t>
            </w:r>
          </w:p>
        </w:tc>
        <w:tc>
          <w:tcPr>
            <w:tcW w:w="1559" w:type="dxa"/>
            <w:tcBorders/>
            <w:shd w:color="auto" w:fill="auto" w:val="clear"/>
          </w:tcPr>
          <w:p>
            <w:pPr>
              <w:pStyle w:val="Normal"/>
              <w:spacing w:lineRule="auto" w:line="240"/>
              <w:jc w:val="center"/>
              <w:rPr>
                <w:rFonts w:eastAsia="Times New Roman"/>
                <w:sz w:val="20"/>
                <w:szCs w:val="21"/>
              </w:rPr>
            </w:pPr>
            <w:r>
              <w:rPr>
                <w:rFonts w:eastAsia="Tahoma" w:cs="" w:cstheme="minorBidi" w:ascii="Calibri" w:hAnsi="Calibri"/>
                <w:color w:val="000000"/>
                <w:sz w:val="20"/>
                <w:szCs w:val="20"/>
                <w:lang w:eastAsia="ru-RU" w:bidi="ru-RU"/>
              </w:rPr>
              <w:t>единиц</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Times New Roman" w:cs="" w:cstheme="minorBidi" w:ascii="Calibri" w:hAnsi="Calibri"/>
                <w:color w:val="000000"/>
                <w:sz w:val="20"/>
                <w:szCs w:val="21"/>
                <w:lang w:eastAsia="en-US"/>
              </w:rPr>
              <w:t>1</w:t>
            </w:r>
          </w:p>
        </w:tc>
        <w:tc>
          <w:tcPr>
            <w:tcW w:w="1284" w:type="dxa"/>
            <w:tcBorders/>
            <w:shd w:color="auto" w:fill="auto" w:val="clear"/>
          </w:tcPr>
          <w:p>
            <w:pPr>
              <w:pStyle w:val="Normal"/>
              <w:spacing w:lineRule="auto" w:line="240"/>
              <w:jc w:val="center"/>
              <w:rPr>
                <w:rFonts w:eastAsia="Times New Roman"/>
                <w:color w:val="000000"/>
                <w:sz w:val="20"/>
                <w:szCs w:val="21"/>
              </w:rPr>
            </w:pPr>
            <w:r>
              <w:rPr>
                <w:rFonts w:eastAsia="Times New Roman" w:cs="" w:cstheme="minorBidi" w:ascii="Calibri" w:hAnsi="Calibri"/>
                <w:color w:val="000000"/>
                <w:sz w:val="20"/>
                <w:szCs w:val="21"/>
                <w:lang w:eastAsia="en-US"/>
              </w:rPr>
              <w:t>2</w:t>
            </w:r>
          </w:p>
        </w:tc>
      </w:tr>
      <w:tr>
        <w:trPr>
          <w:trHeight w:val="20" w:hRule="atLeast"/>
        </w:trPr>
        <w:tc>
          <w:tcPr>
            <w:tcW w:w="704" w:type="dxa"/>
            <w:vMerge w:val="continue"/>
            <w:tcBorders/>
            <w:shd w:color="auto" w:fill="auto" w:val="clear"/>
          </w:tcPr>
          <w:p>
            <w:pPr>
              <w:pStyle w:val="Normal"/>
              <w:spacing w:lineRule="auto" w:line="240"/>
              <w:jc w:val="center"/>
              <w:rPr>
                <w:rFonts w:eastAsia="Tahoma"/>
                <w:color w:val="000000"/>
                <w:sz w:val="20"/>
                <w:szCs w:val="20"/>
                <w:lang w:eastAsia="ru-RU" w:bidi="ru-RU"/>
              </w:rPr>
            </w:pPr>
            <w:r>
              <w:rPr>
                <w:rFonts w:eastAsia="Tahoma" w:cs="" w:ascii="Calibri" w:hAnsi="Calibri"/>
                <w:color w:val="000000"/>
                <w:sz w:val="20"/>
                <w:szCs w:val="20"/>
                <w:lang w:eastAsia="ru-RU" w:bidi="ru-RU"/>
              </w:rPr>
            </w:r>
          </w:p>
        </w:tc>
        <w:tc>
          <w:tcPr>
            <w:tcW w:w="4675" w:type="dxa"/>
            <w:tcBorders>
              <w:top w:val="single" w:sz="2" w:space="0" w:color="000000"/>
              <w:bottom w:val="single" w:sz="2" w:space="0" w:color="000000"/>
            </w:tcBorders>
            <w:shd w:color="auto" w:fill="auto" w:val="clear"/>
          </w:tcPr>
          <w:p>
            <w:pPr>
              <w:pStyle w:val="Normal"/>
              <w:spacing w:lineRule="auto" w:line="240"/>
              <w:jc w:val="left"/>
              <w:rPr>
                <w:rFonts w:eastAsia="Tahoma"/>
                <w:color w:val="000000"/>
                <w:sz w:val="20"/>
                <w:szCs w:val="20"/>
                <w:lang w:eastAsia="ru-RU" w:bidi="ru-RU"/>
              </w:rPr>
            </w:pPr>
            <w:r>
              <w:rPr>
                <w:rFonts w:eastAsia="Tahoma" w:cs="Times New Roman" w:ascii="Calibri" w:hAnsi="Calibri"/>
                <w:sz w:val="20"/>
                <w:szCs w:val="20"/>
                <w:lang w:eastAsia="ru-RU" w:bidi="ru-RU"/>
              </w:rPr>
              <w:t>Количество ПС на территории</w:t>
            </w:r>
          </w:p>
        </w:tc>
        <w:tc>
          <w:tcPr>
            <w:tcW w:w="1559" w:type="dxa"/>
            <w:tcBorders/>
            <w:shd w:color="auto" w:fill="auto" w:val="clear"/>
          </w:tcPr>
          <w:p>
            <w:pPr>
              <w:pStyle w:val="Normal"/>
              <w:spacing w:lineRule="auto" w:line="240"/>
              <w:jc w:val="center"/>
              <w:rPr>
                <w:rFonts w:eastAsia="Tahoma"/>
                <w:color w:val="000000"/>
                <w:sz w:val="20"/>
                <w:szCs w:val="20"/>
                <w:lang w:eastAsia="ru-RU" w:bidi="ru-RU"/>
              </w:rPr>
            </w:pPr>
            <w:r>
              <w:rPr>
                <w:rFonts w:eastAsia="Tahoma" w:cs="" w:ascii="Calibri" w:hAnsi="Calibri"/>
                <w:color w:val="000000"/>
                <w:sz w:val="20"/>
                <w:szCs w:val="20"/>
                <w:lang w:eastAsia="ru-RU" w:bidi="ru-RU"/>
              </w:rPr>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Times New Roman" w:cs="" w:cstheme="minorBidi" w:ascii="Calibri" w:hAnsi="Calibri"/>
                <w:color w:val="000000"/>
                <w:sz w:val="20"/>
                <w:szCs w:val="21"/>
                <w:lang w:eastAsia="en-US"/>
              </w:rPr>
              <w:t>1</w:t>
            </w:r>
          </w:p>
        </w:tc>
        <w:tc>
          <w:tcPr>
            <w:tcW w:w="1284" w:type="dxa"/>
            <w:tcBorders/>
            <w:shd w:color="auto" w:fill="auto" w:val="clear"/>
          </w:tcPr>
          <w:p>
            <w:pPr>
              <w:pStyle w:val="Normal"/>
              <w:spacing w:lineRule="auto" w:line="240"/>
              <w:jc w:val="center"/>
              <w:rPr>
                <w:rFonts w:eastAsia="Times New Roman"/>
                <w:color w:val="000000"/>
                <w:sz w:val="20"/>
                <w:szCs w:val="21"/>
              </w:rPr>
            </w:pPr>
            <w:r>
              <w:rPr>
                <w:rFonts w:eastAsia="Times New Roman" w:cs="" w:cstheme="minorBidi" w:ascii="Calibri" w:hAnsi="Calibri"/>
                <w:color w:val="000000"/>
                <w:sz w:val="20"/>
                <w:szCs w:val="21"/>
                <w:lang w:eastAsia="en-US"/>
              </w:rPr>
              <w:t>2</w:t>
            </w:r>
          </w:p>
        </w:tc>
      </w:tr>
      <w:tr>
        <w:trPr>
          <w:trHeight w:val="20" w:hRule="atLeast"/>
        </w:trPr>
        <w:tc>
          <w:tcPr>
            <w:tcW w:w="704" w:type="dxa"/>
            <w:vMerge w:val="continue"/>
            <w:tcBorders/>
            <w:shd w:color="auto" w:fill="auto" w:val="clear"/>
          </w:tcPr>
          <w:p>
            <w:pPr>
              <w:pStyle w:val="Normal"/>
              <w:spacing w:lineRule="auto" w:line="240"/>
              <w:jc w:val="center"/>
              <w:rPr>
                <w:rFonts w:eastAsia="Tahoma"/>
                <w:color w:val="000000"/>
                <w:sz w:val="20"/>
                <w:szCs w:val="20"/>
                <w:lang w:eastAsia="ru-RU" w:bidi="ru-RU"/>
              </w:rPr>
            </w:pPr>
            <w:r>
              <w:rPr>
                <w:rFonts w:eastAsia="Tahoma" w:cs="" w:ascii="Calibri" w:hAnsi="Calibri"/>
                <w:color w:val="000000"/>
                <w:sz w:val="20"/>
                <w:szCs w:val="20"/>
                <w:lang w:eastAsia="ru-RU" w:bidi="ru-RU"/>
              </w:rPr>
            </w:r>
          </w:p>
        </w:tc>
        <w:tc>
          <w:tcPr>
            <w:tcW w:w="9217" w:type="dxa"/>
            <w:gridSpan w:val="4"/>
            <w:tcBorders>
              <w:top w:val="single" w:sz="2" w:space="0" w:color="000000"/>
              <w:bottom w:val="single" w:sz="2" w:space="0" w:color="000000"/>
            </w:tcBorders>
            <w:shd w:color="auto" w:fill="auto" w:val="clear"/>
          </w:tcPr>
          <w:p>
            <w:pPr>
              <w:pStyle w:val="Normal"/>
              <w:tabs>
                <w:tab w:val="clear" w:pos="708"/>
                <w:tab w:val="left" w:pos="375" w:leader="none"/>
              </w:tabs>
              <w:spacing w:lineRule="auto" w:line="240"/>
              <w:rPr>
                <w:rFonts w:eastAsia="Times New Roman"/>
                <w:color w:val="000000"/>
                <w:sz w:val="20"/>
                <w:szCs w:val="21"/>
              </w:rPr>
            </w:pPr>
            <w:r>
              <w:rPr>
                <w:rFonts w:eastAsia="Times New Roman" w:cs="" w:cstheme="minorBidi" w:ascii="Calibri" w:hAnsi="Calibri"/>
                <w:color w:val="000000"/>
                <w:sz w:val="20"/>
                <w:szCs w:val="21"/>
                <w:lang w:eastAsia="en-US"/>
              </w:rPr>
              <w:t>в том числе:</w:t>
            </w:r>
          </w:p>
        </w:tc>
      </w:tr>
      <w:tr>
        <w:trPr>
          <w:trHeight w:val="20" w:hRule="atLeast"/>
        </w:trPr>
        <w:tc>
          <w:tcPr>
            <w:tcW w:w="704" w:type="dxa"/>
            <w:vMerge w:val="continue"/>
            <w:tcBorders/>
            <w:shd w:color="auto" w:fill="auto" w:val="clear"/>
          </w:tcPr>
          <w:p>
            <w:pPr>
              <w:pStyle w:val="Normal"/>
              <w:spacing w:lineRule="auto" w:line="240"/>
              <w:jc w:val="center"/>
              <w:rPr>
                <w:rFonts w:eastAsia="Tahoma"/>
                <w:color w:val="000000"/>
                <w:sz w:val="20"/>
                <w:szCs w:val="20"/>
                <w:lang w:eastAsia="ru-RU" w:bidi="ru-RU"/>
              </w:rPr>
            </w:pPr>
            <w:r>
              <w:rPr>
                <w:rFonts w:eastAsia="Tahoma" w:cs="" w:ascii="Calibri" w:hAnsi="Calibri"/>
                <w:color w:val="000000"/>
                <w:sz w:val="20"/>
                <w:szCs w:val="20"/>
                <w:lang w:eastAsia="ru-RU" w:bidi="ru-RU"/>
              </w:rPr>
            </w:r>
          </w:p>
        </w:tc>
        <w:tc>
          <w:tcPr>
            <w:tcW w:w="4675" w:type="dxa"/>
            <w:tcBorders>
              <w:top w:val="single" w:sz="2" w:space="0" w:color="000000"/>
              <w:bottom w:val="single" w:sz="2" w:space="0" w:color="000000"/>
            </w:tcBorders>
            <w:shd w:color="auto" w:fill="auto" w:val="clear"/>
          </w:tcPr>
          <w:p>
            <w:pPr>
              <w:pStyle w:val="Normal"/>
              <w:spacing w:lineRule="auto" w:line="240"/>
              <w:jc w:val="left"/>
              <w:rPr>
                <w:rFonts w:eastAsia="Tahoma"/>
                <w:color w:val="000000"/>
                <w:sz w:val="20"/>
                <w:szCs w:val="20"/>
                <w:lang w:eastAsia="ru-RU" w:bidi="ru-RU"/>
              </w:rPr>
            </w:pPr>
            <w:r>
              <w:rPr>
                <w:rFonts w:eastAsia="Tahoma" w:cs="" w:cstheme="minorBidi" w:ascii="Calibri" w:hAnsi="Calibri"/>
                <w:sz w:val="20"/>
                <w:szCs w:val="20"/>
                <w:lang w:eastAsia="ru-RU" w:bidi="ru-RU"/>
              </w:rPr>
              <w:t>Количество ГПЭС</w:t>
            </w:r>
          </w:p>
        </w:tc>
        <w:tc>
          <w:tcPr>
            <w:tcW w:w="1559" w:type="dxa"/>
            <w:tcBorders/>
            <w:shd w:color="auto" w:fill="auto" w:val="clear"/>
          </w:tcPr>
          <w:p>
            <w:pPr>
              <w:pStyle w:val="Normal"/>
              <w:spacing w:lineRule="auto" w:line="240"/>
              <w:jc w:val="center"/>
              <w:rPr>
                <w:rFonts w:eastAsia="Tahoma"/>
                <w:color w:val="000000"/>
                <w:sz w:val="20"/>
                <w:szCs w:val="20"/>
                <w:lang w:eastAsia="ru-RU" w:bidi="ru-RU"/>
              </w:rPr>
            </w:pPr>
            <w:r>
              <w:rPr>
                <w:rFonts w:eastAsia="Tahoma" w:cs="" w:cstheme="minorBidi" w:ascii="Calibri" w:hAnsi="Calibri"/>
                <w:sz w:val="20"/>
                <w:szCs w:val="20"/>
                <w:lang w:eastAsia="ru-RU" w:bidi="ru-RU"/>
              </w:rPr>
              <w:t>единиц</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Tahoma" w:cs="Times New Roman" w:ascii="Calibri" w:hAnsi="Calibri"/>
                <w:sz w:val="20"/>
                <w:szCs w:val="20"/>
                <w:lang w:eastAsia="ru-RU" w:bidi="ru-RU"/>
              </w:rPr>
              <w:t>1</w:t>
            </w:r>
          </w:p>
        </w:tc>
        <w:tc>
          <w:tcPr>
            <w:tcW w:w="1284" w:type="dxa"/>
            <w:tcBorders/>
            <w:shd w:color="auto" w:fill="auto" w:val="clear"/>
          </w:tcPr>
          <w:p>
            <w:pPr>
              <w:pStyle w:val="Normal"/>
              <w:spacing w:lineRule="auto" w:line="240"/>
              <w:jc w:val="center"/>
              <w:rPr>
                <w:rFonts w:eastAsia="Times New Roman"/>
                <w:color w:val="000000"/>
                <w:sz w:val="20"/>
                <w:szCs w:val="21"/>
              </w:rPr>
            </w:pPr>
            <w:r>
              <w:rPr>
                <w:rFonts w:eastAsia="Tahoma" w:cs="Times New Roman" w:ascii="Calibri" w:hAnsi="Calibri"/>
                <w:sz w:val="20"/>
                <w:szCs w:val="20"/>
                <w:lang w:eastAsia="ru-RU" w:bidi="ru-RU"/>
              </w:rPr>
              <w:t>1</w:t>
            </w:r>
          </w:p>
        </w:tc>
      </w:tr>
      <w:tr>
        <w:trPr>
          <w:trHeight w:val="296" w:hRule="atLeast"/>
        </w:trPr>
        <w:tc>
          <w:tcPr>
            <w:tcW w:w="704" w:type="dxa"/>
            <w:vMerge w:val="continue"/>
            <w:tcBorders>
              <w:bottom w:val="single" w:sz="2" w:space="0" w:color="000000"/>
            </w:tcBorders>
            <w:shd w:color="auto" w:fill="auto" w:val="clear"/>
          </w:tcPr>
          <w:p>
            <w:pPr>
              <w:pStyle w:val="Normal"/>
              <w:spacing w:lineRule="auto" w:line="240"/>
              <w:jc w:val="center"/>
              <w:rPr>
                <w:rFonts w:eastAsia="Tahoma"/>
                <w:color w:val="000000"/>
                <w:sz w:val="20"/>
                <w:szCs w:val="20"/>
                <w:lang w:eastAsia="ru-RU" w:bidi="ru-RU"/>
              </w:rPr>
            </w:pPr>
            <w:r>
              <w:rPr>
                <w:rFonts w:eastAsia="Tahoma" w:cs="" w:ascii="Calibri" w:hAnsi="Calibri"/>
                <w:color w:val="000000"/>
                <w:sz w:val="20"/>
                <w:szCs w:val="20"/>
                <w:lang w:eastAsia="ru-RU" w:bidi="ru-RU"/>
              </w:rPr>
            </w:r>
          </w:p>
        </w:tc>
        <w:tc>
          <w:tcPr>
            <w:tcW w:w="4675" w:type="dxa"/>
            <w:tcBorders>
              <w:top w:val="single" w:sz="2" w:space="0" w:color="000000"/>
              <w:bottom w:val="single" w:sz="2" w:space="0" w:color="000000"/>
            </w:tcBorders>
            <w:shd w:color="auto" w:fill="auto" w:val="clear"/>
          </w:tcPr>
          <w:p>
            <w:pPr>
              <w:pStyle w:val="Normal"/>
              <w:spacing w:lineRule="auto" w:line="240"/>
              <w:jc w:val="left"/>
              <w:rPr>
                <w:rFonts w:eastAsia="Tahoma"/>
                <w:color w:val="000000"/>
                <w:sz w:val="20"/>
                <w:szCs w:val="20"/>
                <w:lang w:eastAsia="ru-RU" w:bidi="ru-RU"/>
              </w:rPr>
            </w:pPr>
            <w:r>
              <w:rPr>
                <w:rFonts w:eastAsia="Tahoma" w:cs="Times New Roman" w:ascii="Calibri" w:hAnsi="Calibri"/>
                <w:sz w:val="20"/>
                <w:szCs w:val="20"/>
                <w:lang w:eastAsia="ru-RU" w:bidi="ru-RU"/>
              </w:rPr>
              <w:t>Количество ПС на территории</w:t>
            </w:r>
          </w:p>
        </w:tc>
        <w:tc>
          <w:tcPr>
            <w:tcW w:w="1559" w:type="dxa"/>
            <w:tcBorders/>
            <w:shd w:color="auto" w:fill="auto" w:val="clear"/>
          </w:tcPr>
          <w:p>
            <w:pPr>
              <w:pStyle w:val="Normal"/>
              <w:spacing w:lineRule="auto" w:line="240"/>
              <w:jc w:val="center"/>
              <w:rPr>
                <w:rFonts w:eastAsia="Tahoma"/>
                <w:color w:val="000000"/>
                <w:sz w:val="20"/>
                <w:szCs w:val="20"/>
                <w:lang w:eastAsia="ru-RU" w:bidi="ru-RU"/>
              </w:rPr>
            </w:pPr>
            <w:r>
              <w:rPr>
                <w:rFonts w:eastAsia="Tahoma" w:cs="" w:cstheme="minorBidi" w:ascii="Calibri" w:hAnsi="Calibri"/>
                <w:sz w:val="20"/>
                <w:szCs w:val="20"/>
                <w:lang w:eastAsia="ru-RU" w:bidi="ru-RU"/>
              </w:rPr>
              <w:t>единиц</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Tahoma" w:cs="Times New Roman" w:ascii="Calibri" w:hAnsi="Calibri"/>
                <w:sz w:val="20"/>
                <w:szCs w:val="20"/>
                <w:lang w:eastAsia="ru-RU" w:bidi="ru-RU"/>
              </w:rPr>
              <w:t>1</w:t>
            </w:r>
          </w:p>
        </w:tc>
        <w:tc>
          <w:tcPr>
            <w:tcW w:w="1284" w:type="dxa"/>
            <w:tcBorders/>
            <w:shd w:color="auto" w:fill="auto" w:val="clear"/>
          </w:tcPr>
          <w:p>
            <w:pPr>
              <w:pStyle w:val="Normal"/>
              <w:spacing w:lineRule="auto" w:line="240"/>
              <w:jc w:val="center"/>
              <w:rPr>
                <w:rFonts w:eastAsia="Times New Roman"/>
                <w:color w:val="000000"/>
                <w:sz w:val="20"/>
                <w:szCs w:val="21"/>
              </w:rPr>
            </w:pPr>
            <w:r>
              <w:rPr>
                <w:rFonts w:eastAsia="Tahoma" w:cs="Times New Roman" w:ascii="Calibri" w:hAnsi="Calibri"/>
                <w:sz w:val="20"/>
                <w:szCs w:val="20"/>
                <w:lang w:eastAsia="ru-RU" w:bidi="ru-RU"/>
              </w:rPr>
              <w:t>1</w:t>
            </w:r>
          </w:p>
        </w:tc>
      </w:tr>
      <w:tr>
        <w:trPr>
          <w:trHeight w:val="20" w:hRule="atLeast"/>
        </w:trPr>
        <w:tc>
          <w:tcPr>
            <w:tcW w:w="704" w:type="dxa"/>
            <w:tcBorders>
              <w:top w:val="single" w:sz="2" w:space="0" w:color="000000"/>
              <w:bottom w:val="single" w:sz="2" w:space="0" w:color="000000"/>
            </w:tcBorders>
            <w:shd w:color="auto" w:fill="auto" w:val="clear"/>
          </w:tcPr>
          <w:p>
            <w:pPr>
              <w:pStyle w:val="Normal"/>
              <w:spacing w:lineRule="auto" w:line="240"/>
              <w:jc w:val="center"/>
              <w:rPr>
                <w:rFonts w:eastAsia="Tahoma"/>
                <w:color w:val="000000"/>
                <w:sz w:val="20"/>
                <w:szCs w:val="20"/>
                <w:lang w:eastAsia="ru-RU" w:bidi="ru-RU"/>
              </w:rPr>
            </w:pPr>
            <w:r>
              <w:rPr>
                <w:rFonts w:eastAsia="Tahoma" w:cs="" w:cstheme="minorBidi" w:ascii="Calibri" w:hAnsi="Calibri"/>
                <w:color w:val="000000"/>
                <w:sz w:val="20"/>
                <w:szCs w:val="20"/>
                <w:lang w:eastAsia="ru-RU" w:bidi="ru-RU"/>
              </w:rPr>
              <w:t>6.3.4</w:t>
            </w:r>
          </w:p>
        </w:tc>
        <w:tc>
          <w:tcPr>
            <w:tcW w:w="4675" w:type="dxa"/>
            <w:tcBorders>
              <w:top w:val="single" w:sz="2" w:space="0" w:color="000000"/>
              <w:bottom w:val="single" w:sz="2" w:space="0" w:color="000000"/>
            </w:tcBorders>
            <w:shd w:color="auto" w:fill="auto" w:val="clear"/>
          </w:tcPr>
          <w:p>
            <w:pPr>
              <w:pStyle w:val="Normal"/>
              <w:spacing w:lineRule="auto" w:line="240"/>
              <w:jc w:val="left"/>
              <w:rPr>
                <w:rFonts w:eastAsia="Tahoma"/>
                <w:sz w:val="20"/>
                <w:szCs w:val="20"/>
                <w:lang w:eastAsia="ru-RU" w:bidi="ru-RU"/>
              </w:rPr>
            </w:pPr>
            <w:r>
              <w:rPr>
                <w:rFonts w:eastAsia="Tahoma" w:cs="" w:cstheme="minorBidi" w:ascii="Calibri" w:hAnsi="Calibri"/>
                <w:sz w:val="20"/>
                <w:szCs w:val="20"/>
                <w:lang w:eastAsia="ru-RU" w:bidi="ru-RU"/>
              </w:rPr>
              <w:t>Количество ТП на территории</w:t>
            </w:r>
          </w:p>
        </w:tc>
        <w:tc>
          <w:tcPr>
            <w:tcW w:w="1559" w:type="dxa"/>
            <w:tcBorders/>
            <w:shd w:color="auto" w:fill="auto" w:val="clear"/>
          </w:tcPr>
          <w:p>
            <w:pPr>
              <w:pStyle w:val="Normal"/>
              <w:spacing w:lineRule="auto" w:line="240"/>
              <w:jc w:val="center"/>
              <w:rPr>
                <w:rFonts w:eastAsia="Tahoma"/>
                <w:color w:val="000000"/>
                <w:sz w:val="20"/>
                <w:szCs w:val="20"/>
                <w:lang w:eastAsia="ru-RU" w:bidi="ru-RU"/>
              </w:rPr>
            </w:pPr>
            <w:r>
              <w:rPr>
                <w:rFonts w:eastAsia="Tahoma" w:cs="" w:cstheme="minorBidi" w:ascii="Calibri" w:hAnsi="Calibri"/>
                <w:sz w:val="20"/>
                <w:szCs w:val="20"/>
                <w:lang w:eastAsia="ru-RU" w:bidi="ru-RU"/>
              </w:rPr>
              <w:t>единиц</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Tahoma" w:cs="Times New Roman" w:ascii="Calibri" w:hAnsi="Calibri"/>
                <w:sz w:val="20"/>
                <w:szCs w:val="20"/>
                <w:lang w:eastAsia="ru-RU" w:bidi="ru-RU"/>
              </w:rPr>
              <w:t>20</w:t>
            </w:r>
          </w:p>
        </w:tc>
        <w:tc>
          <w:tcPr>
            <w:tcW w:w="1284" w:type="dxa"/>
            <w:tcBorders/>
            <w:shd w:color="auto" w:fill="auto" w:val="clear"/>
          </w:tcPr>
          <w:p>
            <w:pPr>
              <w:pStyle w:val="Normal"/>
              <w:spacing w:lineRule="auto" w:line="240"/>
              <w:jc w:val="center"/>
              <w:rPr>
                <w:rFonts w:eastAsia="Times New Roman"/>
                <w:color w:val="000000"/>
                <w:sz w:val="20"/>
                <w:szCs w:val="21"/>
              </w:rPr>
            </w:pPr>
            <w:r>
              <w:rPr>
                <w:rFonts w:eastAsia="Tahoma" w:cs="Times New Roman" w:ascii="Calibri" w:hAnsi="Calibri"/>
                <w:sz w:val="20"/>
                <w:szCs w:val="20"/>
                <w:lang w:eastAsia="ru-RU" w:bidi="ru-RU"/>
              </w:rPr>
              <w:t>20</w:t>
            </w:r>
          </w:p>
        </w:tc>
      </w:tr>
      <w:tr>
        <w:trPr>
          <w:trHeight w:val="20" w:hRule="atLeast"/>
        </w:trPr>
        <w:tc>
          <w:tcPr>
            <w:tcW w:w="704" w:type="dxa"/>
            <w:tcBorders>
              <w:top w:val="single" w:sz="2" w:space="0" w:color="000000"/>
              <w:bottom w:val="single" w:sz="2" w:space="0" w:color="000000"/>
            </w:tcBorders>
            <w:shd w:color="auto" w:fill="auto" w:val="clear"/>
          </w:tcPr>
          <w:p>
            <w:pPr>
              <w:pStyle w:val="Normal"/>
              <w:spacing w:lineRule="auto" w:line="240"/>
              <w:jc w:val="center"/>
              <w:rPr>
                <w:rFonts w:eastAsia="Times New Roman"/>
                <w:sz w:val="20"/>
                <w:szCs w:val="21"/>
              </w:rPr>
            </w:pPr>
            <w:r>
              <w:rPr>
                <w:rFonts w:eastAsia="Tahoma" w:cs="" w:cstheme="minorBidi" w:ascii="Calibri" w:hAnsi="Calibri"/>
                <w:b/>
                <w:color w:val="000000"/>
                <w:sz w:val="20"/>
                <w:szCs w:val="20"/>
                <w:lang w:eastAsia="ru-RU" w:bidi="ru-RU"/>
              </w:rPr>
              <w:t>6.4</w:t>
            </w:r>
          </w:p>
        </w:tc>
        <w:tc>
          <w:tcPr>
            <w:tcW w:w="9217" w:type="dxa"/>
            <w:gridSpan w:val="4"/>
            <w:tcBorders>
              <w:top w:val="single" w:sz="2" w:space="0" w:color="000000"/>
              <w:bottom w:val="single" w:sz="2" w:space="0" w:color="000000"/>
            </w:tcBorders>
            <w:shd w:color="auto" w:fill="auto" w:val="clear"/>
          </w:tcPr>
          <w:p>
            <w:pPr>
              <w:pStyle w:val="Normal"/>
              <w:spacing w:lineRule="auto" w:line="240"/>
              <w:jc w:val="left"/>
              <w:rPr>
                <w:rFonts w:eastAsia="Times New Roman"/>
                <w:color w:val="000000"/>
                <w:sz w:val="20"/>
                <w:szCs w:val="21"/>
              </w:rPr>
            </w:pPr>
            <w:r>
              <w:rPr>
                <w:rFonts w:eastAsia="Tahoma" w:cs="" w:cstheme="minorBidi" w:ascii="Calibri" w:hAnsi="Calibri"/>
                <w:b/>
                <w:color w:val="000000"/>
                <w:sz w:val="20"/>
                <w:szCs w:val="20"/>
                <w:lang w:eastAsia="ru-RU" w:bidi="ru-RU"/>
              </w:rPr>
              <w:t>Связь</w:t>
            </w:r>
          </w:p>
        </w:tc>
      </w:tr>
      <w:tr>
        <w:trPr>
          <w:trHeight w:val="20" w:hRule="atLeast"/>
        </w:trPr>
        <w:tc>
          <w:tcPr>
            <w:tcW w:w="704" w:type="dxa"/>
            <w:tcBorders>
              <w:top w:val="single" w:sz="2" w:space="0" w:color="000000"/>
              <w:bottom w:val="single" w:sz="2" w:space="0" w:color="000000"/>
            </w:tcBorders>
            <w:shd w:color="auto" w:fill="auto" w:val="clear"/>
          </w:tcPr>
          <w:p>
            <w:pPr>
              <w:pStyle w:val="Normal"/>
              <w:spacing w:lineRule="auto" w:line="240"/>
              <w:jc w:val="center"/>
              <w:rPr>
                <w:rFonts w:eastAsia="Times New Roman"/>
                <w:sz w:val="20"/>
                <w:szCs w:val="21"/>
              </w:rPr>
            </w:pPr>
            <w:r>
              <w:rPr>
                <w:rFonts w:eastAsia="Tahoma" w:cs="" w:cstheme="minorBidi" w:ascii="Calibri" w:hAnsi="Calibri"/>
                <w:color w:val="000000"/>
                <w:sz w:val="20"/>
                <w:szCs w:val="20"/>
                <w:lang w:eastAsia="ru-RU" w:bidi="ru-RU"/>
              </w:rPr>
              <w:t>6.4.1</w:t>
            </w:r>
          </w:p>
        </w:tc>
        <w:tc>
          <w:tcPr>
            <w:tcW w:w="4675" w:type="dxa"/>
            <w:tcBorders>
              <w:top w:val="single" w:sz="2" w:space="0" w:color="000000"/>
              <w:bottom w:val="single" w:sz="2" w:space="0" w:color="000000"/>
            </w:tcBorders>
            <w:shd w:color="auto" w:fill="auto" w:val="clear"/>
          </w:tcPr>
          <w:p>
            <w:pPr>
              <w:pStyle w:val="Normal"/>
              <w:spacing w:lineRule="auto" w:line="240"/>
              <w:jc w:val="left"/>
              <w:rPr>
                <w:rFonts w:eastAsia="Times New Roman"/>
                <w:sz w:val="20"/>
                <w:szCs w:val="21"/>
              </w:rPr>
            </w:pPr>
            <w:r>
              <w:rPr>
                <w:rFonts w:eastAsia="Tahoma" w:cs="" w:cstheme="minorBidi" w:ascii="Calibri" w:hAnsi="Calibri"/>
                <w:sz w:val="20"/>
                <w:szCs w:val="20"/>
                <w:lang w:eastAsia="ru-RU" w:bidi="ru-RU"/>
              </w:rPr>
              <w:t>Количество объектов почтовой связи</w:t>
            </w:r>
          </w:p>
        </w:tc>
        <w:tc>
          <w:tcPr>
            <w:tcW w:w="1559" w:type="dxa"/>
            <w:tcBorders/>
            <w:shd w:color="auto" w:fill="auto" w:val="clear"/>
          </w:tcPr>
          <w:p>
            <w:pPr>
              <w:pStyle w:val="Normal"/>
              <w:spacing w:lineRule="auto" w:line="240"/>
              <w:jc w:val="center"/>
              <w:rPr>
                <w:rFonts w:eastAsia="Times New Roman"/>
                <w:sz w:val="20"/>
                <w:szCs w:val="21"/>
              </w:rPr>
            </w:pPr>
            <w:r>
              <w:rPr>
                <w:rFonts w:eastAsia="Tahoma" w:cs="" w:cstheme="minorBidi" w:ascii="Calibri" w:hAnsi="Calibri"/>
                <w:color w:val="000000"/>
                <w:sz w:val="20"/>
                <w:szCs w:val="20"/>
                <w:lang w:eastAsia="ru-RU" w:bidi="ru-RU"/>
              </w:rPr>
              <w:t>единиц</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Tahoma" w:cs="" w:cstheme="minorBidi" w:ascii="Calibri" w:hAnsi="Calibri"/>
                <w:color w:val="000000"/>
                <w:sz w:val="20"/>
                <w:szCs w:val="20"/>
                <w:lang w:eastAsia="ru-RU" w:bidi="ru-RU"/>
              </w:rPr>
              <w:t>1</w:t>
            </w:r>
          </w:p>
        </w:tc>
        <w:tc>
          <w:tcPr>
            <w:tcW w:w="1284" w:type="dxa"/>
            <w:tcBorders/>
            <w:shd w:color="auto" w:fill="auto" w:val="clear"/>
          </w:tcPr>
          <w:p>
            <w:pPr>
              <w:pStyle w:val="Normal"/>
              <w:spacing w:lineRule="auto" w:line="240"/>
              <w:jc w:val="center"/>
              <w:rPr>
                <w:rFonts w:eastAsia="Times New Roman"/>
                <w:color w:val="000000"/>
                <w:sz w:val="20"/>
                <w:szCs w:val="21"/>
              </w:rPr>
            </w:pPr>
            <w:r>
              <w:rPr>
                <w:rFonts w:eastAsia="Tahoma" w:cs="" w:cstheme="minorBidi" w:ascii="Calibri" w:hAnsi="Calibri"/>
                <w:color w:val="000000"/>
                <w:sz w:val="20"/>
                <w:szCs w:val="20"/>
                <w:lang w:eastAsia="ru-RU" w:bidi="ru-RU"/>
              </w:rPr>
              <w:t>1</w:t>
            </w:r>
          </w:p>
        </w:tc>
      </w:tr>
      <w:tr>
        <w:trPr>
          <w:trHeight w:val="20" w:hRule="atLeast"/>
        </w:trPr>
        <w:tc>
          <w:tcPr>
            <w:tcW w:w="704" w:type="dxa"/>
            <w:tcBorders>
              <w:top w:val="single" w:sz="2" w:space="0" w:color="000000"/>
              <w:bottom w:val="single" w:sz="2" w:space="0" w:color="000000"/>
            </w:tcBorders>
            <w:shd w:color="auto" w:fill="auto" w:val="clear"/>
          </w:tcPr>
          <w:p>
            <w:pPr>
              <w:pStyle w:val="Normal"/>
              <w:spacing w:lineRule="auto" w:line="240"/>
              <w:jc w:val="center"/>
              <w:rPr>
                <w:rFonts w:eastAsia="Times New Roman"/>
                <w:sz w:val="20"/>
                <w:szCs w:val="21"/>
              </w:rPr>
            </w:pPr>
            <w:r>
              <w:rPr>
                <w:rFonts w:eastAsia="Tahoma" w:cs="" w:cstheme="minorBidi" w:ascii="Calibri" w:hAnsi="Calibri"/>
                <w:color w:val="000000"/>
                <w:sz w:val="20"/>
                <w:szCs w:val="20"/>
                <w:lang w:eastAsia="ru-RU" w:bidi="ru-RU"/>
              </w:rPr>
              <w:t>6.4.2</w:t>
            </w:r>
          </w:p>
        </w:tc>
        <w:tc>
          <w:tcPr>
            <w:tcW w:w="4675" w:type="dxa"/>
            <w:tcBorders>
              <w:top w:val="single" w:sz="2" w:space="0" w:color="000000"/>
              <w:bottom w:val="single" w:sz="2" w:space="0" w:color="000000"/>
            </w:tcBorders>
            <w:shd w:color="auto" w:fill="auto" w:val="clear"/>
          </w:tcPr>
          <w:p>
            <w:pPr>
              <w:pStyle w:val="Normal"/>
              <w:spacing w:lineRule="auto" w:line="240"/>
              <w:jc w:val="left"/>
              <w:rPr>
                <w:rFonts w:eastAsia="Times New Roman"/>
                <w:sz w:val="20"/>
                <w:szCs w:val="21"/>
              </w:rPr>
            </w:pPr>
            <w:r>
              <w:rPr>
                <w:rFonts w:eastAsia="Tahoma" w:cs="Times New Roman" w:ascii="Calibri" w:hAnsi="Calibri"/>
                <w:sz w:val="20"/>
                <w:szCs w:val="20"/>
                <w:lang w:eastAsia="ru-RU" w:bidi="ru-RU"/>
              </w:rPr>
              <w:t>Протяженность линий связи всего</w:t>
            </w:r>
          </w:p>
        </w:tc>
        <w:tc>
          <w:tcPr>
            <w:tcW w:w="1559" w:type="dxa"/>
            <w:tcBorders/>
            <w:shd w:color="auto" w:fill="auto" w:val="clear"/>
          </w:tcPr>
          <w:p>
            <w:pPr>
              <w:pStyle w:val="Normal"/>
              <w:spacing w:lineRule="auto" w:line="240"/>
              <w:jc w:val="center"/>
              <w:rPr>
                <w:rFonts w:eastAsia="Times New Roman"/>
                <w:sz w:val="20"/>
                <w:szCs w:val="21"/>
              </w:rPr>
            </w:pPr>
            <w:r>
              <w:rPr>
                <w:rFonts w:eastAsia="Tahoma" w:cs="" w:cstheme="minorBidi" w:ascii="Calibri" w:hAnsi="Calibri"/>
                <w:color w:val="000000"/>
                <w:sz w:val="20"/>
                <w:szCs w:val="20"/>
                <w:lang w:eastAsia="ru-RU" w:bidi="ru-RU"/>
              </w:rPr>
              <w:t>единиц</w:t>
            </w:r>
          </w:p>
        </w:tc>
        <w:tc>
          <w:tcPr>
            <w:tcW w:w="1699" w:type="dxa"/>
            <w:tcBorders/>
            <w:shd w:color="auto" w:fill="auto" w:val="clear"/>
          </w:tcPr>
          <w:p>
            <w:pPr>
              <w:pStyle w:val="Normal"/>
              <w:spacing w:lineRule="auto" w:line="240"/>
              <w:jc w:val="center"/>
              <w:rPr>
                <w:rFonts w:eastAsia="Times New Roman"/>
                <w:color w:val="000000"/>
                <w:sz w:val="20"/>
                <w:szCs w:val="21"/>
              </w:rPr>
            </w:pPr>
            <w:r>
              <w:rPr>
                <w:rFonts w:eastAsia="Tahoma" w:cs="" w:cstheme="minorBidi" w:ascii="Calibri" w:hAnsi="Calibri"/>
                <w:color w:val="000000"/>
                <w:sz w:val="20"/>
                <w:szCs w:val="20"/>
                <w:lang w:eastAsia="ru-RU" w:bidi="ru-RU"/>
              </w:rPr>
              <w:t>39,44</w:t>
            </w:r>
          </w:p>
        </w:tc>
        <w:tc>
          <w:tcPr>
            <w:tcW w:w="1284" w:type="dxa"/>
            <w:tcBorders/>
            <w:shd w:color="auto" w:fill="auto" w:val="clear"/>
          </w:tcPr>
          <w:p>
            <w:pPr>
              <w:pStyle w:val="Normal"/>
              <w:spacing w:lineRule="auto" w:line="240"/>
              <w:jc w:val="center"/>
              <w:rPr>
                <w:rFonts w:eastAsia="Times New Roman"/>
                <w:color w:val="000000"/>
                <w:sz w:val="20"/>
                <w:szCs w:val="21"/>
              </w:rPr>
            </w:pPr>
            <w:r>
              <w:rPr>
                <w:rFonts w:eastAsia="Tahoma" w:cs="" w:cstheme="minorBidi" w:ascii="Calibri" w:hAnsi="Calibri"/>
                <w:color w:val="000000"/>
                <w:sz w:val="20"/>
                <w:szCs w:val="20"/>
                <w:lang w:eastAsia="ru-RU" w:bidi="ru-RU"/>
              </w:rPr>
              <w:t>39,44</w:t>
            </w:r>
          </w:p>
        </w:tc>
      </w:tr>
      <w:tr>
        <w:trPr>
          <w:trHeight w:val="20" w:hRule="atLeast"/>
        </w:trPr>
        <w:tc>
          <w:tcPr>
            <w:tcW w:w="704" w:type="dxa"/>
            <w:tcBorders/>
          </w:tcPr>
          <w:p>
            <w:pPr>
              <w:pStyle w:val="Normal"/>
              <w:spacing w:lineRule="auto" w:line="240"/>
              <w:jc w:val="center"/>
              <w:rPr>
                <w:rFonts w:eastAsia="Tahoma"/>
                <w:color w:val="000000"/>
                <w:sz w:val="20"/>
                <w:szCs w:val="20"/>
                <w:lang w:eastAsia="ru-RU" w:bidi="ru-RU"/>
              </w:rPr>
            </w:pPr>
            <w:r>
              <w:rPr>
                <w:rFonts w:eastAsia="Calibri" w:cs="" w:cstheme="minorBidi" w:eastAsiaTheme="minorHAnsi" w:ascii="Calibri" w:hAnsi="Calibri"/>
                <w:b/>
                <w:color w:val="000000" w:themeColor="text1"/>
                <w:sz w:val="20"/>
                <w:szCs w:val="20"/>
                <w:lang w:eastAsia="en-US"/>
              </w:rPr>
              <w:t>6.5</w:t>
            </w:r>
          </w:p>
        </w:tc>
        <w:tc>
          <w:tcPr>
            <w:tcW w:w="9217" w:type="dxa"/>
            <w:gridSpan w:val="4"/>
            <w:tcBorders/>
          </w:tcPr>
          <w:p>
            <w:pPr>
              <w:pStyle w:val="Normal"/>
              <w:spacing w:lineRule="auto" w:line="240"/>
              <w:jc w:val="left"/>
              <w:rPr>
                <w:rFonts w:eastAsia="Tahoma"/>
                <w:color w:val="000000"/>
                <w:sz w:val="20"/>
                <w:szCs w:val="20"/>
                <w:lang w:val="en-US" w:eastAsia="ru-RU" w:bidi="ru-RU"/>
              </w:rPr>
            </w:pPr>
            <w:r>
              <w:rPr>
                <w:rFonts w:eastAsia="Calibri" w:cs="" w:cstheme="minorBidi" w:eastAsiaTheme="minorHAnsi" w:ascii="Calibri" w:hAnsi="Calibri"/>
                <w:b/>
                <w:color w:val="000000"/>
                <w:sz w:val="20"/>
                <w:szCs w:val="20"/>
                <w:lang w:eastAsia="en-US"/>
              </w:rPr>
              <w:t>Газоснабжение</w:t>
            </w:r>
          </w:p>
        </w:tc>
      </w:tr>
      <w:tr>
        <w:trPr>
          <w:trHeight w:val="20" w:hRule="atLeast"/>
        </w:trPr>
        <w:tc>
          <w:tcPr>
            <w:tcW w:w="704" w:type="dxa"/>
            <w:vMerge w:val="restart"/>
            <w:tcBorders/>
          </w:tcPr>
          <w:p>
            <w:pPr>
              <w:pStyle w:val="Normal"/>
              <w:spacing w:lineRule="auto" w:line="240"/>
              <w:jc w:val="center"/>
              <w:rPr>
                <w:rFonts w:eastAsia="Tahoma"/>
                <w:color w:val="000000"/>
                <w:sz w:val="20"/>
                <w:szCs w:val="20"/>
                <w:lang w:eastAsia="ru-RU" w:bidi="ru-RU"/>
              </w:rPr>
            </w:pPr>
            <w:r>
              <w:rPr>
                <w:rFonts w:eastAsia="Calibri" w:cs="" w:cstheme="minorBidi" w:eastAsiaTheme="minorHAnsi" w:ascii="Calibri" w:hAnsi="Calibri"/>
                <w:color w:val="000000" w:themeColor="text1"/>
                <w:sz w:val="20"/>
                <w:szCs w:val="20"/>
                <w:lang w:eastAsia="en-US"/>
              </w:rPr>
              <w:t>6.5.1</w:t>
            </w:r>
          </w:p>
        </w:tc>
        <w:tc>
          <w:tcPr>
            <w:tcW w:w="4675" w:type="dxa"/>
            <w:tcBorders/>
          </w:tcPr>
          <w:p>
            <w:pPr>
              <w:pStyle w:val="Normal"/>
              <w:spacing w:lineRule="auto" w:line="240"/>
              <w:jc w:val="left"/>
              <w:rPr>
                <w:rFonts w:eastAsia="Tahoma"/>
                <w:color w:val="000000"/>
                <w:sz w:val="20"/>
                <w:szCs w:val="20"/>
                <w:lang w:eastAsia="ru-RU" w:bidi="ru-RU"/>
              </w:rPr>
            </w:pPr>
            <w:r>
              <w:rPr>
                <w:rFonts w:eastAsia="Calibri" w:cs="" w:cstheme="minorBidi" w:eastAsiaTheme="minorHAnsi" w:ascii="Calibri" w:hAnsi="Calibri"/>
                <w:color w:val="000000"/>
                <w:sz w:val="20"/>
                <w:szCs w:val="20"/>
                <w:lang w:eastAsia="en-US"/>
              </w:rPr>
              <w:t>Потребление газа</w:t>
            </w:r>
          </w:p>
        </w:tc>
        <w:tc>
          <w:tcPr>
            <w:tcW w:w="1559" w:type="dxa"/>
            <w:tcBorders/>
          </w:tcPr>
          <w:p>
            <w:pPr>
              <w:pStyle w:val="Normal"/>
              <w:spacing w:lineRule="auto" w:line="240"/>
              <w:jc w:val="center"/>
              <w:rPr>
                <w:rFonts w:eastAsia="Tahoma"/>
                <w:color w:val="000000"/>
                <w:sz w:val="20"/>
                <w:szCs w:val="20"/>
                <w:lang w:eastAsia="ru-RU" w:bidi="ru-RU"/>
              </w:rPr>
            </w:pPr>
            <w:r>
              <w:rPr>
                <w:rFonts w:eastAsia="Calibri" w:cs="" w:cstheme="minorBidi" w:eastAsiaTheme="minorHAnsi" w:ascii="Calibri" w:hAnsi="Calibri"/>
                <w:color w:val="000000"/>
                <w:sz w:val="20"/>
                <w:szCs w:val="20"/>
                <w:lang w:eastAsia="en-US"/>
              </w:rPr>
              <w:t>тыс. м</w:t>
            </w:r>
            <w:r>
              <w:rPr>
                <w:rFonts w:eastAsia="Calibri" w:cs="" w:cstheme="minorBidi" w:eastAsiaTheme="minorHAnsi" w:ascii="Calibri" w:hAnsi="Calibri"/>
                <w:color w:val="000000"/>
                <w:sz w:val="20"/>
                <w:szCs w:val="20"/>
                <w:vertAlign w:val="superscript"/>
                <w:lang w:eastAsia="en-US"/>
              </w:rPr>
              <w:t>3</w:t>
            </w:r>
            <w:r>
              <w:rPr>
                <w:rFonts w:eastAsia="Calibri" w:cs="" w:cstheme="minorBidi" w:eastAsiaTheme="minorHAnsi" w:ascii="Calibri" w:hAnsi="Calibri"/>
                <w:color w:val="000000"/>
                <w:sz w:val="20"/>
                <w:szCs w:val="20"/>
                <w:lang w:eastAsia="en-US"/>
              </w:rPr>
              <w:t>/год</w:t>
            </w:r>
          </w:p>
        </w:tc>
        <w:tc>
          <w:tcPr>
            <w:tcW w:w="1699" w:type="dxa"/>
            <w:tcBorders/>
          </w:tcPr>
          <w:p>
            <w:pPr>
              <w:pStyle w:val="Normal"/>
              <w:spacing w:lineRule="auto" w:line="240"/>
              <w:jc w:val="center"/>
              <w:rPr>
                <w:rFonts w:eastAsia="Tahoma"/>
                <w:color w:val="000000"/>
                <w:sz w:val="20"/>
                <w:szCs w:val="20"/>
                <w:lang w:val="en-US" w:eastAsia="ru-RU" w:bidi="ru-RU"/>
              </w:rPr>
            </w:pPr>
            <w:r>
              <w:rPr>
                <w:rFonts w:eastAsia="Calibri" w:cs="" w:cstheme="minorBidi" w:eastAsiaTheme="minorHAnsi" w:ascii="Calibri" w:hAnsi="Calibri"/>
                <w:color w:val="000000" w:themeColor="text1"/>
                <w:sz w:val="20"/>
                <w:szCs w:val="20"/>
                <w:lang w:eastAsia="en-US"/>
              </w:rPr>
              <w:t>-</w:t>
            </w:r>
          </w:p>
        </w:tc>
        <w:tc>
          <w:tcPr>
            <w:tcW w:w="1284" w:type="dxa"/>
            <w:tcBorders/>
          </w:tcPr>
          <w:p>
            <w:pPr>
              <w:pStyle w:val="Normal"/>
              <w:spacing w:lineRule="auto" w:line="240"/>
              <w:jc w:val="center"/>
              <w:rPr>
                <w:rFonts w:eastAsia="Tahoma"/>
                <w:color w:val="000000"/>
                <w:sz w:val="20"/>
                <w:szCs w:val="20"/>
                <w:lang w:val="en-US" w:eastAsia="ru-RU" w:bidi="ru-RU"/>
              </w:rPr>
            </w:pPr>
            <w:r>
              <w:rPr>
                <w:rFonts w:eastAsia="Calibri" w:cs="" w:cstheme="minorBidi" w:eastAsiaTheme="minorHAnsi" w:ascii="Calibri" w:hAnsi="Calibri"/>
                <w:color w:val="000000" w:themeColor="text1"/>
                <w:sz w:val="20"/>
                <w:szCs w:val="20"/>
                <w:lang w:eastAsia="en-US"/>
              </w:rPr>
              <w:t>478,8</w:t>
            </w:r>
          </w:p>
        </w:tc>
      </w:tr>
      <w:tr>
        <w:trPr>
          <w:trHeight w:val="20" w:hRule="atLeast"/>
        </w:trPr>
        <w:tc>
          <w:tcPr>
            <w:tcW w:w="704" w:type="dxa"/>
            <w:vMerge w:val="continue"/>
            <w:tcBorders/>
            <w:shd w:color="auto" w:fill="FFC000" w:val="clear"/>
          </w:tcPr>
          <w:p>
            <w:pPr>
              <w:pStyle w:val="Normal"/>
              <w:spacing w:lineRule="auto" w:line="240"/>
              <w:jc w:val="center"/>
              <w:rPr>
                <w:rFonts w:eastAsia="Tahoma"/>
                <w:color w:val="000000"/>
                <w:sz w:val="20"/>
                <w:szCs w:val="20"/>
                <w:lang w:eastAsia="ru-RU" w:bidi="ru-RU"/>
              </w:rPr>
            </w:pPr>
            <w:r>
              <w:rPr>
                <w:rFonts w:eastAsia="Tahoma" w:cs="" w:ascii="Calibri" w:hAnsi="Calibri"/>
                <w:color w:val="000000"/>
                <w:sz w:val="20"/>
                <w:szCs w:val="20"/>
                <w:lang w:eastAsia="ru-RU" w:bidi="ru-RU"/>
              </w:rPr>
            </w:r>
          </w:p>
        </w:tc>
        <w:tc>
          <w:tcPr>
            <w:tcW w:w="9217" w:type="dxa"/>
            <w:gridSpan w:val="4"/>
            <w:tcBorders/>
          </w:tcPr>
          <w:p>
            <w:pPr>
              <w:pStyle w:val="Normal"/>
              <w:spacing w:lineRule="auto" w:line="240"/>
              <w:jc w:val="left"/>
              <w:rPr>
                <w:rFonts w:eastAsia="Tahoma"/>
                <w:color w:val="000000"/>
                <w:sz w:val="20"/>
                <w:szCs w:val="20"/>
                <w:lang w:val="en-US" w:eastAsia="ru-RU" w:bidi="ru-RU"/>
              </w:rPr>
            </w:pPr>
            <w:r>
              <w:rPr>
                <w:rFonts w:eastAsia="Calibri" w:cs="" w:cstheme="minorBidi" w:eastAsiaTheme="minorHAnsi" w:ascii="Calibri" w:hAnsi="Calibri"/>
                <w:color w:val="000000"/>
                <w:sz w:val="20"/>
                <w:szCs w:val="20"/>
                <w:lang w:eastAsia="en-US"/>
              </w:rPr>
              <w:t>в том числе:</w:t>
            </w:r>
          </w:p>
        </w:tc>
      </w:tr>
      <w:tr>
        <w:trPr>
          <w:trHeight w:val="20" w:hRule="atLeast"/>
        </w:trPr>
        <w:tc>
          <w:tcPr>
            <w:tcW w:w="704" w:type="dxa"/>
            <w:vMerge w:val="continue"/>
            <w:tcBorders/>
            <w:shd w:color="auto" w:fill="FFC000" w:val="clear"/>
          </w:tcPr>
          <w:p>
            <w:pPr>
              <w:pStyle w:val="Normal"/>
              <w:spacing w:lineRule="auto" w:line="240"/>
              <w:jc w:val="center"/>
              <w:rPr>
                <w:rFonts w:eastAsia="Tahoma"/>
                <w:color w:val="000000"/>
                <w:sz w:val="20"/>
                <w:szCs w:val="20"/>
                <w:lang w:eastAsia="ru-RU" w:bidi="ru-RU"/>
              </w:rPr>
            </w:pPr>
            <w:r>
              <w:rPr>
                <w:rFonts w:eastAsia="Tahoma" w:cs="" w:ascii="Calibri" w:hAnsi="Calibri"/>
                <w:color w:val="000000"/>
                <w:sz w:val="20"/>
                <w:szCs w:val="20"/>
                <w:lang w:eastAsia="ru-RU" w:bidi="ru-RU"/>
              </w:rPr>
            </w:r>
          </w:p>
        </w:tc>
        <w:tc>
          <w:tcPr>
            <w:tcW w:w="4675" w:type="dxa"/>
            <w:tcBorders/>
          </w:tcPr>
          <w:p>
            <w:pPr>
              <w:pStyle w:val="Normal"/>
              <w:spacing w:lineRule="auto" w:line="240"/>
              <w:jc w:val="left"/>
              <w:rPr>
                <w:rFonts w:eastAsia="Tahoma"/>
                <w:color w:val="000000"/>
                <w:sz w:val="20"/>
                <w:szCs w:val="20"/>
                <w:lang w:eastAsia="ru-RU" w:bidi="ru-RU"/>
              </w:rPr>
            </w:pPr>
            <w:r>
              <w:rPr>
                <w:rFonts w:eastAsia="Calibri" w:cs="" w:cstheme="minorBidi" w:eastAsiaTheme="minorHAnsi" w:ascii="Calibri" w:hAnsi="Calibri"/>
                <w:color w:val="000000"/>
                <w:sz w:val="20"/>
                <w:szCs w:val="20"/>
                <w:lang w:eastAsia="en-US"/>
              </w:rPr>
              <w:t>на хозяйственно-бытовые нужды</w:t>
            </w:r>
          </w:p>
        </w:tc>
        <w:tc>
          <w:tcPr>
            <w:tcW w:w="1559" w:type="dxa"/>
            <w:tcBorders/>
          </w:tcPr>
          <w:p>
            <w:pPr>
              <w:pStyle w:val="Normal"/>
              <w:spacing w:lineRule="auto" w:line="240"/>
              <w:jc w:val="center"/>
              <w:rPr>
                <w:rFonts w:eastAsia="Tahoma"/>
                <w:color w:val="000000"/>
                <w:sz w:val="20"/>
                <w:szCs w:val="20"/>
                <w:lang w:eastAsia="ru-RU" w:bidi="ru-RU"/>
              </w:rPr>
            </w:pPr>
            <w:r>
              <w:rPr>
                <w:rFonts w:eastAsia="Calibri" w:cs="" w:cstheme="minorBidi" w:eastAsiaTheme="minorHAnsi" w:ascii="Calibri" w:hAnsi="Calibri"/>
                <w:color w:val="000000"/>
                <w:sz w:val="20"/>
                <w:szCs w:val="20"/>
                <w:lang w:eastAsia="en-US"/>
              </w:rPr>
              <w:t>тыс. м</w:t>
            </w:r>
            <w:r>
              <w:rPr>
                <w:rFonts w:eastAsia="Calibri" w:cs="" w:cstheme="minorBidi" w:eastAsiaTheme="minorHAnsi" w:ascii="Calibri" w:hAnsi="Calibri"/>
                <w:color w:val="000000"/>
                <w:sz w:val="20"/>
                <w:szCs w:val="20"/>
                <w:vertAlign w:val="superscript"/>
                <w:lang w:eastAsia="en-US"/>
              </w:rPr>
              <w:t>3</w:t>
            </w:r>
            <w:r>
              <w:rPr>
                <w:rFonts w:eastAsia="Calibri" w:cs="" w:cstheme="minorBidi" w:eastAsiaTheme="minorHAnsi" w:ascii="Calibri" w:hAnsi="Calibri"/>
                <w:color w:val="000000"/>
                <w:sz w:val="20"/>
                <w:szCs w:val="20"/>
                <w:lang w:eastAsia="en-US"/>
              </w:rPr>
              <w:t>/год</w:t>
            </w:r>
          </w:p>
        </w:tc>
        <w:tc>
          <w:tcPr>
            <w:tcW w:w="1699" w:type="dxa"/>
            <w:tcBorders/>
          </w:tcPr>
          <w:p>
            <w:pPr>
              <w:pStyle w:val="Normal"/>
              <w:spacing w:lineRule="auto" w:line="240"/>
              <w:jc w:val="center"/>
              <w:rPr>
                <w:rFonts w:eastAsia="Tahoma"/>
                <w:color w:val="000000"/>
                <w:sz w:val="20"/>
                <w:szCs w:val="20"/>
                <w:lang w:val="en-US" w:eastAsia="ru-RU" w:bidi="ru-RU"/>
              </w:rPr>
            </w:pPr>
            <w:r>
              <w:rPr>
                <w:rFonts w:eastAsia="Calibri" w:cs="" w:cstheme="minorBidi" w:eastAsiaTheme="minorHAnsi" w:ascii="Calibri" w:hAnsi="Calibri"/>
                <w:color w:val="000000" w:themeColor="text1"/>
                <w:sz w:val="20"/>
                <w:szCs w:val="20"/>
                <w:lang w:eastAsia="en-US"/>
              </w:rPr>
              <w:t>-</w:t>
            </w:r>
          </w:p>
        </w:tc>
        <w:tc>
          <w:tcPr>
            <w:tcW w:w="1284" w:type="dxa"/>
            <w:tcBorders/>
          </w:tcPr>
          <w:p>
            <w:pPr>
              <w:pStyle w:val="Normal"/>
              <w:spacing w:lineRule="auto" w:line="240"/>
              <w:jc w:val="center"/>
              <w:rPr>
                <w:rFonts w:eastAsia="Tahoma"/>
                <w:color w:val="000000"/>
                <w:sz w:val="20"/>
                <w:szCs w:val="20"/>
                <w:lang w:val="en-US" w:eastAsia="ru-RU" w:bidi="ru-RU"/>
              </w:rPr>
            </w:pPr>
            <w:r>
              <w:rPr>
                <w:rFonts w:eastAsia="Calibri" w:cs="" w:cstheme="minorBidi" w:eastAsiaTheme="minorHAnsi" w:ascii="Calibri" w:hAnsi="Calibri"/>
                <w:color w:val="000000" w:themeColor="text1"/>
                <w:sz w:val="20"/>
                <w:szCs w:val="20"/>
                <w:lang w:eastAsia="en-US"/>
              </w:rPr>
              <w:t>456,0</w:t>
            </w:r>
          </w:p>
        </w:tc>
      </w:tr>
      <w:tr>
        <w:trPr>
          <w:trHeight w:val="20" w:hRule="atLeast"/>
        </w:trPr>
        <w:tc>
          <w:tcPr>
            <w:tcW w:w="704" w:type="dxa"/>
            <w:vMerge w:val="continue"/>
            <w:tcBorders/>
            <w:shd w:color="auto" w:fill="FFC000" w:val="clear"/>
          </w:tcPr>
          <w:p>
            <w:pPr>
              <w:pStyle w:val="Normal"/>
              <w:spacing w:lineRule="auto" w:line="240"/>
              <w:jc w:val="center"/>
              <w:rPr>
                <w:rFonts w:eastAsia="Tahoma"/>
                <w:color w:val="000000"/>
                <w:sz w:val="20"/>
                <w:szCs w:val="20"/>
                <w:lang w:eastAsia="ru-RU" w:bidi="ru-RU"/>
              </w:rPr>
            </w:pPr>
            <w:r>
              <w:rPr>
                <w:rFonts w:eastAsia="Tahoma" w:cs="" w:ascii="Calibri" w:hAnsi="Calibri"/>
                <w:color w:val="000000"/>
                <w:sz w:val="20"/>
                <w:szCs w:val="20"/>
                <w:lang w:eastAsia="ru-RU" w:bidi="ru-RU"/>
              </w:rPr>
            </w:r>
          </w:p>
        </w:tc>
        <w:tc>
          <w:tcPr>
            <w:tcW w:w="4675" w:type="dxa"/>
            <w:tcBorders/>
          </w:tcPr>
          <w:p>
            <w:pPr>
              <w:pStyle w:val="Normal"/>
              <w:spacing w:lineRule="auto" w:line="240"/>
              <w:jc w:val="left"/>
              <w:rPr>
                <w:rFonts w:eastAsia="Tahoma"/>
                <w:color w:val="000000"/>
                <w:sz w:val="20"/>
                <w:szCs w:val="20"/>
                <w:lang w:eastAsia="ru-RU" w:bidi="ru-RU"/>
              </w:rPr>
            </w:pPr>
            <w:r>
              <w:rPr>
                <w:rFonts w:eastAsia="Calibri" w:cs="" w:cstheme="minorBidi" w:eastAsiaTheme="minorHAnsi" w:ascii="Calibri" w:hAnsi="Calibri"/>
                <w:color w:val="000000"/>
                <w:sz w:val="20"/>
                <w:szCs w:val="20"/>
                <w:lang w:eastAsia="en-US"/>
              </w:rPr>
              <w:t>на предприятия обслуживания</w:t>
            </w:r>
          </w:p>
        </w:tc>
        <w:tc>
          <w:tcPr>
            <w:tcW w:w="1559" w:type="dxa"/>
            <w:tcBorders/>
          </w:tcPr>
          <w:p>
            <w:pPr>
              <w:pStyle w:val="Normal"/>
              <w:spacing w:lineRule="auto" w:line="240"/>
              <w:jc w:val="center"/>
              <w:rPr>
                <w:rFonts w:eastAsia="Tahoma"/>
                <w:color w:val="000000"/>
                <w:sz w:val="20"/>
                <w:szCs w:val="20"/>
                <w:lang w:eastAsia="ru-RU" w:bidi="ru-RU"/>
              </w:rPr>
            </w:pPr>
            <w:r>
              <w:rPr>
                <w:rFonts w:eastAsia="Calibri" w:cs="" w:cstheme="minorBidi" w:eastAsiaTheme="minorHAnsi" w:ascii="Calibri" w:hAnsi="Calibri"/>
                <w:color w:val="000000"/>
                <w:sz w:val="20"/>
                <w:szCs w:val="20"/>
                <w:lang w:eastAsia="en-US"/>
              </w:rPr>
              <w:t>тыс. м</w:t>
            </w:r>
            <w:r>
              <w:rPr>
                <w:rFonts w:eastAsia="Calibri" w:cs="" w:cstheme="minorBidi" w:eastAsiaTheme="minorHAnsi" w:ascii="Calibri" w:hAnsi="Calibri"/>
                <w:color w:val="000000"/>
                <w:sz w:val="20"/>
                <w:szCs w:val="20"/>
                <w:vertAlign w:val="superscript"/>
                <w:lang w:eastAsia="en-US"/>
              </w:rPr>
              <w:t>3</w:t>
            </w:r>
            <w:r>
              <w:rPr>
                <w:rFonts w:eastAsia="Calibri" w:cs="" w:cstheme="minorBidi" w:eastAsiaTheme="minorHAnsi" w:ascii="Calibri" w:hAnsi="Calibri"/>
                <w:color w:val="000000"/>
                <w:sz w:val="20"/>
                <w:szCs w:val="20"/>
                <w:lang w:eastAsia="en-US"/>
              </w:rPr>
              <w:t>/год</w:t>
            </w:r>
          </w:p>
        </w:tc>
        <w:tc>
          <w:tcPr>
            <w:tcW w:w="1699" w:type="dxa"/>
            <w:tcBorders/>
          </w:tcPr>
          <w:p>
            <w:pPr>
              <w:pStyle w:val="Normal"/>
              <w:spacing w:lineRule="auto" w:line="240"/>
              <w:jc w:val="center"/>
              <w:rPr>
                <w:rFonts w:eastAsia="Tahoma"/>
                <w:color w:val="000000"/>
                <w:sz w:val="20"/>
                <w:szCs w:val="20"/>
                <w:lang w:val="en-US" w:eastAsia="ru-RU" w:bidi="ru-RU"/>
              </w:rPr>
            </w:pPr>
            <w:r>
              <w:rPr>
                <w:rFonts w:eastAsia="Calibri" w:cs="" w:cstheme="minorBidi" w:eastAsiaTheme="minorHAnsi" w:ascii="Calibri" w:hAnsi="Calibri"/>
                <w:color w:val="000000" w:themeColor="text1"/>
                <w:sz w:val="20"/>
                <w:szCs w:val="20"/>
                <w:lang w:eastAsia="en-US"/>
              </w:rPr>
              <w:t>-</w:t>
            </w:r>
          </w:p>
        </w:tc>
        <w:tc>
          <w:tcPr>
            <w:tcW w:w="1284" w:type="dxa"/>
            <w:tcBorders/>
          </w:tcPr>
          <w:p>
            <w:pPr>
              <w:pStyle w:val="Normal"/>
              <w:spacing w:lineRule="auto" w:line="240"/>
              <w:jc w:val="center"/>
              <w:rPr>
                <w:rFonts w:eastAsia="Tahoma"/>
                <w:color w:val="000000"/>
                <w:sz w:val="20"/>
                <w:szCs w:val="20"/>
                <w:lang w:val="en-US" w:eastAsia="ru-RU" w:bidi="ru-RU"/>
              </w:rPr>
            </w:pPr>
            <w:r>
              <w:rPr>
                <w:rFonts w:eastAsia="Calibri" w:cs="" w:cstheme="minorBidi" w:eastAsiaTheme="minorHAnsi" w:ascii="Calibri" w:hAnsi="Calibri"/>
                <w:color w:val="000000" w:themeColor="text1"/>
                <w:sz w:val="20"/>
                <w:szCs w:val="20"/>
                <w:lang w:eastAsia="en-US"/>
              </w:rPr>
              <w:t>22,8</w:t>
            </w:r>
          </w:p>
        </w:tc>
      </w:tr>
      <w:tr>
        <w:trPr>
          <w:trHeight w:val="20" w:hRule="atLeast"/>
        </w:trPr>
        <w:tc>
          <w:tcPr>
            <w:tcW w:w="704" w:type="dxa"/>
            <w:vMerge w:val="restart"/>
            <w:tcBorders/>
          </w:tcPr>
          <w:p>
            <w:pPr>
              <w:pStyle w:val="Normal"/>
              <w:spacing w:lineRule="auto" w:line="240"/>
              <w:jc w:val="center"/>
              <w:rPr>
                <w:rFonts w:eastAsia="Tahoma"/>
                <w:color w:val="000000"/>
                <w:sz w:val="20"/>
                <w:szCs w:val="20"/>
                <w:lang w:eastAsia="ru-RU" w:bidi="ru-RU"/>
              </w:rPr>
            </w:pPr>
            <w:r>
              <w:rPr>
                <w:rFonts w:eastAsia="Calibri" w:cs="" w:cstheme="minorBidi" w:eastAsiaTheme="minorHAnsi" w:ascii="Calibri" w:hAnsi="Calibri"/>
                <w:color w:val="000000" w:themeColor="text1"/>
                <w:sz w:val="20"/>
                <w:szCs w:val="20"/>
                <w:lang w:eastAsia="en-US"/>
              </w:rPr>
              <w:t>6.5.2</w:t>
            </w:r>
          </w:p>
        </w:tc>
        <w:tc>
          <w:tcPr>
            <w:tcW w:w="4675" w:type="dxa"/>
            <w:tcBorders/>
          </w:tcPr>
          <w:p>
            <w:pPr>
              <w:pStyle w:val="Normal"/>
              <w:spacing w:lineRule="auto" w:line="240"/>
              <w:jc w:val="left"/>
              <w:rPr>
                <w:rFonts w:eastAsia="Tahoma"/>
                <w:color w:val="000000"/>
                <w:sz w:val="20"/>
                <w:szCs w:val="20"/>
                <w:lang w:eastAsia="ru-RU" w:bidi="ru-RU"/>
              </w:rPr>
            </w:pPr>
            <w:r>
              <w:rPr>
                <w:rFonts w:eastAsia="Calibri" w:cs="" w:cstheme="minorBidi" w:eastAsiaTheme="minorHAnsi" w:ascii="Calibri" w:hAnsi="Calibri"/>
                <w:color w:val="000000"/>
                <w:sz w:val="20"/>
                <w:szCs w:val="20"/>
                <w:lang w:eastAsia="en-US"/>
              </w:rPr>
              <w:t>Количество ГРС на территории сельского поселения</w:t>
            </w:r>
          </w:p>
        </w:tc>
        <w:tc>
          <w:tcPr>
            <w:tcW w:w="1559" w:type="dxa"/>
            <w:tcBorders/>
            <w:shd w:color="auto" w:fill="auto" w:val="clear"/>
          </w:tcPr>
          <w:p>
            <w:pPr>
              <w:pStyle w:val="Normal"/>
              <w:spacing w:lineRule="auto" w:line="240"/>
              <w:jc w:val="center"/>
              <w:rPr>
                <w:rFonts w:eastAsia="Tahoma"/>
                <w:color w:val="000000"/>
                <w:sz w:val="20"/>
                <w:szCs w:val="20"/>
                <w:lang w:eastAsia="ru-RU" w:bidi="ru-RU"/>
              </w:rPr>
            </w:pPr>
            <w:r>
              <w:rPr>
                <w:rFonts w:eastAsia="Calibri" w:cs="" w:cstheme="minorBidi" w:eastAsiaTheme="minorHAnsi" w:ascii="Calibri" w:hAnsi="Calibri"/>
                <w:color w:val="000000" w:themeColor="text1"/>
                <w:sz w:val="20"/>
                <w:szCs w:val="20"/>
                <w:lang w:eastAsia="en-US"/>
              </w:rPr>
              <w:t>единиц</w:t>
            </w:r>
          </w:p>
        </w:tc>
        <w:tc>
          <w:tcPr>
            <w:tcW w:w="1699" w:type="dxa"/>
            <w:tcBorders/>
            <w:shd w:color="auto" w:fill="auto" w:val="clear"/>
          </w:tcPr>
          <w:p>
            <w:pPr>
              <w:pStyle w:val="Normal"/>
              <w:spacing w:lineRule="auto" w:line="240"/>
              <w:jc w:val="center"/>
              <w:rPr>
                <w:rFonts w:eastAsia="Tahoma"/>
                <w:color w:val="000000"/>
                <w:sz w:val="20"/>
                <w:szCs w:val="20"/>
                <w:lang w:val="en-US" w:eastAsia="ru-RU" w:bidi="ru-RU"/>
              </w:rPr>
            </w:pPr>
            <w:r>
              <w:rPr>
                <w:rFonts w:eastAsia="Calibri" w:cs="" w:cstheme="minorBidi" w:eastAsiaTheme="minorHAnsi" w:ascii="Calibri" w:hAnsi="Calibri"/>
                <w:color w:val="000000" w:themeColor="text1"/>
                <w:sz w:val="20"/>
                <w:szCs w:val="20"/>
                <w:lang w:eastAsia="en-US"/>
              </w:rPr>
              <w:t>0</w:t>
            </w:r>
          </w:p>
        </w:tc>
        <w:tc>
          <w:tcPr>
            <w:tcW w:w="1284" w:type="dxa"/>
            <w:tcBorders/>
            <w:shd w:color="auto" w:fill="auto" w:val="clear"/>
          </w:tcPr>
          <w:p>
            <w:pPr>
              <w:pStyle w:val="Normal"/>
              <w:spacing w:lineRule="auto" w:line="240"/>
              <w:jc w:val="center"/>
              <w:rPr>
                <w:rFonts w:eastAsia="Tahoma"/>
                <w:color w:val="000000"/>
                <w:sz w:val="20"/>
                <w:szCs w:val="20"/>
                <w:lang w:val="en-US" w:eastAsia="ru-RU" w:bidi="ru-RU"/>
              </w:rPr>
            </w:pPr>
            <w:r>
              <w:rPr>
                <w:rFonts w:eastAsia="Calibri" w:cs="" w:cstheme="minorBidi" w:eastAsiaTheme="minorHAnsi" w:ascii="Calibri" w:hAnsi="Calibri"/>
                <w:color w:val="000000" w:themeColor="text1"/>
                <w:sz w:val="20"/>
                <w:szCs w:val="20"/>
                <w:lang w:eastAsia="en-US"/>
              </w:rPr>
              <w:t>0</w:t>
            </w:r>
          </w:p>
        </w:tc>
      </w:tr>
      <w:tr>
        <w:trPr>
          <w:trHeight w:val="20" w:hRule="atLeast"/>
        </w:trPr>
        <w:tc>
          <w:tcPr>
            <w:tcW w:w="704" w:type="dxa"/>
            <w:vMerge w:val="continue"/>
            <w:tcBorders/>
            <w:shd w:color="auto" w:fill="FFC000" w:val="clear"/>
          </w:tcPr>
          <w:p>
            <w:pPr>
              <w:pStyle w:val="Normal"/>
              <w:spacing w:lineRule="auto" w:line="240"/>
              <w:jc w:val="center"/>
              <w:rPr>
                <w:rFonts w:eastAsia="Tahoma"/>
                <w:color w:val="000000"/>
                <w:sz w:val="20"/>
                <w:szCs w:val="20"/>
                <w:lang w:eastAsia="ru-RU" w:bidi="ru-RU"/>
              </w:rPr>
            </w:pPr>
            <w:r>
              <w:rPr>
                <w:rFonts w:eastAsia="Tahoma" w:cs="" w:ascii="Calibri" w:hAnsi="Calibri"/>
                <w:color w:val="000000"/>
                <w:sz w:val="20"/>
                <w:szCs w:val="20"/>
                <w:lang w:eastAsia="ru-RU" w:bidi="ru-RU"/>
              </w:rPr>
            </w:r>
          </w:p>
        </w:tc>
        <w:tc>
          <w:tcPr>
            <w:tcW w:w="4675" w:type="dxa"/>
            <w:tcBorders/>
          </w:tcPr>
          <w:p>
            <w:pPr>
              <w:pStyle w:val="Normal"/>
              <w:spacing w:lineRule="auto" w:line="240"/>
              <w:jc w:val="left"/>
              <w:rPr>
                <w:rFonts w:eastAsia="Tahoma"/>
                <w:color w:val="000000"/>
                <w:sz w:val="20"/>
                <w:szCs w:val="20"/>
                <w:lang w:eastAsia="ru-RU" w:bidi="ru-RU"/>
              </w:rPr>
            </w:pPr>
            <w:r>
              <w:rPr>
                <w:rFonts w:eastAsia="Calibri" w:cs="" w:cstheme="minorBidi" w:eastAsiaTheme="minorHAnsi" w:ascii="Calibri" w:hAnsi="Calibri"/>
                <w:color w:val="000000"/>
                <w:sz w:val="20"/>
                <w:szCs w:val="20"/>
                <w:lang w:eastAsia="en-US"/>
              </w:rPr>
              <w:t>Источники подачи газа (ПРГ, ГРПБ)</w:t>
            </w:r>
          </w:p>
        </w:tc>
        <w:tc>
          <w:tcPr>
            <w:tcW w:w="1559" w:type="dxa"/>
            <w:tcBorders/>
          </w:tcPr>
          <w:p>
            <w:pPr>
              <w:pStyle w:val="Normal"/>
              <w:spacing w:lineRule="auto" w:line="240"/>
              <w:jc w:val="center"/>
              <w:rPr>
                <w:rFonts w:eastAsia="Tahoma"/>
                <w:color w:val="000000"/>
                <w:sz w:val="20"/>
                <w:szCs w:val="20"/>
                <w:lang w:eastAsia="ru-RU" w:bidi="ru-RU"/>
              </w:rPr>
            </w:pPr>
            <w:r>
              <w:rPr>
                <w:rFonts w:eastAsia="Calibri" w:cs="" w:cstheme="minorBidi" w:eastAsiaTheme="minorHAnsi" w:ascii="Calibri" w:hAnsi="Calibri"/>
                <w:color w:val="000000" w:themeColor="text1"/>
                <w:sz w:val="20"/>
                <w:szCs w:val="20"/>
                <w:lang w:eastAsia="en-US"/>
              </w:rPr>
              <w:t>единиц</w:t>
            </w:r>
          </w:p>
        </w:tc>
        <w:tc>
          <w:tcPr>
            <w:tcW w:w="1699" w:type="dxa"/>
            <w:tcBorders/>
          </w:tcPr>
          <w:p>
            <w:pPr>
              <w:pStyle w:val="Normal"/>
              <w:spacing w:lineRule="auto" w:line="240"/>
              <w:jc w:val="center"/>
              <w:rPr>
                <w:rFonts w:eastAsia="Tahoma"/>
                <w:color w:val="000000"/>
                <w:sz w:val="20"/>
                <w:szCs w:val="20"/>
                <w:lang w:val="en-US" w:eastAsia="ru-RU" w:bidi="ru-RU"/>
              </w:rPr>
            </w:pPr>
            <w:r>
              <w:rPr>
                <w:rFonts w:eastAsia="Calibri" w:cs="" w:cstheme="minorBidi" w:eastAsiaTheme="minorHAnsi" w:ascii="Calibri" w:hAnsi="Calibri"/>
                <w:color w:val="000000" w:themeColor="text1"/>
                <w:sz w:val="20"/>
                <w:szCs w:val="20"/>
                <w:lang w:eastAsia="en-US"/>
              </w:rPr>
              <w:t>5</w:t>
            </w:r>
          </w:p>
        </w:tc>
        <w:tc>
          <w:tcPr>
            <w:tcW w:w="1284" w:type="dxa"/>
            <w:tcBorders/>
          </w:tcPr>
          <w:p>
            <w:pPr>
              <w:pStyle w:val="Normal"/>
              <w:spacing w:lineRule="auto" w:line="240"/>
              <w:jc w:val="center"/>
              <w:rPr>
                <w:rFonts w:eastAsia="Tahoma"/>
                <w:color w:val="000000"/>
                <w:sz w:val="20"/>
                <w:szCs w:val="20"/>
                <w:lang w:val="en-US" w:eastAsia="ru-RU" w:bidi="ru-RU"/>
              </w:rPr>
            </w:pPr>
            <w:r>
              <w:rPr>
                <w:rFonts w:eastAsia="Calibri" w:cs="" w:cstheme="minorBidi" w:eastAsiaTheme="minorHAnsi" w:ascii="Calibri" w:hAnsi="Calibri"/>
                <w:color w:val="000000" w:themeColor="text1"/>
                <w:sz w:val="20"/>
                <w:szCs w:val="20"/>
                <w:lang w:eastAsia="en-US"/>
              </w:rPr>
              <w:t>6</w:t>
            </w:r>
          </w:p>
        </w:tc>
      </w:tr>
      <w:tr>
        <w:trPr>
          <w:trHeight w:val="20" w:hRule="atLeast"/>
        </w:trPr>
        <w:tc>
          <w:tcPr>
            <w:tcW w:w="704" w:type="dxa"/>
            <w:vMerge w:val="continue"/>
            <w:tcBorders/>
            <w:shd w:color="auto" w:fill="FFC000" w:val="clear"/>
          </w:tcPr>
          <w:p>
            <w:pPr>
              <w:pStyle w:val="Normal"/>
              <w:spacing w:lineRule="auto" w:line="240"/>
              <w:jc w:val="center"/>
              <w:rPr>
                <w:rFonts w:eastAsia="Tahoma"/>
                <w:color w:val="000000"/>
                <w:sz w:val="20"/>
                <w:szCs w:val="20"/>
                <w:lang w:eastAsia="ru-RU" w:bidi="ru-RU"/>
              </w:rPr>
            </w:pPr>
            <w:r>
              <w:rPr>
                <w:rFonts w:eastAsia="Tahoma" w:cs="" w:ascii="Calibri" w:hAnsi="Calibri"/>
                <w:color w:val="000000"/>
                <w:sz w:val="20"/>
                <w:szCs w:val="20"/>
                <w:lang w:eastAsia="ru-RU" w:bidi="ru-RU"/>
              </w:rPr>
            </w:r>
          </w:p>
        </w:tc>
        <w:tc>
          <w:tcPr>
            <w:tcW w:w="4675" w:type="dxa"/>
            <w:tcBorders/>
          </w:tcPr>
          <w:p>
            <w:pPr>
              <w:pStyle w:val="Normal"/>
              <w:spacing w:lineRule="auto" w:line="240"/>
              <w:jc w:val="left"/>
              <w:rPr>
                <w:color w:val="000000"/>
                <w:sz w:val="20"/>
                <w:szCs w:val="20"/>
              </w:rPr>
            </w:pPr>
            <w:r>
              <w:rPr>
                <w:rFonts w:eastAsia="Calibri" w:cs="" w:cstheme="minorBidi" w:eastAsiaTheme="minorHAnsi" w:ascii="Calibri" w:hAnsi="Calibri"/>
                <w:color w:val="000000"/>
                <w:sz w:val="20"/>
                <w:szCs w:val="20"/>
                <w:lang w:eastAsia="en-US"/>
              </w:rPr>
              <w:t xml:space="preserve">Протяженность </w:t>
            </w:r>
            <w:r>
              <w:rPr>
                <w:rFonts w:eastAsia="Calibri" w:cs="" w:cstheme="minorBidi" w:eastAsiaTheme="minorHAnsi" w:ascii="Calibri" w:hAnsi="Calibri"/>
                <w:sz w:val="20"/>
                <w:szCs w:val="20"/>
                <w:lang w:eastAsia="en-US"/>
              </w:rPr>
              <w:t>газораспределительных сетей</w:t>
            </w:r>
          </w:p>
        </w:tc>
        <w:tc>
          <w:tcPr>
            <w:tcW w:w="1559" w:type="dxa"/>
            <w:tcBorders/>
          </w:tcPr>
          <w:p>
            <w:pPr>
              <w:pStyle w:val="Normal"/>
              <w:spacing w:lineRule="auto" w:line="240"/>
              <w:jc w:val="center"/>
              <w:rPr>
                <w:color w:val="000000" w:themeColor="text1"/>
                <w:sz w:val="20"/>
                <w:szCs w:val="20"/>
              </w:rPr>
            </w:pPr>
            <w:r>
              <w:rPr>
                <w:rFonts w:eastAsia="Calibri" w:cs="" w:ascii="Calibri" w:hAnsi="Calibri"/>
                <w:color w:val="000000" w:themeColor="text1"/>
                <w:sz w:val="20"/>
                <w:szCs w:val="20"/>
                <w:lang w:eastAsia="en-US"/>
              </w:rPr>
            </w:r>
          </w:p>
        </w:tc>
        <w:tc>
          <w:tcPr>
            <w:tcW w:w="1699" w:type="dxa"/>
            <w:tcBorders/>
          </w:tcPr>
          <w:p>
            <w:pPr>
              <w:pStyle w:val="Normal"/>
              <w:spacing w:lineRule="auto" w:line="240"/>
              <w:jc w:val="center"/>
              <w:rPr>
                <w:color w:val="000000" w:themeColor="text1"/>
                <w:sz w:val="20"/>
                <w:szCs w:val="20"/>
              </w:rPr>
            </w:pPr>
            <w:r>
              <w:rPr>
                <w:rFonts w:eastAsia="Calibri" w:cs="" w:cstheme="minorBidi" w:eastAsiaTheme="minorHAnsi" w:ascii="Calibri" w:hAnsi="Calibri"/>
                <w:color w:val="000000" w:themeColor="text1"/>
                <w:sz w:val="20"/>
                <w:szCs w:val="20"/>
                <w:lang w:eastAsia="en-US"/>
              </w:rPr>
              <w:t>45,680</w:t>
            </w:r>
          </w:p>
        </w:tc>
        <w:tc>
          <w:tcPr>
            <w:tcW w:w="1284" w:type="dxa"/>
            <w:tcBorders/>
          </w:tcPr>
          <w:p>
            <w:pPr>
              <w:pStyle w:val="Normal"/>
              <w:spacing w:lineRule="auto" w:line="240"/>
              <w:jc w:val="center"/>
              <w:rPr>
                <w:color w:val="000000" w:themeColor="text1"/>
                <w:sz w:val="20"/>
                <w:szCs w:val="20"/>
              </w:rPr>
            </w:pPr>
            <w:r>
              <w:rPr>
                <w:rFonts w:eastAsia="Calibri" w:cs="" w:cstheme="minorBidi" w:eastAsiaTheme="minorHAnsi" w:ascii="Calibri" w:hAnsi="Calibri"/>
                <w:color w:val="000000" w:themeColor="text1"/>
                <w:sz w:val="20"/>
                <w:szCs w:val="20"/>
                <w:lang w:eastAsia="en-US"/>
              </w:rPr>
              <w:t>48,260</w:t>
            </w:r>
          </w:p>
        </w:tc>
      </w:tr>
    </w:tbl>
    <w:p>
      <w:pPr>
        <w:pStyle w:val="Normal"/>
        <w:widowControl w:val="false"/>
        <w:spacing w:lineRule="auto" w:line="276"/>
        <w:jc w:val="center"/>
        <w:rPr>
          <w:rFonts w:eastAsia="Tahoma"/>
          <w:szCs w:val="24"/>
          <w:lang w:eastAsia="ru-RU"/>
        </w:rPr>
      </w:pPr>
      <w:r>
        <w:rPr/>
      </w:r>
    </w:p>
    <w:sectPr>
      <w:headerReference w:type="default" r:id="rId182"/>
      <w:footerReference w:type="default" r:id="rId183"/>
      <w:type w:val="nextPage"/>
      <w:pgSz w:w="11906" w:h="16838"/>
      <w:pgMar w:left="1418" w:right="567" w:header="567" w:top="1134" w:footer="567" w:bottom="1134" w:gutter="0"/>
      <w:pgNumType w:fmt="decimal"/>
      <w:formProt w:val="false"/>
      <w:textDirection w:val="lrTb"/>
      <w:docGrid w:type="default" w:linePitch="326"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cc"/>
    <w:family w:val="roman"/>
    <w:pitch w:val="variable"/>
  </w:font>
  <w:font w:name="Calibri">
    <w:charset w:val="cc"/>
    <w:family w:val="roman"/>
    <w:pitch w:val="variable"/>
  </w:font>
  <w:font w:name="Times New Roman">
    <w:charset w:val="cc"/>
    <w:family w:val="roman"/>
    <w:pitch w:val="variable"/>
  </w:font>
  <w:font w:name="Calibri Light">
    <w:charset w:val="cc"/>
    <w:family w:val="roman"/>
    <w:pitch w:val="variable"/>
  </w:font>
  <w:font w:name="Cambria">
    <w:charset w:val="cc"/>
    <w:family w:val="roman"/>
    <w:pitch w:val="variable"/>
  </w:font>
  <w:font w:name="Segoe UI">
    <w:charset w:val="cc"/>
    <w:family w:val="roman"/>
    <w:pitch w:val="variable"/>
  </w:font>
  <w:font w:name="Liberation Sans">
    <w:altName w:val="Arial"/>
    <w:charset w:val="cc"/>
    <w:family w:val="roman"/>
    <w:pitch w:val="variable"/>
  </w:font>
  <w:font w:name="Times New Roman Полужирный">
    <w:charset w:val="cc"/>
    <w:family w:val="roman"/>
    <w:pitch w:val="variable"/>
  </w:font>
  <w:font w:name="Arial">
    <w:charset w:val="cc"/>
    <w:family w:val="roman"/>
    <w:pitch w:val="variable"/>
  </w:font>
  <w:font w:name="Courier New">
    <w:charset w:val="cc"/>
    <w:family w:val="roman"/>
    <w:pitch w:val="variable"/>
  </w:font>
  <w:font w:name="Courier New">
    <w:charset w:val="01"/>
    <w:family w:val="modern"/>
    <w:pitch w:val="fixed"/>
  </w:font>
  <w:font w:name="Wingdings">
    <w:charset w:val="02"/>
    <w:family w:val="auto"/>
    <w:pitch w:val="variable"/>
  </w:font>
  <w:font w:name="Times New Roman">
    <w:charset w:val="01"/>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b/>
        <w:spacing w:val="20"/>
      </w:rPr>
      <w:t>СОДЕРЖАНИЕ</w:t>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b/>
        <w:spacing w:val="20"/>
      </w:rPr>
      <w:t>СОДЕРЖАНИЕ</w:t>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rFonts w:ascii="Times New Roman Полужирный" w:hAnsi="Times New Roman Полужирный"/>
        <w:b/>
        <w:b/>
        <w:spacing w:val="20"/>
      </w:rPr>
    </w:pPr>
    <w:r>
      <w:rPr>
        <w:rFonts w:ascii="Times New Roman Полужирный" w:hAnsi="Times New Roman Полужирный"/>
        <w:b/>
        <w:spacing w:val="20"/>
      </w:rPr>
      <w:t>ПЕРЕЧЕНЬ МАТЕРИАЛОВ</w:t>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b/>
        <w:spacing w:val="20"/>
      </w:rPr>
      <w:t>СОДЕРЖАНИЕ</w:t>
    </w:r>
  </w:p>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b/>
        <w:spacing w:val="20"/>
      </w:rPr>
      <w:t>СОДЕРЖАНИЕ</w:t>
    </w:r>
  </w:p>
</w:ftr>
</file>

<file path=word/footer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b/>
        <w:spacing w:val="20"/>
      </w:rPr>
      <w:t>ВВЕДЕНИЕ</w:t>
    </w:r>
  </w:p>
</w:ftr>
</file>

<file path=word/footer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b/>
        <w:spacing w:val="20"/>
      </w:rPr>
      <w:t>РАЗДЕЛ 1</w:t>
    </w:r>
  </w:p>
</w:ftr>
</file>

<file path=word/footer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rPr/>
    </w:pPr>
    <w:r>
      <w:rPr/>
    </w:r>
  </w:p>
</w:ftr>
</file>

<file path=word/footer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rPr/>
    </w:pPr>
    <w:r>
      <w:rPr/>
    </w:r>
  </w:p>
</w:ftr>
</file>

<file path=word/footer1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b/>
        <w:spacing w:val="20"/>
      </w:rPr>
      <w:t>РАЗДЕЛ 2</w:t>
    </w:r>
  </w:p>
</w:ftr>
</file>

<file path=word/footer1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b/>
        <w:spacing w:val="20"/>
      </w:rPr>
      <w:t>РАЗДЕЛ 2</w:t>
    </w:r>
  </w:p>
</w:ftr>
</file>

<file path=word/footer1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b/>
        <w:spacing w:val="20"/>
      </w:rPr>
      <w:t>РАЗДЕЛ 2</w:t>
    </w:r>
  </w:p>
</w:ftr>
</file>

<file path=word/footer1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b/>
        <w:spacing w:val="20"/>
      </w:rPr>
      <w:t>РАЗДЕЛ 2</w:t>
    </w:r>
  </w:p>
</w:ftr>
</file>

<file path=word/footer1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b/>
        <w:spacing w:val="20"/>
      </w:rPr>
      <w:t>РАЗДЕЛ 3. ГЛАВА 1</w:t>
    </w:r>
  </w:p>
</w:ftr>
</file>

<file path=word/footer1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pPr>
    <w:r>
      <w:rPr>
        <w:b/>
        <w:spacing w:val="20"/>
        <w:szCs w:val="24"/>
      </w:rPr>
      <w:t>РАЗДЕЛ 3. ГЛАВА 3</w:t>
    </w:r>
  </w:p>
</w:ftr>
</file>

<file path=word/footer1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pPr>
    <w:r>
      <w:rPr>
        <w:b/>
        <w:spacing w:val="20"/>
        <w:szCs w:val="24"/>
      </w:rPr>
      <w:t>РАЗДЕЛ 3. ГЛАВА 4</w:t>
    </w:r>
  </w:p>
</w:ftr>
</file>

<file path=word/footer1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pPr>
    <w:r>
      <w:rPr>
        <w:b/>
        <w:spacing w:val="20"/>
        <w:szCs w:val="24"/>
      </w:rPr>
      <w:t>РАЗДЕЛ 3. ГЛАВА 5</w:t>
    </w:r>
  </w:p>
</w:ftr>
</file>

<file path=word/footer1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pPr>
    <w:r>
      <w:rPr>
        <w:b/>
        <w:spacing w:val="20"/>
        <w:szCs w:val="24"/>
      </w:rPr>
      <w:t>РАЗДЕЛ 3. ГЛАВА 5</w:t>
    </w:r>
  </w:p>
</w:ftr>
</file>

<file path=word/footer1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pPr>
    <w:r>
      <w:rPr>
        <w:b/>
        <w:spacing w:val="20"/>
        <w:szCs w:val="24"/>
      </w:rPr>
      <w:t>РАЗДЕЛ 3. ГЛАВА 5</w:t>
    </w:r>
  </w:p>
</w:ftr>
</file>

<file path=word/footer2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pPr>
    <w:r>
      <w:rPr>
        <w:b/>
        <w:spacing w:val="20"/>
        <w:szCs w:val="24"/>
      </w:rPr>
      <w:t>РАЗДЕЛ 3. ГЛАВА 5</w:t>
    </w:r>
  </w:p>
</w:ftr>
</file>

<file path=word/footer2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pPr>
    <w:r>
      <w:rPr>
        <w:b/>
        <w:spacing w:val="20"/>
        <w:szCs w:val="24"/>
      </w:rPr>
      <w:t>РАЗДЕЛ 3. ГЛАВА 5</w:t>
    </w:r>
  </w:p>
</w:ftr>
</file>

<file path=word/footer2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pPr>
    <w:r>
      <w:rPr>
        <w:b/>
        <w:spacing w:val="20"/>
        <w:szCs w:val="24"/>
      </w:rPr>
      <w:t>РАЗДЕЛ 3. ГЛАВА 5</w:t>
    </w:r>
  </w:p>
</w:ftr>
</file>

<file path=word/footer2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pPr>
    <w:r>
      <w:rPr>
        <w:b/>
        <w:spacing w:val="20"/>
        <w:szCs w:val="24"/>
      </w:rPr>
      <w:t>РАЗДЕЛ 3. ГЛАВА 5</w:t>
    </w:r>
  </w:p>
</w:ftr>
</file>

<file path=word/footer2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pPr>
    <w:r>
      <w:rPr>
        <w:b/>
        <w:spacing w:val="20"/>
        <w:szCs w:val="24"/>
      </w:rPr>
      <w:t>РАЗДЕЛ 3. ГЛАВА 7</w:t>
    </w:r>
  </w:p>
</w:ftr>
</file>

<file path=word/footer2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pPr>
    <w:r>
      <w:rPr>
        <w:b/>
        <w:spacing w:val="20"/>
        <w:szCs w:val="24"/>
      </w:rPr>
      <w:t>РАЗДЕЛ 3. ГЛАВА 7</w:t>
    </w:r>
  </w:p>
</w:ftr>
</file>

<file path=word/footer2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pPr>
    <w:r>
      <w:rPr>
        <w:b/>
        <w:spacing w:val="20"/>
        <w:szCs w:val="24"/>
      </w:rPr>
      <w:t>РАЗДЕЛ 3. ГЛАВА 7</w:t>
    </w:r>
  </w:p>
</w:ftr>
</file>

<file path=word/footer2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pPr>
    <w:r>
      <w:rPr>
        <w:b/>
        <w:spacing w:val="20"/>
        <w:szCs w:val="24"/>
      </w:rPr>
      <w:t>РАЗДЕЛ 3. ГЛАВА 7</w:t>
    </w:r>
  </w:p>
</w:ftr>
</file>

<file path=word/footer2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rFonts w:ascii="Times New Roman Полужирный" w:hAnsi="Times New Roman Полужирный"/>
        <w:b/>
        <w:spacing w:val="20"/>
      </w:rPr>
      <w:t xml:space="preserve">РАЗДЕЛ </w:t>
    </w:r>
    <w:r>
      <w:rPr>
        <w:b/>
        <w:spacing w:val="20"/>
      </w:rPr>
      <w:t>3</w:t>
    </w:r>
    <w:r>
      <w:rPr>
        <w:rFonts w:ascii="Times New Roman Полужирный" w:hAnsi="Times New Roman Полужирный"/>
        <w:b/>
        <w:spacing w:val="20"/>
      </w:rPr>
      <w:t xml:space="preserve">. </w:t>
    </w:r>
    <w:r>
      <w:rPr>
        <w:b/>
        <w:spacing w:val="20"/>
      </w:rPr>
      <w:t>ГЛАВА 8</w:t>
    </w:r>
  </w:p>
</w:ftr>
</file>

<file path=word/footer2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rFonts w:ascii="Times New Roman Полужирный" w:hAnsi="Times New Roman Полужирный"/>
        <w:b/>
        <w:spacing w:val="20"/>
      </w:rPr>
      <w:t xml:space="preserve">РАЗДЕЛ </w:t>
    </w:r>
    <w:r>
      <w:rPr>
        <w:b/>
        <w:spacing w:val="20"/>
      </w:rPr>
      <w:t>3</w:t>
    </w:r>
    <w:r>
      <w:rPr>
        <w:rFonts w:ascii="Times New Roman Полужирный" w:hAnsi="Times New Roman Полужирный"/>
        <w:b/>
        <w:spacing w:val="20"/>
      </w:rPr>
      <w:t xml:space="preserve">. </w:t>
    </w:r>
    <w:r>
      <w:rPr>
        <w:b/>
        <w:spacing w:val="20"/>
      </w:rPr>
      <w:t>ГЛАВА 8</w:t>
    </w:r>
  </w:p>
</w:ftr>
</file>

<file path=word/footer3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b/>
        <w:spacing w:val="20"/>
      </w:rPr>
      <w:t>РАЗДЕЛ 3. ГЛАВА 8</w:t>
    </w:r>
  </w:p>
</w:ftr>
</file>

<file path=word/footer3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rFonts w:ascii="Times New Roman Полужирный" w:hAnsi="Times New Roman Полужирный"/>
        <w:b/>
        <w:spacing w:val="20"/>
      </w:rPr>
      <w:t xml:space="preserve">РАЗДЕЛ </w:t>
    </w:r>
    <w:r>
      <w:rPr>
        <w:b/>
        <w:spacing w:val="20"/>
      </w:rPr>
      <w:t>3</w:t>
    </w:r>
    <w:r>
      <w:rPr>
        <w:rFonts w:ascii="Times New Roman Полужирный" w:hAnsi="Times New Roman Полужирный"/>
        <w:b/>
        <w:spacing w:val="20"/>
      </w:rPr>
      <w:t xml:space="preserve">. </w:t>
    </w:r>
    <w:r>
      <w:rPr>
        <w:b/>
        <w:spacing w:val="20"/>
      </w:rPr>
      <w:t>ГЛАВА 8</w:t>
    </w:r>
  </w:p>
</w:ftr>
</file>

<file path=word/footer3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rFonts w:ascii="Times New Roman Полужирный" w:hAnsi="Times New Roman Полужирный"/>
        <w:b/>
        <w:spacing w:val="20"/>
      </w:rPr>
      <w:t xml:space="preserve">РАЗДЕЛ </w:t>
    </w:r>
    <w:r>
      <w:rPr>
        <w:b/>
        <w:spacing w:val="20"/>
      </w:rPr>
      <w:t>3</w:t>
    </w:r>
    <w:r>
      <w:rPr>
        <w:rFonts w:ascii="Times New Roman Полужирный" w:hAnsi="Times New Roman Полужирный"/>
        <w:b/>
        <w:spacing w:val="20"/>
      </w:rPr>
      <w:t xml:space="preserve">. </w:t>
    </w:r>
    <w:r>
      <w:rPr>
        <w:b/>
        <w:spacing w:val="20"/>
      </w:rPr>
      <w:t>ГЛАВА 8</w:t>
    </w:r>
  </w:p>
</w:ftr>
</file>

<file path=word/footer3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rFonts w:ascii="Times New Roman Полужирный" w:hAnsi="Times New Roman Полужирный"/>
        <w:b/>
        <w:spacing w:val="20"/>
      </w:rPr>
      <w:t xml:space="preserve">РАЗДЕЛ </w:t>
    </w:r>
    <w:r>
      <w:rPr>
        <w:b/>
        <w:spacing w:val="20"/>
      </w:rPr>
      <w:t>3</w:t>
    </w:r>
    <w:r>
      <w:rPr>
        <w:rFonts w:ascii="Times New Roman Полужирный" w:hAnsi="Times New Roman Полужирный"/>
        <w:b/>
        <w:spacing w:val="20"/>
      </w:rPr>
      <w:t xml:space="preserve">. </w:t>
    </w:r>
    <w:r>
      <w:rPr>
        <w:b/>
        <w:spacing w:val="20"/>
      </w:rPr>
      <w:t>ГЛАВА 8</w:t>
    </w:r>
  </w:p>
</w:ftr>
</file>

<file path=word/footer3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rFonts w:ascii="Times New Roman Полужирный" w:hAnsi="Times New Roman Полужирный"/>
        <w:b/>
        <w:spacing w:val="20"/>
      </w:rPr>
      <w:t xml:space="preserve">РАЗДЕЛ </w:t>
    </w:r>
    <w:r>
      <w:rPr>
        <w:b/>
        <w:spacing w:val="20"/>
      </w:rPr>
      <w:t>3</w:t>
    </w:r>
    <w:r>
      <w:rPr>
        <w:rFonts w:ascii="Times New Roman Полужирный" w:hAnsi="Times New Roman Полужирный"/>
        <w:b/>
        <w:spacing w:val="20"/>
      </w:rPr>
      <w:t xml:space="preserve">. </w:t>
    </w:r>
    <w:r>
      <w:rPr>
        <w:b/>
        <w:spacing w:val="20"/>
      </w:rPr>
      <w:t>ГЛАВА 8</w:t>
    </w:r>
  </w:p>
</w:ftr>
</file>

<file path=word/footer3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rFonts w:ascii="Times New Roman Полужирный" w:hAnsi="Times New Roman Полужирный"/>
        <w:b/>
        <w:spacing w:val="20"/>
      </w:rPr>
      <w:t xml:space="preserve">РАЗДЕЛ </w:t>
    </w:r>
    <w:r>
      <w:rPr>
        <w:b/>
        <w:spacing w:val="20"/>
      </w:rPr>
      <w:t>3</w:t>
    </w:r>
    <w:r>
      <w:rPr>
        <w:rFonts w:ascii="Times New Roman Полужирный" w:hAnsi="Times New Roman Полужирный"/>
        <w:b/>
        <w:spacing w:val="20"/>
      </w:rPr>
      <w:t xml:space="preserve">. </w:t>
    </w:r>
    <w:r>
      <w:rPr>
        <w:b/>
        <w:spacing w:val="20"/>
      </w:rPr>
      <w:t>ГЛАВА 8</w:t>
    </w:r>
  </w:p>
</w:ftr>
</file>

<file path=word/footer3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rFonts w:ascii="Times New Roman Полужирный" w:hAnsi="Times New Roman Полужирный"/>
        <w:b/>
        <w:spacing w:val="20"/>
      </w:rPr>
      <w:t xml:space="preserve">РАЗДЕЛ </w:t>
    </w:r>
    <w:r>
      <w:rPr>
        <w:b/>
        <w:spacing w:val="20"/>
      </w:rPr>
      <w:t>3</w:t>
    </w:r>
    <w:r>
      <w:rPr>
        <w:rFonts w:ascii="Times New Roman Полужирный" w:hAnsi="Times New Roman Полужирный"/>
        <w:b/>
        <w:spacing w:val="20"/>
      </w:rPr>
      <w:t xml:space="preserve">. </w:t>
    </w:r>
    <w:r>
      <w:rPr>
        <w:b/>
        <w:spacing w:val="20"/>
      </w:rPr>
      <w:t>ГЛАВА 8</w:t>
    </w:r>
  </w:p>
</w:ftr>
</file>

<file path=word/footer3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rFonts w:ascii="Times New Roman Полужирный" w:hAnsi="Times New Roman Полужирный"/>
        <w:b/>
        <w:spacing w:val="20"/>
      </w:rPr>
      <w:t xml:space="preserve">РАЗДЕЛ </w:t>
    </w:r>
    <w:r>
      <w:rPr>
        <w:b/>
        <w:spacing w:val="20"/>
      </w:rPr>
      <w:t>3</w:t>
    </w:r>
    <w:r>
      <w:rPr>
        <w:rFonts w:ascii="Times New Roman Полужирный" w:hAnsi="Times New Roman Полужирный"/>
        <w:b/>
        <w:spacing w:val="20"/>
      </w:rPr>
      <w:t xml:space="preserve">. </w:t>
    </w:r>
    <w:r>
      <w:rPr>
        <w:b/>
        <w:spacing w:val="20"/>
      </w:rPr>
      <w:t>ГЛАВА 8</w:t>
    </w:r>
  </w:p>
</w:ftr>
</file>

<file path=word/footer3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rFonts w:ascii="Times New Roman Полужирный" w:hAnsi="Times New Roman Полужирный"/>
        <w:b/>
        <w:spacing w:val="20"/>
      </w:rPr>
      <w:t xml:space="preserve">РАЗДЕЛ </w:t>
    </w:r>
    <w:r>
      <w:rPr>
        <w:b/>
        <w:spacing w:val="20"/>
      </w:rPr>
      <w:t>3</w:t>
    </w:r>
    <w:r>
      <w:rPr>
        <w:rFonts w:ascii="Times New Roman Полужирный" w:hAnsi="Times New Roman Полужирный"/>
        <w:b/>
        <w:spacing w:val="20"/>
      </w:rPr>
      <w:t xml:space="preserve">. </w:t>
    </w:r>
    <w:r>
      <w:rPr>
        <w:b/>
        <w:spacing w:val="20"/>
      </w:rPr>
      <w:t>ГЛАВА 8</w:t>
    </w:r>
  </w:p>
</w:ftr>
</file>

<file path=word/footer3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rFonts w:ascii="Times New Roman Полужирный" w:hAnsi="Times New Roman Полужирный"/>
        <w:b/>
        <w:spacing w:val="20"/>
      </w:rPr>
      <w:t xml:space="preserve">РАЗДЕЛ </w:t>
    </w:r>
    <w:r>
      <w:rPr>
        <w:b/>
        <w:spacing w:val="20"/>
      </w:rPr>
      <w:t>3</w:t>
    </w:r>
    <w:r>
      <w:rPr>
        <w:rFonts w:ascii="Times New Roman Полужирный" w:hAnsi="Times New Roman Полужирный"/>
        <w:b/>
        <w:spacing w:val="20"/>
      </w:rPr>
      <w:t xml:space="preserve">. </w:t>
    </w:r>
    <w:r>
      <w:rPr>
        <w:b/>
        <w:spacing w:val="20"/>
      </w:rPr>
      <w:t>ГЛАВА 8</w:t>
    </w:r>
  </w:p>
</w:ftr>
</file>

<file path=word/footer4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rFonts w:ascii="Times New Roman Полужирный" w:hAnsi="Times New Roman Полужирный"/>
        <w:b/>
        <w:spacing w:val="20"/>
      </w:rPr>
      <w:t xml:space="preserve">РАЗДЕЛ </w:t>
    </w:r>
    <w:r>
      <w:rPr>
        <w:b/>
        <w:spacing w:val="20"/>
      </w:rPr>
      <w:t>3. ГЛАВА 8</w:t>
    </w:r>
  </w:p>
</w:ftr>
</file>

<file path=word/footer4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rFonts w:ascii="Times New Roman Полужирный" w:hAnsi="Times New Roman Полужирный"/>
        <w:b/>
        <w:spacing w:val="20"/>
      </w:rPr>
      <w:t xml:space="preserve">РАЗДЕЛ </w:t>
    </w:r>
    <w:r>
      <w:rPr>
        <w:b/>
        <w:spacing w:val="20"/>
      </w:rPr>
      <w:t>3</w:t>
    </w:r>
    <w:r>
      <w:rPr>
        <w:rFonts w:ascii="Times New Roman Полужирный" w:hAnsi="Times New Roman Полужирный"/>
        <w:b/>
        <w:spacing w:val="20"/>
      </w:rPr>
      <w:t xml:space="preserve">. </w:t>
    </w:r>
    <w:r>
      <w:rPr>
        <w:b/>
        <w:spacing w:val="20"/>
      </w:rPr>
      <w:t>ГЛАВА 8</w:t>
    </w:r>
  </w:p>
</w:ftr>
</file>

<file path=word/footer4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rFonts w:ascii="Times New Roman Полужирный" w:hAnsi="Times New Roman Полужирный"/>
        <w:b/>
        <w:spacing w:val="20"/>
      </w:rPr>
      <w:t xml:space="preserve">РАЗДЕЛ </w:t>
    </w:r>
    <w:r>
      <w:rPr>
        <w:b/>
        <w:spacing w:val="20"/>
      </w:rPr>
      <w:t>3. ГЛАВА 8</w:t>
    </w:r>
  </w:p>
</w:ftr>
</file>

<file path=word/footer4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rFonts w:ascii="Times New Roman Полужирный" w:hAnsi="Times New Roman Полужирный"/>
        <w:b/>
        <w:spacing w:val="20"/>
      </w:rPr>
      <w:t xml:space="preserve">РАЗДЕЛ </w:t>
    </w:r>
    <w:r>
      <w:rPr>
        <w:b/>
        <w:spacing w:val="20"/>
      </w:rPr>
      <w:t>3. ГЛАВА 8</w:t>
    </w:r>
  </w:p>
</w:ftr>
</file>

<file path=word/footer4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rFonts w:ascii="Times New Roman Полужирный" w:hAnsi="Times New Roman Полужирный"/>
        <w:b/>
        <w:spacing w:val="20"/>
      </w:rPr>
      <w:t xml:space="preserve">РАЗДЕЛ </w:t>
    </w:r>
    <w:r>
      <w:rPr>
        <w:b/>
        <w:spacing w:val="20"/>
      </w:rPr>
      <w:t>3. ГЛАВА 8</w:t>
    </w:r>
  </w:p>
</w:ftr>
</file>

<file path=word/footer4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pPr>
    <w:r>
      <w:rPr>
        <w:rFonts w:ascii="Times New Roman Полужирный" w:hAnsi="Times New Roman Полужирный"/>
        <w:b/>
        <w:spacing w:val="20"/>
      </w:rPr>
      <w:t xml:space="preserve">РАЗДЕЛ </w:t>
    </w:r>
    <w:r>
      <w:rPr>
        <w:b/>
        <w:spacing w:val="20"/>
      </w:rPr>
      <w:t>3</w:t>
    </w:r>
    <w:r>
      <w:rPr>
        <w:rFonts w:ascii="Times New Roman Полужирный" w:hAnsi="Times New Roman Полужирный"/>
        <w:b/>
        <w:spacing w:val="20"/>
      </w:rPr>
      <w:t xml:space="preserve">. </w:t>
    </w:r>
    <w:r>
      <w:rPr>
        <w:b/>
        <w:spacing w:val="20"/>
      </w:rPr>
      <w:t>ГЛАВА 8</w:t>
    </w:r>
  </w:p>
</w:ftr>
</file>

<file path=word/footer4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rFonts w:ascii="Times New Roman Полужирный" w:hAnsi="Times New Roman Полужирный"/>
        <w:b/>
        <w:spacing w:val="20"/>
      </w:rPr>
      <w:t xml:space="preserve">РАЗДЕЛ </w:t>
    </w:r>
    <w:r>
      <w:rPr>
        <w:b/>
        <w:spacing w:val="20"/>
      </w:rPr>
      <w:t>3</w:t>
    </w:r>
    <w:r>
      <w:rPr>
        <w:rFonts w:ascii="Times New Roman Полужирный" w:hAnsi="Times New Roman Полужирный"/>
        <w:b/>
        <w:spacing w:val="20"/>
      </w:rPr>
      <w:t xml:space="preserve">. </w:t>
    </w:r>
    <w:r>
      <w:rPr>
        <w:b/>
        <w:spacing w:val="20"/>
      </w:rPr>
      <w:t>ГЛАВА 9</w:t>
    </w:r>
  </w:p>
</w:ftr>
</file>

<file path=word/footer4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rFonts w:ascii="Times New Roman Полужирный" w:hAnsi="Times New Roman Полужирный"/>
        <w:b/>
        <w:spacing w:val="20"/>
      </w:rPr>
      <w:t xml:space="preserve">РАЗДЕЛ </w:t>
    </w:r>
    <w:r>
      <w:rPr>
        <w:b/>
        <w:spacing w:val="20"/>
      </w:rPr>
      <w:t>3</w:t>
    </w:r>
    <w:r>
      <w:rPr>
        <w:rFonts w:ascii="Times New Roman Полужирный" w:hAnsi="Times New Roman Полужирный"/>
        <w:b/>
        <w:spacing w:val="20"/>
      </w:rPr>
      <w:t xml:space="preserve">. </w:t>
    </w:r>
    <w:r>
      <w:rPr>
        <w:b/>
        <w:spacing w:val="20"/>
      </w:rPr>
      <w:t>ГЛАВА 10</w:t>
    </w:r>
  </w:p>
</w:ftr>
</file>

<file path=word/footer4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pPr>
    <w:r>
      <w:rPr>
        <w:rFonts w:ascii="Times New Roman Полужирный" w:hAnsi="Times New Roman Полужирный"/>
        <w:b/>
        <w:spacing w:val="20"/>
      </w:rPr>
      <w:t xml:space="preserve">РАЗДЕЛ </w:t>
    </w:r>
    <w:r>
      <w:rPr>
        <w:b/>
        <w:spacing w:val="20"/>
      </w:rPr>
      <w:t>3</w:t>
    </w:r>
    <w:r>
      <w:rPr>
        <w:rFonts w:ascii="Times New Roman Полужирный" w:hAnsi="Times New Roman Полужирный"/>
        <w:b/>
        <w:spacing w:val="20"/>
      </w:rPr>
      <w:t xml:space="preserve">. </w:t>
    </w:r>
    <w:r>
      <w:rPr>
        <w:b/>
        <w:spacing w:val="20"/>
      </w:rPr>
      <w:t>ГЛАВА 11</w:t>
    </w:r>
  </w:p>
</w:ftr>
</file>

<file path=word/footer4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pPr>
    <w:r>
      <w:rPr>
        <w:rFonts w:ascii="Times New Roman Полужирный" w:hAnsi="Times New Roman Полужирный"/>
        <w:b/>
        <w:spacing w:val="20"/>
      </w:rPr>
      <w:t xml:space="preserve">РАЗДЕЛ </w:t>
    </w:r>
    <w:r>
      <w:rPr>
        <w:b/>
        <w:spacing w:val="20"/>
      </w:rPr>
      <w:t>3</w:t>
    </w:r>
    <w:r>
      <w:rPr>
        <w:rFonts w:ascii="Times New Roman Полужирный" w:hAnsi="Times New Roman Полужирный"/>
        <w:b/>
        <w:spacing w:val="20"/>
      </w:rPr>
      <w:t xml:space="preserve">. </w:t>
    </w:r>
    <w:r>
      <w:rPr>
        <w:b/>
        <w:spacing w:val="20"/>
      </w:rPr>
      <w:t>ГЛАВА 12</w:t>
    </w:r>
  </w:p>
</w:ftr>
</file>

<file path=word/footer5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b/>
        <w:b/>
        <w:spacing w:val="20"/>
      </w:rPr>
    </w:pPr>
    <w:r>
      <w:rPr>
        <w:b/>
        <w:spacing w:val="20"/>
      </w:rPr>
    </w:r>
  </w:p>
</w:ftr>
</file>

<file path=word/footer5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rPr/>
    </w:pPr>
    <w:r>
      <w:rPr/>
    </w:r>
  </w:p>
</w:ftr>
</file>

<file path=word/footer5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pPr>
    <w:r>
      <w:rPr>
        <w:rFonts w:ascii="Times New Roman Полужирный" w:hAnsi="Times New Roman Полужирный"/>
        <w:b/>
        <w:spacing w:val="20"/>
      </w:rPr>
      <w:t xml:space="preserve">РАЗДЕЛ </w:t>
    </w:r>
    <w:r>
      <w:rPr>
        <w:b/>
        <w:spacing w:val="20"/>
      </w:rPr>
      <w:t>3</w:t>
    </w:r>
    <w:r>
      <w:rPr>
        <w:rFonts w:ascii="Times New Roman Полужирный" w:hAnsi="Times New Roman Полужирный"/>
        <w:b/>
        <w:spacing w:val="20"/>
      </w:rPr>
      <w:t xml:space="preserve">. </w:t>
    </w:r>
    <w:r>
      <w:rPr>
        <w:b/>
        <w:spacing w:val="20"/>
      </w:rPr>
      <w:t>ГЛАВА 13</w:t>
    </w:r>
  </w:p>
</w:ftr>
</file>

<file path=word/footer5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3"/>
      <w:jc w:val="right"/>
      <w:rPr/>
    </w:pPr>
    <w:r>
      <w:rPr>
        <w:rFonts w:ascii="Times New Roman Полужирный" w:hAnsi="Times New Roman Полужирный"/>
        <w:b/>
        <w:spacing w:val="20"/>
      </w:rPr>
      <w:t xml:space="preserve">РАЗДЕЛ </w:t>
    </w:r>
    <w:r>
      <w:rPr>
        <w:b/>
        <w:spacing w:val="20"/>
      </w:rPr>
      <w:t>3</w:t>
    </w:r>
    <w:r>
      <w:rPr>
        <w:rFonts w:ascii="Times New Roman Полужирный" w:hAnsi="Times New Roman Полужирный"/>
        <w:b/>
        <w:spacing w:val="20"/>
      </w:rPr>
      <w:t xml:space="preserve">. </w:t>
    </w:r>
    <w:r>
      <w:rPr>
        <w:b/>
        <w:spacing w:val="20"/>
      </w:rPr>
      <w:t>ГЛАВА 14</w:t>
    </w:r>
  </w:p>
</w:ftr>
</file>

<file path=word/footer5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471342912"/>
    </w:sdtPr>
    <w:sdtContent>
      <w:p>
        <w:pPr>
          <w:pStyle w:val="Style23"/>
          <w:jc w:val="right"/>
          <w:rPr>
            <w:b/>
            <w:b/>
            <w:spacing w:val="20"/>
          </w:rPr>
        </w:pPr>
        <w:r>
          <w:rPr>
            <w:rFonts w:ascii="Times New Roman Полужирный" w:hAnsi="Times New Roman Полужирный"/>
            <w:b/>
            <w:spacing w:val="20"/>
          </w:rPr>
          <w:t xml:space="preserve">РАЗДЕЛ </w:t>
        </w:r>
        <w:r>
          <w:rPr>
            <w:b/>
            <w:spacing w:val="20"/>
          </w:rPr>
          <w:t>5</w:t>
        </w:r>
      </w:p>
    </w:sdtContent>
  </w:sdt>
</w:ftr>
</file>

<file path=word/footer5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456492025"/>
    </w:sdtPr>
    <w:sdtContent>
      <w:p>
        <w:pPr>
          <w:pStyle w:val="Style23"/>
          <w:jc w:val="right"/>
          <w:rPr>
            <w:b/>
            <w:b/>
            <w:spacing w:val="20"/>
          </w:rPr>
        </w:pPr>
        <w:r>
          <w:rPr>
            <w:rFonts w:ascii="Times New Roman Полужирный" w:hAnsi="Times New Roman Полужирный"/>
            <w:b/>
            <w:spacing w:val="20"/>
          </w:rPr>
          <w:t>РАЗДЕЛ</w:t>
        </w:r>
        <w:r>
          <w:rPr>
            <w:rFonts w:ascii="Calibri" w:hAnsi="Calibri" w:asciiTheme="minorHAnsi" w:hAnsiTheme="minorHAnsi"/>
            <w:b/>
            <w:spacing w:val="20"/>
          </w:rPr>
          <w:t xml:space="preserve"> </w:t>
        </w:r>
        <w:r>
          <w:rPr>
            <w:b/>
            <w:spacing w:val="20"/>
          </w:rPr>
          <w:t>6</w:t>
        </w:r>
      </w:p>
    </w:sdtContent>
  </w:sdt>
</w:ftr>
</file>

<file path=word/footer5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52969010"/>
    </w:sdtPr>
    <w:sdtContent>
      <w:p>
        <w:pPr>
          <w:pStyle w:val="Style23"/>
          <w:jc w:val="right"/>
          <w:rPr>
            <w:b/>
            <w:b/>
            <w:spacing w:val="20"/>
          </w:rPr>
        </w:pPr>
        <w:r>
          <w:rPr>
            <w:rFonts w:ascii="Times New Roman Полужирный" w:hAnsi="Times New Roman Полужирный"/>
            <w:b/>
            <w:spacing w:val="20"/>
          </w:rPr>
          <w:t>РАЗДЕЛ</w:t>
        </w:r>
        <w:r>
          <w:rPr>
            <w:rFonts w:ascii="Calibri" w:hAnsi="Calibri" w:asciiTheme="minorHAnsi" w:hAnsiTheme="minorHAnsi"/>
            <w:b/>
            <w:spacing w:val="20"/>
          </w:rPr>
          <w:t xml:space="preserve"> </w:t>
        </w:r>
        <w:r>
          <w:rPr>
            <w:b/>
            <w:spacing w:val="20"/>
          </w:rPr>
          <w:t>7</w:t>
        </w:r>
      </w:p>
    </w:sdtContent>
  </w:sdt>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2"/>
      <w:jc w:val="right"/>
      <w:rPr/>
    </w:pPr>
    <w:r>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2102170054"/>
    </w:sdtPr>
    <w:sdtContent>
      <w:p>
        <w:pPr>
          <w:pStyle w:val="Style22"/>
          <w:jc w:val="right"/>
          <w:rPr>
            <w:b/>
            <w:b/>
          </w:rPr>
        </w:pPr>
        <w:r>
          <w:rPr>
            <w:b/>
          </w:rPr>
          <w:fldChar w:fldCharType="begin"/>
        </w:r>
        <w:r>
          <w:rPr>
            <w:b/>
          </w:rPr>
          <w:instrText> PAGE </w:instrText>
        </w:r>
        <w:r>
          <w:rPr>
            <w:b/>
          </w:rPr>
          <w:fldChar w:fldCharType="separate"/>
        </w:r>
        <w:r>
          <w:rPr>
            <w:b/>
          </w:rPr>
          <w:t>5</w:t>
        </w:r>
        <w:r>
          <w:rPr>
            <w:b/>
          </w:rPr>
          <w:fldChar w:fldCharType="end"/>
        </w:r>
      </w:p>
    </w:sdtContent>
  </w:sdt>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073888661"/>
    </w:sdtPr>
    <w:sdtContent>
      <w:p>
        <w:pPr>
          <w:pStyle w:val="Style22"/>
          <w:jc w:val="right"/>
          <w:rPr>
            <w:b/>
            <w:b/>
          </w:rPr>
        </w:pPr>
        <w:r>
          <w:rPr>
            <w:b/>
          </w:rPr>
          <w:fldChar w:fldCharType="begin"/>
        </w:r>
        <w:r>
          <w:rPr>
            <w:b/>
          </w:rPr>
          <w:instrText> PAGE </w:instrText>
        </w:r>
        <w:r>
          <w:rPr>
            <w:b/>
          </w:rPr>
          <w:fldChar w:fldCharType="separate"/>
        </w:r>
        <w:r>
          <w:rPr>
            <w:b/>
          </w:rPr>
          <w:t>7</w:t>
        </w:r>
        <w:r>
          <w:rPr>
            <w:b/>
          </w:rPr>
          <w:fldChar w:fldCharType="end"/>
        </w:r>
      </w:p>
    </w:sdtContent>
  </w:sdt>
</w:hdr>
</file>

<file path=word/header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2"/>
      <w:rPr/>
    </w:pPr>
    <w:r>
      <w:rPr/>
    </w:r>
  </w:p>
</w:hdr>
</file>

<file path=word/header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666548155"/>
    </w:sdtPr>
    <w:sdtContent>
      <w:p>
        <w:pPr>
          <w:pStyle w:val="Style22"/>
          <w:jc w:val="right"/>
          <w:rPr>
            <w:b/>
            <w:b/>
          </w:rPr>
        </w:pPr>
        <w:r>
          <w:rPr>
            <w:b/>
          </w:rPr>
          <w:fldChar w:fldCharType="begin"/>
        </w:r>
        <w:r>
          <w:rPr>
            <w:b/>
          </w:rPr>
          <w:instrText> PAGE </w:instrText>
        </w:r>
        <w:r>
          <w:rPr>
            <w:b/>
          </w:rPr>
          <w:fldChar w:fldCharType="separate"/>
        </w:r>
        <w:r>
          <w:rPr>
            <w:b/>
          </w:rPr>
          <w:t>8</w:t>
        </w:r>
        <w:r>
          <w:rPr>
            <w:b/>
          </w:rPr>
          <w:fldChar w:fldCharType="end"/>
        </w:r>
      </w:p>
    </w:sdtContent>
  </w:sdt>
</w:hdr>
</file>

<file path=word/header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494283188"/>
    </w:sdtPr>
    <w:sdtContent>
      <w:p>
        <w:pPr>
          <w:pStyle w:val="Style22"/>
          <w:jc w:val="right"/>
          <w:rPr>
            <w:b/>
            <w:b/>
          </w:rPr>
        </w:pPr>
        <w:r>
          <w:rPr>
            <w:b/>
          </w:rPr>
          <w:fldChar w:fldCharType="begin"/>
        </w:r>
        <w:r>
          <w:rPr>
            <w:b/>
          </w:rPr>
          <w:instrText> PAGE </w:instrText>
        </w:r>
        <w:r>
          <w:rPr>
            <w:b/>
          </w:rPr>
          <w:fldChar w:fldCharType="separate"/>
        </w:r>
        <w:r>
          <w:rPr>
            <w:b/>
          </w:rPr>
          <w:t>8</w:t>
        </w:r>
        <w:r>
          <w:rPr>
            <w:b/>
          </w:rPr>
          <w:fldChar w:fldCharType="end"/>
        </w:r>
      </w:p>
    </w:sdtContent>
  </w:sdt>
</w:hdr>
</file>

<file path=word/header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210878938"/>
    </w:sdtPr>
    <w:sdtContent>
      <w:p>
        <w:pPr>
          <w:pStyle w:val="Style22"/>
          <w:jc w:val="right"/>
          <w:rPr>
            <w:b/>
            <w:b/>
          </w:rPr>
        </w:pPr>
        <w:r>
          <w:rPr>
            <w:b/>
          </w:rPr>
          <w:fldChar w:fldCharType="begin"/>
        </w:r>
        <w:r>
          <w:rPr>
            <w:b/>
          </w:rPr>
          <w:instrText> PAGE </w:instrText>
        </w:r>
        <w:r>
          <w:rPr>
            <w:b/>
          </w:rPr>
          <w:fldChar w:fldCharType="separate"/>
        </w:r>
        <w:r>
          <w:rPr>
            <w:b/>
          </w:rPr>
          <w:t>12</w:t>
        </w:r>
        <w:r>
          <w:rPr>
            <w:b/>
          </w:rPr>
          <w:fldChar w:fldCharType="end"/>
        </w:r>
      </w:p>
    </w:sdtContent>
  </w:sdt>
</w:hdr>
</file>

<file path=word/header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106426624"/>
    </w:sdtPr>
    <w:sdtContent>
      <w:p>
        <w:pPr>
          <w:pStyle w:val="Style22"/>
          <w:jc w:val="right"/>
          <w:rPr>
            <w:b/>
            <w:b/>
          </w:rPr>
        </w:pPr>
        <w:r>
          <w:rPr>
            <w:b/>
          </w:rPr>
          <w:fldChar w:fldCharType="begin"/>
        </w:r>
        <w:r>
          <w:rPr>
            <w:b/>
          </w:rPr>
          <w:instrText> PAGE </w:instrText>
        </w:r>
        <w:r>
          <w:rPr>
            <w:b/>
          </w:rPr>
          <w:fldChar w:fldCharType="separate"/>
        </w:r>
        <w:r>
          <w:rPr>
            <w:b/>
          </w:rPr>
          <w:t>14</w:t>
        </w:r>
        <w:r>
          <w:rPr>
            <w:b/>
          </w:rPr>
          <w:fldChar w:fldCharType="end"/>
        </w:r>
      </w:p>
    </w:sdtContent>
  </w:sdt>
</w:hdr>
</file>

<file path=word/header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07140714"/>
    </w:sdtPr>
    <w:sdtContent>
      <w:p>
        <w:pPr>
          <w:pStyle w:val="Style22"/>
          <w:jc w:val="right"/>
          <w:rPr>
            <w:b/>
            <w:b/>
          </w:rPr>
        </w:pPr>
        <w:r>
          <w:rPr>
            <w:b/>
          </w:rPr>
          <w:fldChar w:fldCharType="begin"/>
        </w:r>
        <w:r>
          <w:rPr>
            <w:b/>
          </w:rPr>
          <w:instrText> PAGE </w:instrText>
        </w:r>
        <w:r>
          <w:rPr>
            <w:b/>
          </w:rPr>
          <w:fldChar w:fldCharType="separate"/>
        </w:r>
        <w:r>
          <w:rPr>
            <w:b/>
          </w:rPr>
          <w:t>15</w:t>
        </w:r>
        <w:r>
          <w:rPr>
            <w:b/>
          </w:rPr>
          <w:fldChar w:fldCharType="end"/>
        </w:r>
      </w:p>
    </w:sdtContent>
  </w:sdt>
</w:hdr>
</file>

<file path=word/header1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494189374"/>
    </w:sdtPr>
    <w:sdtContent>
      <w:p>
        <w:pPr>
          <w:pStyle w:val="Style22"/>
          <w:jc w:val="right"/>
          <w:rPr>
            <w:b/>
            <w:b/>
          </w:rPr>
        </w:pPr>
        <w:r>
          <w:rPr>
            <w:b/>
          </w:rPr>
          <w:fldChar w:fldCharType="begin"/>
        </w:r>
        <w:r>
          <w:rPr>
            <w:b/>
          </w:rPr>
          <w:instrText> PAGE </w:instrText>
        </w:r>
        <w:r>
          <w:rPr>
            <w:b/>
          </w:rPr>
          <w:fldChar w:fldCharType="separate"/>
        </w:r>
        <w:r>
          <w:rPr>
            <w:b/>
          </w:rPr>
          <w:t>16</w:t>
        </w:r>
        <w:r>
          <w:rPr>
            <w:b/>
          </w:rPr>
          <w:fldChar w:fldCharType="end"/>
        </w:r>
      </w:p>
    </w:sdtContent>
  </w:sdt>
</w:hdr>
</file>

<file path=word/header1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815966363"/>
    </w:sdtPr>
    <w:sdtContent>
      <w:p>
        <w:pPr>
          <w:pStyle w:val="Style22"/>
          <w:jc w:val="right"/>
          <w:rPr>
            <w:b/>
            <w:b/>
          </w:rPr>
        </w:pPr>
        <w:r>
          <w:rPr>
            <w:b/>
          </w:rPr>
          <w:fldChar w:fldCharType="begin"/>
        </w:r>
        <w:r>
          <w:rPr>
            <w:b/>
          </w:rPr>
          <w:instrText> PAGE </w:instrText>
        </w:r>
        <w:r>
          <w:rPr>
            <w:b/>
          </w:rPr>
          <w:fldChar w:fldCharType="separate"/>
        </w:r>
        <w:r>
          <w:rPr>
            <w:b/>
          </w:rPr>
          <w:t>17</w:t>
        </w:r>
        <w:r>
          <w:rPr>
            <w:b/>
          </w:rPr>
          <w:fldChar w:fldCharType="end"/>
        </w:r>
      </w:p>
    </w:sdtContent>
  </w:sdt>
</w:hdr>
</file>

<file path=word/header1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2103085424"/>
    </w:sdtPr>
    <w:sdtContent>
      <w:p>
        <w:pPr>
          <w:pStyle w:val="Style22"/>
          <w:jc w:val="right"/>
          <w:rPr>
            <w:b/>
            <w:b/>
          </w:rPr>
        </w:pPr>
        <w:r>
          <w:rPr>
            <w:b/>
          </w:rPr>
          <w:fldChar w:fldCharType="begin"/>
        </w:r>
        <w:r>
          <w:rPr>
            <w:b/>
          </w:rPr>
          <w:instrText> PAGE </w:instrText>
        </w:r>
        <w:r>
          <w:rPr>
            <w:b/>
          </w:rPr>
          <w:fldChar w:fldCharType="separate"/>
        </w:r>
        <w:r>
          <w:rPr>
            <w:b/>
          </w:rPr>
          <w:t>18</w:t>
        </w:r>
        <w:r>
          <w:rPr>
            <w:b/>
          </w:rPr>
          <w:fldChar w:fldCharType="end"/>
        </w:r>
      </w:p>
    </w:sdtContent>
  </w:sdt>
</w:hdr>
</file>

<file path=word/header1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562682814"/>
    </w:sdtPr>
    <w:sdtContent>
      <w:p>
        <w:pPr>
          <w:pStyle w:val="Style22"/>
          <w:jc w:val="right"/>
          <w:rPr>
            <w:b/>
            <w:b/>
          </w:rPr>
        </w:pPr>
        <w:r>
          <w:rPr>
            <w:b/>
          </w:rPr>
          <w:fldChar w:fldCharType="begin"/>
        </w:r>
        <w:r>
          <w:rPr>
            <w:b/>
          </w:rPr>
          <w:instrText> PAGE </w:instrText>
        </w:r>
        <w:r>
          <w:rPr>
            <w:b/>
          </w:rPr>
          <w:fldChar w:fldCharType="separate"/>
        </w:r>
        <w:r>
          <w:rPr>
            <w:b/>
          </w:rPr>
          <w:t>19</w:t>
        </w:r>
        <w:r>
          <w:rPr>
            <w:b/>
          </w:rPr>
          <w:fldChar w:fldCharType="end"/>
        </w:r>
      </w:p>
    </w:sdtContent>
  </w:sdt>
</w:hdr>
</file>

<file path=word/header1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867701380"/>
    </w:sdtPr>
    <w:sdtContent>
      <w:p>
        <w:pPr>
          <w:pStyle w:val="Style22"/>
          <w:jc w:val="right"/>
          <w:rPr>
            <w:b/>
            <w:b/>
          </w:rPr>
        </w:pPr>
        <w:r>
          <w:rPr>
            <w:b/>
          </w:rPr>
          <w:fldChar w:fldCharType="begin"/>
        </w:r>
        <w:r>
          <w:rPr>
            <w:b/>
          </w:rPr>
          <w:instrText> PAGE </w:instrText>
        </w:r>
        <w:r>
          <w:rPr>
            <w:b/>
          </w:rPr>
          <w:fldChar w:fldCharType="separate"/>
        </w:r>
        <w:r>
          <w:rPr>
            <w:b/>
          </w:rPr>
          <w:t>20</w:t>
        </w:r>
        <w:r>
          <w:rPr>
            <w:b/>
          </w:rPr>
          <w:fldChar w:fldCharType="end"/>
        </w:r>
      </w:p>
    </w:sdtContent>
  </w:sdt>
</w:hdr>
</file>

<file path=word/header1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203882342"/>
    </w:sdtPr>
    <w:sdtContent>
      <w:p>
        <w:pPr>
          <w:pStyle w:val="Style22"/>
          <w:jc w:val="right"/>
          <w:rPr>
            <w:b/>
            <w:b/>
          </w:rPr>
        </w:pPr>
        <w:r>
          <w:rPr>
            <w:b/>
          </w:rPr>
          <w:fldChar w:fldCharType="begin"/>
        </w:r>
        <w:r>
          <w:rPr>
            <w:b/>
          </w:rPr>
          <w:instrText> PAGE </w:instrText>
        </w:r>
        <w:r>
          <w:rPr>
            <w:b/>
          </w:rPr>
          <w:fldChar w:fldCharType="separate"/>
        </w:r>
        <w:r>
          <w:rPr>
            <w:b/>
          </w:rPr>
          <w:t>22</w:t>
        </w:r>
        <w:r>
          <w:rPr>
            <w:b/>
          </w:rPr>
          <w:fldChar w:fldCharType="end"/>
        </w:r>
      </w:p>
    </w:sdtContent>
  </w:sdt>
</w:hdr>
</file>

<file path=word/header1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2001490377"/>
    </w:sdtPr>
    <w:sdtContent>
      <w:p>
        <w:pPr>
          <w:pStyle w:val="Style22"/>
          <w:jc w:val="right"/>
          <w:rPr>
            <w:b/>
            <w:b/>
          </w:rPr>
        </w:pPr>
        <w:r>
          <w:rPr>
            <w:b/>
          </w:rPr>
          <w:fldChar w:fldCharType="begin"/>
        </w:r>
        <w:r>
          <w:rPr>
            <w:b/>
          </w:rPr>
          <w:instrText> PAGE </w:instrText>
        </w:r>
        <w:r>
          <w:rPr>
            <w:b/>
          </w:rPr>
          <w:fldChar w:fldCharType="separate"/>
        </w:r>
        <w:r>
          <w:rPr>
            <w:b/>
          </w:rPr>
          <w:t>24</w:t>
        </w:r>
        <w:r>
          <w:rPr>
            <w:b/>
          </w:rPr>
          <w:fldChar w:fldCharType="end"/>
        </w:r>
      </w:p>
    </w:sdtContent>
  </w:sdt>
</w:hdr>
</file>

<file path=word/header1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828159233"/>
    </w:sdtPr>
    <w:sdtContent>
      <w:p>
        <w:pPr>
          <w:pStyle w:val="Style22"/>
          <w:jc w:val="right"/>
          <w:rPr>
            <w:b/>
            <w:b/>
          </w:rPr>
        </w:pPr>
        <w:r>
          <w:rPr>
            <w:b/>
          </w:rPr>
          <w:fldChar w:fldCharType="begin"/>
        </w:r>
        <w:r>
          <w:rPr>
            <w:b/>
          </w:rPr>
          <w:instrText> PAGE </w:instrText>
        </w:r>
        <w:r>
          <w:rPr>
            <w:b/>
          </w:rPr>
          <w:fldChar w:fldCharType="separate"/>
        </w:r>
        <w:r>
          <w:rPr>
            <w:b/>
          </w:rPr>
          <w:t>34</w:t>
        </w:r>
        <w:r>
          <w:rPr>
            <w:b/>
          </w:rPr>
          <w:fldChar w:fldCharType="end"/>
        </w:r>
      </w:p>
    </w:sdtContent>
  </w:sdt>
</w:hdr>
</file>

<file path=word/header1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2029958509"/>
    </w:sdtPr>
    <w:sdtContent>
      <w:p>
        <w:pPr>
          <w:pStyle w:val="Style22"/>
          <w:jc w:val="right"/>
          <w:rPr>
            <w:b/>
            <w:b/>
          </w:rPr>
        </w:pPr>
        <w:r>
          <w:rPr>
            <w:b/>
          </w:rPr>
          <w:fldChar w:fldCharType="begin"/>
        </w:r>
        <w:r>
          <w:rPr>
            <w:b/>
          </w:rPr>
          <w:instrText> PAGE </w:instrText>
        </w:r>
        <w:r>
          <w:rPr>
            <w:b/>
          </w:rPr>
          <w:fldChar w:fldCharType="separate"/>
        </w:r>
        <w:r>
          <w:rPr>
            <w:b/>
          </w:rPr>
          <w:t>35</w:t>
        </w:r>
        <w:r>
          <w:rPr>
            <w:b/>
          </w:rPr>
          <w:fldChar w:fldCharType="end"/>
        </w:r>
      </w:p>
    </w:sdtContent>
  </w:sdt>
</w:hdr>
</file>

<file path=word/header1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868204911"/>
    </w:sdtPr>
    <w:sdtContent>
      <w:p>
        <w:pPr>
          <w:pStyle w:val="Style22"/>
          <w:jc w:val="right"/>
          <w:rPr>
            <w:b/>
            <w:b/>
          </w:rPr>
        </w:pPr>
        <w:r>
          <w:rPr>
            <w:b/>
          </w:rPr>
          <w:fldChar w:fldCharType="begin"/>
        </w:r>
        <w:r>
          <w:rPr>
            <w:b/>
          </w:rPr>
          <w:instrText> PAGE </w:instrText>
        </w:r>
        <w:r>
          <w:rPr>
            <w:b/>
          </w:rPr>
          <w:fldChar w:fldCharType="separate"/>
        </w:r>
        <w:r>
          <w:rPr>
            <w:b/>
          </w:rPr>
          <w:t>36</w:t>
        </w:r>
        <w:r>
          <w:rPr>
            <w:b/>
          </w:rPr>
          <w:fldChar w:fldCharType="end"/>
        </w:r>
      </w:p>
    </w:sdtContent>
  </w:sdt>
</w:hdr>
</file>

<file path=word/header2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709896703"/>
    </w:sdtPr>
    <w:sdtContent>
      <w:p>
        <w:pPr>
          <w:pStyle w:val="Style22"/>
          <w:jc w:val="right"/>
          <w:rPr>
            <w:b/>
            <w:b/>
          </w:rPr>
        </w:pPr>
        <w:r>
          <w:rPr>
            <w:b/>
          </w:rPr>
          <w:fldChar w:fldCharType="begin"/>
        </w:r>
        <w:r>
          <w:rPr>
            <w:b/>
          </w:rPr>
          <w:instrText> PAGE </w:instrText>
        </w:r>
        <w:r>
          <w:rPr>
            <w:b/>
          </w:rPr>
          <w:fldChar w:fldCharType="separate"/>
        </w:r>
        <w:r>
          <w:rPr>
            <w:b/>
          </w:rPr>
          <w:t>40</w:t>
        </w:r>
        <w:r>
          <w:rPr>
            <w:b/>
          </w:rPr>
          <w:fldChar w:fldCharType="end"/>
        </w:r>
      </w:p>
    </w:sdtContent>
  </w:sdt>
</w:hdr>
</file>

<file path=word/header2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487674389"/>
    </w:sdtPr>
    <w:sdtContent>
      <w:p>
        <w:pPr>
          <w:pStyle w:val="Style22"/>
          <w:jc w:val="right"/>
          <w:rPr>
            <w:b/>
            <w:b/>
          </w:rPr>
        </w:pPr>
        <w:r>
          <w:rPr>
            <w:b/>
          </w:rPr>
          <w:fldChar w:fldCharType="begin"/>
        </w:r>
        <w:r>
          <w:rPr>
            <w:b/>
          </w:rPr>
          <w:instrText> PAGE </w:instrText>
        </w:r>
        <w:r>
          <w:rPr>
            <w:b/>
          </w:rPr>
          <w:fldChar w:fldCharType="separate"/>
        </w:r>
        <w:r>
          <w:rPr>
            <w:b/>
          </w:rPr>
          <w:t>41</w:t>
        </w:r>
        <w:r>
          <w:rPr>
            <w:b/>
          </w:rPr>
          <w:fldChar w:fldCharType="end"/>
        </w:r>
      </w:p>
    </w:sdtContent>
  </w:sdt>
</w:hdr>
</file>

<file path=word/header2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234850418"/>
    </w:sdtPr>
    <w:sdtContent>
      <w:p>
        <w:pPr>
          <w:pStyle w:val="Style22"/>
          <w:jc w:val="right"/>
          <w:rPr>
            <w:b/>
            <w:b/>
          </w:rPr>
        </w:pPr>
        <w:r>
          <w:rPr>
            <w:b/>
          </w:rPr>
          <w:fldChar w:fldCharType="begin"/>
        </w:r>
        <w:r>
          <w:rPr>
            <w:b/>
          </w:rPr>
          <w:instrText> PAGE </w:instrText>
        </w:r>
        <w:r>
          <w:rPr>
            <w:b/>
          </w:rPr>
          <w:fldChar w:fldCharType="separate"/>
        </w:r>
        <w:r>
          <w:rPr>
            <w:b/>
          </w:rPr>
          <w:t>42</w:t>
        </w:r>
        <w:r>
          <w:rPr>
            <w:b/>
          </w:rPr>
          <w:fldChar w:fldCharType="end"/>
        </w:r>
      </w:p>
    </w:sdtContent>
  </w:sdt>
</w:hdr>
</file>

<file path=word/header2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987067559"/>
    </w:sdtPr>
    <w:sdtContent>
      <w:p>
        <w:pPr>
          <w:pStyle w:val="Style22"/>
          <w:jc w:val="right"/>
          <w:rPr>
            <w:b/>
            <w:b/>
          </w:rPr>
        </w:pPr>
        <w:r>
          <w:rPr>
            <w:b/>
          </w:rPr>
          <w:fldChar w:fldCharType="begin"/>
        </w:r>
        <w:r>
          <w:rPr>
            <w:b/>
          </w:rPr>
          <w:instrText> PAGE </w:instrText>
        </w:r>
        <w:r>
          <w:rPr>
            <w:b/>
          </w:rPr>
          <w:fldChar w:fldCharType="separate"/>
        </w:r>
        <w:r>
          <w:rPr>
            <w:b/>
          </w:rPr>
          <w:t>43</w:t>
        </w:r>
        <w:r>
          <w:rPr>
            <w:b/>
          </w:rPr>
          <w:fldChar w:fldCharType="end"/>
        </w:r>
      </w:p>
    </w:sdtContent>
  </w:sdt>
</w:hdr>
</file>

<file path=word/header2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949516462"/>
    </w:sdtPr>
    <w:sdtContent>
      <w:p>
        <w:pPr>
          <w:pStyle w:val="Style22"/>
          <w:jc w:val="right"/>
          <w:rPr>
            <w:b/>
            <w:b/>
          </w:rPr>
        </w:pPr>
        <w:r>
          <w:rPr>
            <w:b/>
          </w:rPr>
          <w:fldChar w:fldCharType="begin"/>
        </w:r>
        <w:r>
          <w:rPr>
            <w:b/>
          </w:rPr>
          <w:instrText> PAGE </w:instrText>
        </w:r>
        <w:r>
          <w:rPr>
            <w:b/>
          </w:rPr>
          <w:fldChar w:fldCharType="separate"/>
        </w:r>
        <w:r>
          <w:rPr>
            <w:b/>
          </w:rPr>
          <w:t>46</w:t>
        </w:r>
        <w:r>
          <w:rPr>
            <w:b/>
          </w:rPr>
          <w:fldChar w:fldCharType="end"/>
        </w:r>
      </w:p>
    </w:sdtContent>
  </w:sdt>
</w:hdr>
</file>

<file path=word/header2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734531446"/>
    </w:sdtPr>
    <w:sdtContent>
      <w:p>
        <w:pPr>
          <w:pStyle w:val="Style22"/>
          <w:jc w:val="right"/>
          <w:rPr>
            <w:b/>
            <w:b/>
          </w:rPr>
        </w:pPr>
        <w:r>
          <w:rPr>
            <w:b/>
          </w:rPr>
          <w:fldChar w:fldCharType="begin"/>
        </w:r>
        <w:r>
          <w:rPr>
            <w:b/>
          </w:rPr>
          <w:instrText> PAGE </w:instrText>
        </w:r>
        <w:r>
          <w:rPr>
            <w:b/>
          </w:rPr>
          <w:fldChar w:fldCharType="separate"/>
        </w:r>
        <w:r>
          <w:rPr>
            <w:b/>
          </w:rPr>
          <w:t>50</w:t>
        </w:r>
        <w:r>
          <w:rPr>
            <w:b/>
          </w:rPr>
          <w:fldChar w:fldCharType="end"/>
        </w:r>
      </w:p>
    </w:sdtContent>
  </w:sdt>
</w:hdr>
</file>

<file path=word/header2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591695279"/>
    </w:sdtPr>
    <w:sdtContent>
      <w:p>
        <w:pPr>
          <w:pStyle w:val="Style22"/>
          <w:jc w:val="right"/>
          <w:rPr>
            <w:b/>
            <w:b/>
          </w:rPr>
        </w:pPr>
        <w:r>
          <w:rPr>
            <w:b/>
          </w:rPr>
          <w:fldChar w:fldCharType="begin"/>
        </w:r>
        <w:r>
          <w:rPr>
            <w:b/>
          </w:rPr>
          <w:instrText> PAGE </w:instrText>
        </w:r>
        <w:r>
          <w:rPr>
            <w:b/>
          </w:rPr>
          <w:fldChar w:fldCharType="separate"/>
        </w:r>
        <w:r>
          <w:rPr>
            <w:b/>
          </w:rPr>
          <w:t>51</w:t>
        </w:r>
        <w:r>
          <w:rPr>
            <w:b/>
          </w:rPr>
          <w:fldChar w:fldCharType="end"/>
        </w:r>
      </w:p>
    </w:sdtContent>
  </w:sdt>
</w:hdr>
</file>

<file path=word/header2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715327673"/>
    </w:sdtPr>
    <w:sdtContent>
      <w:p>
        <w:pPr>
          <w:pStyle w:val="Style22"/>
          <w:jc w:val="right"/>
          <w:rPr>
            <w:b/>
            <w:b/>
          </w:rPr>
        </w:pPr>
        <w:r>
          <w:rPr>
            <w:b/>
          </w:rPr>
          <w:fldChar w:fldCharType="begin"/>
        </w:r>
        <w:r>
          <w:rPr>
            <w:b/>
          </w:rPr>
          <w:instrText> PAGE </w:instrText>
        </w:r>
        <w:r>
          <w:rPr>
            <w:b/>
          </w:rPr>
          <w:fldChar w:fldCharType="separate"/>
        </w:r>
        <w:r>
          <w:rPr>
            <w:b/>
          </w:rPr>
          <w:t>54</w:t>
        </w:r>
        <w:r>
          <w:rPr>
            <w:b/>
          </w:rPr>
          <w:fldChar w:fldCharType="end"/>
        </w:r>
      </w:p>
    </w:sdtContent>
  </w:sdt>
</w:hdr>
</file>

<file path=word/header2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000660415"/>
    </w:sdtPr>
    <w:sdtContent>
      <w:p>
        <w:pPr>
          <w:pStyle w:val="Style22"/>
          <w:jc w:val="right"/>
          <w:rPr>
            <w:b/>
            <w:b/>
          </w:rPr>
        </w:pPr>
        <w:r>
          <w:rPr>
            <w:b/>
          </w:rPr>
          <w:fldChar w:fldCharType="begin"/>
        </w:r>
        <w:r>
          <w:rPr>
            <w:b/>
          </w:rPr>
          <w:instrText> PAGE </w:instrText>
        </w:r>
        <w:r>
          <w:rPr>
            <w:b/>
          </w:rPr>
          <w:fldChar w:fldCharType="separate"/>
        </w:r>
        <w:r>
          <w:rPr>
            <w:b/>
          </w:rPr>
          <w:t>55</w:t>
        </w:r>
        <w:r>
          <w:rPr>
            <w:b/>
          </w:rPr>
          <w:fldChar w:fldCharType="end"/>
        </w:r>
      </w:p>
    </w:sdtContent>
  </w:sdt>
</w:hdr>
</file>

<file path=word/header2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695697958"/>
    </w:sdtPr>
    <w:sdtContent>
      <w:p>
        <w:pPr>
          <w:pStyle w:val="Style22"/>
          <w:jc w:val="right"/>
          <w:rPr>
            <w:b/>
            <w:b/>
          </w:rPr>
        </w:pPr>
        <w:r>
          <w:rPr>
            <w:b/>
          </w:rPr>
          <w:fldChar w:fldCharType="begin"/>
        </w:r>
        <w:r>
          <w:rPr>
            <w:b/>
          </w:rPr>
          <w:instrText> PAGE </w:instrText>
        </w:r>
        <w:r>
          <w:rPr>
            <w:b/>
          </w:rPr>
          <w:fldChar w:fldCharType="separate"/>
        </w:r>
        <w:r>
          <w:rPr>
            <w:b/>
          </w:rPr>
          <w:t>56</w:t>
        </w:r>
        <w:r>
          <w:rPr>
            <w:b/>
          </w:rPr>
          <w:fldChar w:fldCharType="end"/>
        </w:r>
      </w:p>
    </w:sdtContent>
  </w:sdt>
</w:hdr>
</file>

<file path=word/header3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740763372"/>
    </w:sdtPr>
    <w:sdtContent>
      <w:p>
        <w:pPr>
          <w:pStyle w:val="Style22"/>
          <w:jc w:val="right"/>
          <w:rPr>
            <w:b/>
            <w:b/>
          </w:rPr>
        </w:pPr>
        <w:r>
          <w:rPr>
            <w:b/>
          </w:rPr>
          <w:fldChar w:fldCharType="begin"/>
        </w:r>
        <w:r>
          <w:rPr>
            <w:b/>
          </w:rPr>
          <w:instrText> PAGE </w:instrText>
        </w:r>
        <w:r>
          <w:rPr>
            <w:b/>
          </w:rPr>
          <w:fldChar w:fldCharType="separate"/>
        </w:r>
        <w:r>
          <w:rPr>
            <w:b/>
          </w:rPr>
          <w:t>57</w:t>
        </w:r>
        <w:r>
          <w:rPr>
            <w:b/>
          </w:rPr>
          <w:fldChar w:fldCharType="end"/>
        </w:r>
      </w:p>
    </w:sdtContent>
  </w:sdt>
</w:hdr>
</file>

<file path=word/header3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587939926"/>
    </w:sdtPr>
    <w:sdtContent>
      <w:p>
        <w:pPr>
          <w:pStyle w:val="Style22"/>
          <w:jc w:val="right"/>
          <w:rPr>
            <w:b/>
            <w:b/>
          </w:rPr>
        </w:pPr>
        <w:r>
          <w:rPr>
            <w:b/>
          </w:rPr>
          <w:fldChar w:fldCharType="begin"/>
        </w:r>
        <w:r>
          <w:rPr>
            <w:b/>
          </w:rPr>
          <w:instrText> PAGE </w:instrText>
        </w:r>
        <w:r>
          <w:rPr>
            <w:b/>
          </w:rPr>
          <w:fldChar w:fldCharType="separate"/>
        </w:r>
        <w:r>
          <w:rPr>
            <w:b/>
          </w:rPr>
          <w:t>59</w:t>
        </w:r>
        <w:r>
          <w:rPr>
            <w:b/>
          </w:rPr>
          <w:fldChar w:fldCharType="end"/>
        </w:r>
      </w:p>
    </w:sdtContent>
  </w:sdt>
</w:hdr>
</file>

<file path=word/header3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2005045061"/>
    </w:sdtPr>
    <w:sdtContent>
      <w:p>
        <w:pPr>
          <w:pStyle w:val="Style22"/>
          <w:jc w:val="right"/>
          <w:rPr>
            <w:b/>
            <w:b/>
          </w:rPr>
        </w:pPr>
        <w:r>
          <w:rPr>
            <w:b/>
          </w:rPr>
          <w:fldChar w:fldCharType="begin"/>
        </w:r>
        <w:r>
          <w:rPr>
            <w:b/>
          </w:rPr>
          <w:instrText> PAGE </w:instrText>
        </w:r>
        <w:r>
          <w:rPr>
            <w:b/>
          </w:rPr>
          <w:fldChar w:fldCharType="separate"/>
        </w:r>
        <w:r>
          <w:rPr>
            <w:b/>
          </w:rPr>
          <w:t>60</w:t>
        </w:r>
        <w:r>
          <w:rPr>
            <w:b/>
          </w:rPr>
          <w:fldChar w:fldCharType="end"/>
        </w:r>
      </w:p>
    </w:sdtContent>
  </w:sdt>
</w:hdr>
</file>

<file path=word/header3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872614652"/>
    </w:sdtPr>
    <w:sdtContent>
      <w:p>
        <w:pPr>
          <w:pStyle w:val="Style22"/>
          <w:jc w:val="right"/>
          <w:rPr>
            <w:b/>
            <w:b/>
          </w:rPr>
        </w:pPr>
        <w:r>
          <w:rPr>
            <w:b/>
          </w:rPr>
          <w:fldChar w:fldCharType="begin"/>
        </w:r>
        <w:r>
          <w:rPr>
            <w:b/>
          </w:rPr>
          <w:instrText> PAGE </w:instrText>
        </w:r>
        <w:r>
          <w:rPr>
            <w:b/>
          </w:rPr>
          <w:fldChar w:fldCharType="separate"/>
        </w:r>
        <w:r>
          <w:rPr>
            <w:b/>
          </w:rPr>
          <w:t>62</w:t>
        </w:r>
        <w:r>
          <w:rPr>
            <w:b/>
          </w:rPr>
          <w:fldChar w:fldCharType="end"/>
        </w:r>
      </w:p>
    </w:sdtContent>
  </w:sdt>
</w:hdr>
</file>

<file path=word/header3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678288446"/>
    </w:sdtPr>
    <w:sdtContent>
      <w:p>
        <w:pPr>
          <w:pStyle w:val="Style22"/>
          <w:jc w:val="right"/>
          <w:rPr>
            <w:b/>
            <w:b/>
          </w:rPr>
        </w:pPr>
        <w:r>
          <w:rPr>
            <w:b/>
          </w:rPr>
          <w:fldChar w:fldCharType="begin"/>
        </w:r>
        <w:r>
          <w:rPr>
            <w:b/>
          </w:rPr>
          <w:instrText> PAGE </w:instrText>
        </w:r>
        <w:r>
          <w:rPr>
            <w:b/>
          </w:rPr>
          <w:fldChar w:fldCharType="separate"/>
        </w:r>
        <w:r>
          <w:rPr>
            <w:b/>
          </w:rPr>
          <w:t>63</w:t>
        </w:r>
        <w:r>
          <w:rPr>
            <w:b/>
          </w:rPr>
          <w:fldChar w:fldCharType="end"/>
        </w:r>
      </w:p>
    </w:sdtContent>
  </w:sdt>
</w:hdr>
</file>

<file path=word/header3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648646787"/>
    </w:sdtPr>
    <w:sdtContent>
      <w:p>
        <w:pPr>
          <w:pStyle w:val="Style22"/>
          <w:jc w:val="right"/>
          <w:rPr>
            <w:b/>
            <w:b/>
          </w:rPr>
        </w:pPr>
        <w:r>
          <w:rPr>
            <w:b/>
          </w:rPr>
          <w:fldChar w:fldCharType="begin"/>
        </w:r>
        <w:r>
          <w:rPr>
            <w:b/>
          </w:rPr>
          <w:instrText> PAGE </w:instrText>
        </w:r>
        <w:r>
          <w:rPr>
            <w:b/>
          </w:rPr>
          <w:fldChar w:fldCharType="separate"/>
        </w:r>
        <w:r>
          <w:rPr>
            <w:b/>
          </w:rPr>
          <w:t>66</w:t>
        </w:r>
        <w:r>
          <w:rPr>
            <w:b/>
          </w:rPr>
          <w:fldChar w:fldCharType="end"/>
        </w:r>
      </w:p>
    </w:sdtContent>
  </w:sdt>
</w:hdr>
</file>

<file path=word/header3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529596185"/>
    </w:sdtPr>
    <w:sdtContent>
      <w:p>
        <w:pPr>
          <w:pStyle w:val="Style22"/>
          <w:jc w:val="right"/>
          <w:rPr>
            <w:b/>
            <w:b/>
          </w:rPr>
        </w:pPr>
        <w:r>
          <w:rPr>
            <w:b/>
          </w:rPr>
          <w:fldChar w:fldCharType="begin"/>
        </w:r>
        <w:r>
          <w:rPr>
            <w:b/>
          </w:rPr>
          <w:instrText> PAGE </w:instrText>
        </w:r>
        <w:r>
          <w:rPr>
            <w:b/>
          </w:rPr>
          <w:fldChar w:fldCharType="separate"/>
        </w:r>
        <w:r>
          <w:rPr>
            <w:b/>
          </w:rPr>
          <w:t>67</w:t>
        </w:r>
        <w:r>
          <w:rPr>
            <w:b/>
          </w:rPr>
          <w:fldChar w:fldCharType="end"/>
        </w:r>
      </w:p>
    </w:sdtContent>
  </w:sdt>
</w:hdr>
</file>

<file path=word/header3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2034713218"/>
    </w:sdtPr>
    <w:sdtContent>
      <w:p>
        <w:pPr>
          <w:pStyle w:val="Style22"/>
          <w:jc w:val="right"/>
          <w:rPr>
            <w:b/>
            <w:b/>
          </w:rPr>
        </w:pPr>
        <w:r>
          <w:rPr>
            <w:b/>
          </w:rPr>
          <w:fldChar w:fldCharType="begin"/>
        </w:r>
        <w:r>
          <w:rPr>
            <w:b/>
          </w:rPr>
          <w:instrText> PAGE </w:instrText>
        </w:r>
        <w:r>
          <w:rPr>
            <w:b/>
          </w:rPr>
          <w:fldChar w:fldCharType="separate"/>
        </w:r>
        <w:r>
          <w:rPr>
            <w:b/>
          </w:rPr>
          <w:t>69</w:t>
        </w:r>
        <w:r>
          <w:rPr>
            <w:b/>
          </w:rPr>
          <w:fldChar w:fldCharType="end"/>
        </w:r>
      </w:p>
    </w:sdtContent>
  </w:sdt>
</w:hdr>
</file>

<file path=word/header3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262307995"/>
    </w:sdtPr>
    <w:sdtContent>
      <w:p>
        <w:pPr>
          <w:pStyle w:val="Style22"/>
          <w:jc w:val="right"/>
          <w:rPr>
            <w:b/>
            <w:b/>
          </w:rPr>
        </w:pPr>
        <w:r>
          <w:rPr>
            <w:b/>
          </w:rPr>
          <w:fldChar w:fldCharType="begin"/>
        </w:r>
        <w:r>
          <w:rPr>
            <w:b/>
          </w:rPr>
          <w:instrText> PAGE </w:instrText>
        </w:r>
        <w:r>
          <w:rPr>
            <w:b/>
          </w:rPr>
          <w:fldChar w:fldCharType="separate"/>
        </w:r>
        <w:r>
          <w:rPr>
            <w:b/>
          </w:rPr>
          <w:t>71</w:t>
        </w:r>
        <w:r>
          <w:rPr>
            <w:b/>
          </w:rPr>
          <w:fldChar w:fldCharType="end"/>
        </w:r>
      </w:p>
    </w:sdtContent>
  </w:sdt>
</w:hdr>
</file>

<file path=word/header3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229466363"/>
    </w:sdtPr>
    <w:sdtContent>
      <w:p>
        <w:pPr>
          <w:pStyle w:val="Style22"/>
          <w:jc w:val="right"/>
          <w:rPr>
            <w:b/>
            <w:b/>
          </w:rPr>
        </w:pPr>
        <w:r>
          <w:rPr>
            <w:b/>
          </w:rPr>
          <w:fldChar w:fldCharType="begin"/>
        </w:r>
        <w:r>
          <w:rPr>
            <w:b/>
          </w:rPr>
          <w:instrText> PAGE </w:instrText>
        </w:r>
        <w:r>
          <w:rPr>
            <w:b/>
          </w:rPr>
          <w:fldChar w:fldCharType="separate"/>
        </w:r>
        <w:r>
          <w:rPr>
            <w:b/>
          </w:rPr>
          <w:t>72</w:t>
        </w:r>
        <w:r>
          <w:rPr>
            <w:b/>
          </w:rPr>
          <w:fldChar w:fldCharType="end"/>
        </w:r>
      </w:p>
    </w:sdtContent>
  </w:sdt>
</w:hdr>
</file>

<file path=word/header4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591136183"/>
    </w:sdtPr>
    <w:sdtContent>
      <w:p>
        <w:pPr>
          <w:pStyle w:val="Style22"/>
          <w:jc w:val="right"/>
          <w:rPr>
            <w:b/>
            <w:b/>
          </w:rPr>
        </w:pPr>
        <w:r>
          <w:rPr>
            <w:b/>
          </w:rPr>
          <w:fldChar w:fldCharType="begin"/>
        </w:r>
        <w:r>
          <w:rPr>
            <w:b/>
          </w:rPr>
          <w:instrText> PAGE </w:instrText>
        </w:r>
        <w:r>
          <w:rPr>
            <w:b/>
          </w:rPr>
          <w:fldChar w:fldCharType="separate"/>
        </w:r>
        <w:r>
          <w:rPr>
            <w:b/>
          </w:rPr>
          <w:t>74</w:t>
        </w:r>
        <w:r>
          <w:rPr>
            <w:b/>
          </w:rPr>
          <w:fldChar w:fldCharType="end"/>
        </w:r>
      </w:p>
    </w:sdtContent>
  </w:sdt>
</w:hdr>
</file>

<file path=word/header4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hdr>
</file>

<file path=word/header4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333536718"/>
    </w:sdtPr>
    <w:sdtContent>
      <w:p>
        <w:pPr>
          <w:pStyle w:val="Style22"/>
          <w:jc w:val="right"/>
          <w:rPr>
            <w:b/>
            <w:b/>
          </w:rPr>
        </w:pPr>
        <w:r>
          <w:rPr>
            <w:b/>
          </w:rPr>
          <w:fldChar w:fldCharType="begin"/>
        </w:r>
        <w:r>
          <w:rPr>
            <w:b/>
          </w:rPr>
          <w:instrText> PAGE </w:instrText>
        </w:r>
        <w:r>
          <w:rPr>
            <w:b/>
          </w:rPr>
          <w:fldChar w:fldCharType="separate"/>
        </w:r>
        <w:r>
          <w:rPr>
            <w:b/>
          </w:rPr>
          <w:t>77</w:t>
        </w:r>
        <w:r>
          <w:rPr>
            <w:b/>
          </w:rPr>
          <w:fldChar w:fldCharType="end"/>
        </w:r>
      </w:p>
    </w:sdtContent>
  </w:sdt>
</w:hdr>
</file>

<file path=word/header4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hdr>
</file>

<file path=word/header4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hdr>
</file>

<file path=word/header4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833871216"/>
    </w:sdtPr>
    <w:sdtContent>
      <w:p>
        <w:pPr>
          <w:pStyle w:val="Style22"/>
          <w:jc w:val="right"/>
          <w:rPr>
            <w:b/>
            <w:b/>
          </w:rPr>
        </w:pPr>
        <w:r>
          <w:rPr>
            <w:b/>
          </w:rPr>
          <w:fldChar w:fldCharType="begin"/>
        </w:r>
        <w:r>
          <w:rPr>
            <w:b/>
          </w:rPr>
          <w:instrText> PAGE </w:instrText>
        </w:r>
        <w:r>
          <w:rPr>
            <w:b/>
          </w:rPr>
          <w:fldChar w:fldCharType="separate"/>
        </w:r>
        <w:r>
          <w:rPr>
            <w:b/>
          </w:rPr>
          <w:t>82</w:t>
        </w:r>
        <w:r>
          <w:rPr>
            <w:b/>
          </w:rPr>
          <w:fldChar w:fldCharType="end"/>
        </w:r>
      </w:p>
    </w:sdtContent>
  </w:sdt>
</w:hdr>
</file>

<file path=word/header4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2033866470"/>
    </w:sdtPr>
    <w:sdtContent>
      <w:p>
        <w:pPr>
          <w:pStyle w:val="Style22"/>
          <w:jc w:val="right"/>
          <w:rPr>
            <w:b/>
            <w:b/>
          </w:rPr>
        </w:pPr>
        <w:r>
          <w:rPr>
            <w:b/>
          </w:rPr>
          <w:fldChar w:fldCharType="begin"/>
        </w:r>
        <w:r>
          <w:rPr>
            <w:b/>
          </w:rPr>
          <w:instrText> PAGE </w:instrText>
        </w:r>
        <w:r>
          <w:rPr>
            <w:b/>
          </w:rPr>
          <w:fldChar w:fldCharType="separate"/>
        </w:r>
        <w:r>
          <w:rPr>
            <w:b/>
          </w:rPr>
          <w:t>85</w:t>
        </w:r>
        <w:r>
          <w:rPr>
            <w:b/>
          </w:rPr>
          <w:fldChar w:fldCharType="end"/>
        </w:r>
      </w:p>
    </w:sdtContent>
  </w:sdt>
</w:hdr>
</file>

<file path=word/header4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234163708"/>
    </w:sdtPr>
    <w:sdtContent>
      <w:p>
        <w:pPr>
          <w:pStyle w:val="Style22"/>
          <w:jc w:val="right"/>
          <w:rPr>
            <w:b/>
            <w:b/>
          </w:rPr>
        </w:pPr>
        <w:r>
          <w:rPr>
            <w:b/>
          </w:rPr>
          <w:fldChar w:fldCharType="begin"/>
        </w:r>
        <w:r>
          <w:rPr>
            <w:b/>
          </w:rPr>
          <w:instrText> PAGE </w:instrText>
        </w:r>
        <w:r>
          <w:rPr>
            <w:b/>
          </w:rPr>
          <w:fldChar w:fldCharType="separate"/>
        </w:r>
        <w:r>
          <w:rPr>
            <w:b/>
          </w:rPr>
          <w:t>88</w:t>
        </w:r>
        <w:r>
          <w:rPr>
            <w:b/>
          </w:rPr>
          <w:fldChar w:fldCharType="end"/>
        </w:r>
      </w:p>
    </w:sdtContent>
  </w:sdt>
</w:hdr>
</file>

<file path=word/header4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590903946"/>
    </w:sdtPr>
    <w:sdtContent>
      <w:p>
        <w:pPr>
          <w:pStyle w:val="Style22"/>
          <w:jc w:val="right"/>
          <w:rPr>
            <w:b/>
            <w:b/>
          </w:rPr>
        </w:pPr>
        <w:r>
          <w:rPr>
            <w:b/>
          </w:rPr>
          <w:fldChar w:fldCharType="begin"/>
        </w:r>
        <w:r>
          <w:rPr>
            <w:b/>
          </w:rPr>
          <w:instrText> PAGE </w:instrText>
        </w:r>
        <w:r>
          <w:rPr>
            <w:b/>
          </w:rPr>
          <w:fldChar w:fldCharType="separate"/>
        </w:r>
        <w:r>
          <w:rPr>
            <w:b/>
          </w:rPr>
          <w:t>91</w:t>
        </w:r>
        <w:r>
          <w:rPr>
            <w:b/>
          </w:rPr>
          <w:fldChar w:fldCharType="end"/>
        </w:r>
      </w:p>
    </w:sdtContent>
  </w:sdt>
</w:hdr>
</file>

<file path=word/header4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2043138402"/>
    </w:sdtPr>
    <w:sdtContent>
      <w:p>
        <w:pPr>
          <w:pStyle w:val="Style22"/>
          <w:jc w:val="right"/>
          <w:rPr>
            <w:b/>
            <w:b/>
          </w:rPr>
        </w:pPr>
        <w:r>
          <w:rPr>
            <w:b/>
          </w:rPr>
          <w:fldChar w:fldCharType="begin"/>
        </w:r>
        <w:r>
          <w:rPr>
            <w:b/>
          </w:rPr>
          <w:instrText> PAGE </w:instrText>
        </w:r>
        <w:r>
          <w:rPr>
            <w:b/>
          </w:rPr>
          <w:fldChar w:fldCharType="separate"/>
        </w:r>
        <w:r>
          <w:rPr>
            <w:b/>
          </w:rPr>
          <w:t>104</w:t>
        </w:r>
        <w:r>
          <w:rPr>
            <w:b/>
          </w:rPr>
          <w:fldChar w:fldCharType="end"/>
        </w:r>
      </w:p>
    </w:sdtContent>
  </w:sdt>
</w:hdr>
</file>

<file path=word/header5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974949575"/>
    </w:sdtPr>
    <w:sdtContent>
      <w:p>
        <w:pPr>
          <w:pStyle w:val="Style22"/>
          <w:jc w:val="right"/>
          <w:rPr>
            <w:b/>
            <w:b/>
          </w:rPr>
        </w:pPr>
        <w:r>
          <w:rPr>
            <w:b/>
          </w:rPr>
          <w:fldChar w:fldCharType="begin"/>
        </w:r>
        <w:r>
          <w:rPr>
            <w:b/>
          </w:rPr>
          <w:instrText> PAGE </w:instrText>
        </w:r>
        <w:r>
          <w:rPr>
            <w:b/>
          </w:rPr>
          <w:fldChar w:fldCharType="separate"/>
        </w:r>
        <w:r>
          <w:rPr>
            <w:b/>
          </w:rPr>
          <w:t>107</w:t>
        </w:r>
        <w:r>
          <w:rPr>
            <w:b/>
          </w:rPr>
          <w:fldChar w:fldCharType="end"/>
        </w:r>
      </w:p>
    </w:sdtContent>
  </w:sdt>
</w:hdr>
</file>

<file path=word/header5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209176298"/>
    </w:sdtPr>
    <w:sdtContent>
      <w:p>
        <w:pPr>
          <w:pStyle w:val="Style22"/>
          <w:jc w:val="right"/>
          <w:rPr>
            <w:b/>
            <w:b/>
          </w:rPr>
        </w:pPr>
        <w:r>
          <w:rPr>
            <w:b/>
          </w:rPr>
          <w:fldChar w:fldCharType="begin"/>
        </w:r>
        <w:r>
          <w:rPr>
            <w:b/>
          </w:rPr>
          <w:instrText> PAGE </w:instrText>
        </w:r>
        <w:r>
          <w:rPr>
            <w:b/>
          </w:rPr>
          <w:fldChar w:fldCharType="separate"/>
        </w:r>
        <w:r>
          <w:rPr>
            <w:b/>
          </w:rPr>
          <w:t>110</w:t>
        </w:r>
        <w:r>
          <w:rPr>
            <w:b/>
          </w:rPr>
          <w:fldChar w:fldCharType="end"/>
        </w:r>
      </w:p>
    </w:sdtContent>
  </w:sdt>
</w:hdr>
</file>

<file path=word/header5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994767470"/>
    </w:sdtPr>
    <w:sdtContent>
      <w:p>
        <w:pPr>
          <w:pStyle w:val="Style22"/>
          <w:jc w:val="right"/>
          <w:rPr>
            <w:b/>
            <w:b/>
          </w:rPr>
        </w:pPr>
        <w:r>
          <w:rPr>
            <w:b/>
          </w:rPr>
          <w:fldChar w:fldCharType="begin"/>
        </w:r>
        <w:r>
          <w:rPr>
            <w:b/>
          </w:rPr>
          <w:instrText> PAGE </w:instrText>
        </w:r>
        <w:r>
          <w:rPr>
            <w:b/>
          </w:rPr>
          <w:fldChar w:fldCharType="separate"/>
        </w:r>
        <w:r>
          <w:rPr>
            <w:b/>
          </w:rPr>
          <w:t>111</w:t>
        </w:r>
        <w:r>
          <w:rPr>
            <w:b/>
          </w:rPr>
          <w:fldChar w:fldCharType="end"/>
        </w:r>
      </w:p>
    </w:sdtContent>
  </w:sdt>
</w:hdr>
</file>

<file path=word/header5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340826617"/>
    </w:sdtPr>
    <w:sdtContent>
      <w:p>
        <w:pPr>
          <w:pStyle w:val="Style22"/>
          <w:jc w:val="right"/>
          <w:rPr>
            <w:b/>
            <w:b/>
          </w:rPr>
        </w:pPr>
        <w:r>
          <w:rPr>
            <w:b/>
          </w:rPr>
          <w:fldChar w:fldCharType="begin"/>
        </w:r>
        <w:r>
          <w:rPr>
            <w:b/>
          </w:rPr>
          <w:instrText> PAGE </w:instrText>
        </w:r>
        <w:r>
          <w:rPr>
            <w:b/>
          </w:rPr>
          <w:fldChar w:fldCharType="separate"/>
        </w:r>
        <w:r>
          <w:rPr>
            <w:b/>
          </w:rPr>
          <w:t>114</w:t>
        </w:r>
        <w:r>
          <w:rPr>
            <w:b/>
          </w:rPr>
          <w:fldChar w:fldCharType="end"/>
        </w:r>
      </w:p>
    </w:sdtContent>
  </w:sdt>
</w:hdr>
</file>

<file path=word/header5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847184153"/>
    </w:sdtPr>
    <w:sdtContent>
      <w:p>
        <w:pPr>
          <w:pStyle w:val="Style22"/>
          <w:jc w:val="right"/>
          <w:rPr>
            <w:b/>
            <w:b/>
          </w:rPr>
        </w:pPr>
        <w:r>
          <w:rPr>
            <w:b/>
          </w:rPr>
          <w:fldChar w:fldCharType="begin"/>
        </w:r>
        <w:r>
          <w:rPr>
            <w:b/>
          </w:rPr>
          <w:instrText> PAGE </w:instrText>
        </w:r>
        <w:r>
          <w:rPr>
            <w:b/>
          </w:rPr>
          <w:fldChar w:fldCharType="separate"/>
        </w:r>
        <w:r>
          <w:rPr>
            <w:b/>
          </w:rPr>
          <w:t>125</w:t>
        </w:r>
        <w:r>
          <w:rPr>
            <w:b/>
          </w:rPr>
          <w:fldChar w:fldCharType="end"/>
        </w:r>
      </w:p>
    </w:sdtContent>
  </w:sdt>
</w:hdr>
</file>

<file path=word/header5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14770501"/>
    </w:sdtPr>
    <w:sdtContent>
      <w:p>
        <w:pPr>
          <w:pStyle w:val="Style22"/>
          <w:jc w:val="right"/>
          <w:rPr>
            <w:b/>
            <w:b/>
          </w:rPr>
        </w:pPr>
        <w:r>
          <w:rPr>
            <w:b/>
          </w:rPr>
          <w:fldChar w:fldCharType="begin"/>
        </w:r>
        <w:r>
          <w:rPr>
            <w:b/>
          </w:rPr>
          <w:instrText> PAGE </w:instrText>
        </w:r>
        <w:r>
          <w:rPr>
            <w:b/>
          </w:rPr>
          <w:fldChar w:fldCharType="separate"/>
        </w:r>
        <w:r>
          <w:rPr>
            <w:b/>
          </w:rPr>
          <w:t>144</w:t>
        </w:r>
        <w:r>
          <w:rPr>
            <w:b/>
          </w:rPr>
          <w:fldChar w:fldCharType="end"/>
        </w:r>
      </w:p>
    </w:sdtContent>
  </w:sdt>
</w:hdr>
</file>

<file path=word/header5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Top of Page)"/>
        <w:docPartUnique w:val="true"/>
      </w:docPartObj>
      <w:id w:val="1480751696"/>
    </w:sdtPr>
    <w:sdtContent>
      <w:p>
        <w:pPr>
          <w:pStyle w:val="Style22"/>
          <w:jc w:val="right"/>
          <w:rPr>
            <w:b/>
            <w:b/>
          </w:rPr>
        </w:pPr>
        <w:r>
          <w:rPr>
            <w:b/>
          </w:rPr>
          <w:fldChar w:fldCharType="begin"/>
        </w:r>
        <w:r>
          <w:rPr>
            <w:b/>
          </w:rPr>
          <w:instrText> PAGE </w:instrText>
        </w:r>
        <w:r>
          <w:rPr>
            <w:b/>
          </w:rPr>
          <w:fldChar w:fldCharType="separate"/>
        </w:r>
        <w:r>
          <w:rPr>
            <w:b/>
          </w:rPr>
          <w:t>147</w:t>
        </w:r>
        <w:r>
          <w:rPr>
            <w:b/>
          </w:rPr>
          <w:fldChar w:fldCharType="end"/>
        </w:r>
      </w:p>
    </w:sdtContent>
  </w:sdt>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ind w:left="1429" w:hanging="360"/>
      </w:pPr>
      <w:rPr>
        <w:rFonts w:ascii="Courier New" w:hAnsi="Courier New" w:cs="Courier New" w:hint="default"/>
      </w:r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2">
    <w:lvl w:ilvl="0">
      <w:start w:val="1"/>
      <w:numFmt w:val="bullet"/>
      <w:lvlText w:val=""/>
      <w:lvlJc w:val="left"/>
      <w:pPr>
        <w:tabs>
          <w:tab w:val="num" w:pos="363"/>
        </w:tabs>
        <w:ind w:left="363" w:hanging="363"/>
      </w:pPr>
      <w:rPr>
        <w:rFonts w:ascii="Symbol" w:hAnsi="Symbol" w:cs="Symbol" w:hint="default"/>
      </w:rPr>
    </w:lvl>
    <w:lvl w:ilvl="1">
      <w:start w:val="1"/>
      <w:numFmt w:val="bullet"/>
      <w:lvlText w:val="o"/>
      <w:lvlJc w:val="left"/>
      <w:pPr>
        <w:tabs>
          <w:tab w:val="num" w:pos="1080"/>
        </w:tabs>
        <w:ind w:left="1080" w:hanging="360"/>
      </w:pPr>
      <w:rPr>
        <w:rFonts w:ascii="Courier New" w:hAnsi="Courier New" w:cs="Courier New" w:hint="default"/>
        <w:rFonts w:cs="Courier New"/>
      </w:rPr>
    </w:lvl>
    <w:lvl w:ilvl="2">
      <w:start w:val="1"/>
      <w:numFmt w:val="bullet"/>
      <w:lvlText w:val=""/>
      <w:lvlJc w:val="left"/>
      <w:pPr>
        <w:tabs>
          <w:tab w:val="num" w:pos="1800"/>
        </w:tabs>
        <w:ind w:left="1800" w:hanging="360"/>
      </w:pPr>
      <w:rPr>
        <w:rFonts w:ascii="Wingdings" w:hAnsi="Wingdings" w:cs="Wingdings" w:hint="default"/>
      </w:rPr>
    </w:lvl>
    <w:lvl w:ilvl="3">
      <w:start w:val="1"/>
      <w:numFmt w:val="bullet"/>
      <w:lvlText w:val=""/>
      <w:lvlJc w:val="left"/>
      <w:pPr>
        <w:tabs>
          <w:tab w:val="num" w:pos="2520"/>
        </w:tabs>
        <w:ind w:left="2520" w:hanging="360"/>
      </w:pPr>
      <w:rPr>
        <w:rFonts w:ascii="Symbol" w:hAnsi="Symbol" w:cs="Symbol" w:hint="default"/>
      </w:rPr>
    </w:lvl>
    <w:lvl w:ilvl="4">
      <w:start w:val="1"/>
      <w:numFmt w:val="bullet"/>
      <w:lvlText w:val="o"/>
      <w:lvlJc w:val="left"/>
      <w:pPr>
        <w:tabs>
          <w:tab w:val="num" w:pos="3240"/>
        </w:tabs>
        <w:ind w:left="3240" w:hanging="360"/>
      </w:pPr>
      <w:rPr>
        <w:rFonts w:ascii="Courier New" w:hAnsi="Courier New" w:cs="Courier New" w:hint="default"/>
        <w:rFonts w:cs="Courier New"/>
      </w:rPr>
    </w:lvl>
    <w:lvl w:ilvl="5">
      <w:start w:val="1"/>
      <w:numFmt w:val="bullet"/>
      <w:lvlText w:val=""/>
      <w:lvlJc w:val="left"/>
      <w:pPr>
        <w:tabs>
          <w:tab w:val="num" w:pos="3960"/>
        </w:tabs>
        <w:ind w:left="3960" w:hanging="360"/>
      </w:pPr>
      <w:rPr>
        <w:rFonts w:ascii="Wingdings" w:hAnsi="Wingdings" w:cs="Wingdings" w:hint="default"/>
      </w:rPr>
    </w:lvl>
    <w:lvl w:ilvl="6">
      <w:start w:val="1"/>
      <w:numFmt w:val="bullet"/>
      <w:lvlText w:val=""/>
      <w:lvlJc w:val="left"/>
      <w:pPr>
        <w:tabs>
          <w:tab w:val="num" w:pos="4680"/>
        </w:tabs>
        <w:ind w:left="4680" w:hanging="360"/>
      </w:pPr>
      <w:rPr>
        <w:rFonts w:ascii="Symbol" w:hAnsi="Symbol" w:cs="Symbol" w:hint="default"/>
      </w:rPr>
    </w:lvl>
    <w:lvl w:ilvl="7">
      <w:start w:val="1"/>
      <w:numFmt w:val="bullet"/>
      <w:lvlText w:val="o"/>
      <w:lvlJc w:val="left"/>
      <w:pPr>
        <w:tabs>
          <w:tab w:val="num" w:pos="5400"/>
        </w:tabs>
        <w:ind w:left="5400" w:hanging="360"/>
      </w:pPr>
      <w:rPr>
        <w:rFonts w:ascii="Courier New" w:hAnsi="Courier New" w:cs="Courier New" w:hint="default"/>
        <w:rFonts w:cs="Courier New"/>
      </w:rPr>
    </w:lvl>
    <w:lvl w:ilvl="8">
      <w:start w:val="1"/>
      <w:numFmt w:val="bullet"/>
      <w:lvlText w:val=""/>
      <w:lvlJc w:val="left"/>
      <w:pPr>
        <w:tabs>
          <w:tab w:val="num" w:pos="6120"/>
        </w:tabs>
        <w:ind w:left="6120" w:hanging="360"/>
      </w:pPr>
      <w:rPr>
        <w:rFonts w:ascii="Wingdings" w:hAnsi="Wingdings" w:cs="Wingdings" w:hint="default"/>
      </w:rPr>
    </w:lvl>
  </w:abstractNum>
  <w:abstractNum w:abstractNumId="3">
    <w:lvl w:ilvl="0">
      <w:start w:val="2"/>
      <w:numFmt w:val="decimal"/>
      <w:lvlText w:val="%1"/>
      <w:lvlJc w:val="left"/>
      <w:pPr>
        <w:ind w:left="360" w:hanging="360"/>
      </w:pPr>
    </w:lvl>
    <w:lvl w:ilvl="1">
      <w:start w:val="3"/>
      <w:numFmt w:val="decimal"/>
      <w:lvlText w:val="%1.%2"/>
      <w:lvlJc w:val="left"/>
      <w:pPr>
        <w:ind w:left="1069" w:hanging="360"/>
      </w:pPr>
    </w:lvl>
    <w:lvl w:ilvl="2">
      <w:start w:val="1"/>
      <w:numFmt w:val="decimal"/>
      <w:lvlText w:val="%1.%2.%3"/>
      <w:lvlJc w:val="left"/>
      <w:pPr>
        <w:ind w:left="2138" w:hanging="720"/>
      </w:pPr>
    </w:lvl>
    <w:lvl w:ilvl="3">
      <w:start w:val="1"/>
      <w:numFmt w:val="decimal"/>
      <w:lvlText w:val="%1.%2.%3.%4"/>
      <w:lvlJc w:val="left"/>
      <w:pPr>
        <w:ind w:left="2847" w:hanging="720"/>
      </w:pPr>
    </w:lvl>
    <w:lvl w:ilvl="4">
      <w:start w:val="1"/>
      <w:numFmt w:val="decimal"/>
      <w:lvlText w:val="%1.%2.%3.%4.%5"/>
      <w:lvlJc w:val="left"/>
      <w:pPr>
        <w:ind w:left="3916" w:hanging="1080"/>
      </w:pPr>
    </w:lvl>
    <w:lvl w:ilvl="5">
      <w:start w:val="1"/>
      <w:numFmt w:val="decimal"/>
      <w:lvlText w:val="%1.%2.%3.%4.%5.%6"/>
      <w:lvlJc w:val="left"/>
      <w:pPr>
        <w:ind w:left="4625" w:hanging="1080"/>
      </w:pPr>
    </w:lvl>
    <w:lvl w:ilvl="6">
      <w:start w:val="1"/>
      <w:numFmt w:val="decimal"/>
      <w:lvlText w:val="%1.%2.%3.%4.%5.%6.%7"/>
      <w:lvlJc w:val="left"/>
      <w:pPr>
        <w:ind w:left="5694" w:hanging="1440"/>
      </w:pPr>
    </w:lvl>
    <w:lvl w:ilvl="7">
      <w:start w:val="1"/>
      <w:numFmt w:val="decimal"/>
      <w:lvlText w:val="%1.%2.%3.%4.%5.%6.%7.%8"/>
      <w:lvlJc w:val="left"/>
      <w:pPr>
        <w:ind w:left="6403" w:hanging="1440"/>
      </w:pPr>
    </w:lvl>
    <w:lvl w:ilvl="8">
      <w:start w:val="1"/>
      <w:numFmt w:val="decimal"/>
      <w:lvlText w:val="%1.%2.%3.%4.%5.%6.%7.%8.%9"/>
      <w:lvlJc w:val="left"/>
      <w:pPr>
        <w:ind w:left="7112" w:hanging="1440"/>
      </w:pPr>
    </w:lvl>
  </w:abstractNum>
  <w:abstractNum w:abstractNumId="4">
    <w:lvl w:ilvl="0">
      <w:start w:val="1"/>
      <w:numFmt w:val="decimal"/>
      <w:lvlText w:val="%1"/>
      <w:lvlJc w:val="left"/>
      <w:pPr>
        <w:ind w:left="502"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lvl w:ilvl="0">
      <w:start w:val="1"/>
      <w:numFmt w:val="bullet"/>
      <w:lvlText w:val="–"/>
      <w:lvlJc w:val="left"/>
      <w:pPr>
        <w:ind w:left="1429" w:hanging="360"/>
      </w:pPr>
      <w:rPr>
        <w:rFonts w:ascii="Times New Roman" w:hAnsi="Times New Roman" w:cs="Times New Roman" w:hint="default"/>
        <w:rFonts w:cs="Times New Roman"/>
        <w:color w:val="auto"/>
      </w:r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6">
    <w:lvl w:ilvl="0">
      <w:start w:val="1"/>
      <w:numFmt w:val="bullet"/>
      <w:lvlText w:val=""/>
      <w:lvlJc w:val="left"/>
      <w:pPr>
        <w:ind w:left="1429" w:hanging="360"/>
      </w:pPr>
      <w:rPr>
        <w:rFonts w:ascii="Symbol" w:hAnsi="Symbol" w:cs="Symbol" w:hint="default"/>
      </w:r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Symbol" w:hAnsi="Symbol" w:cs="Symbol"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7">
    <w:lvl w:ilvl="0">
      <w:start w:val="65535"/>
      <w:numFmt w:val="bullet"/>
      <w:lvlText w:val="–"/>
      <w:lvlJc w:val="left"/>
      <w:pPr>
        <w:ind w:left="1429" w:hanging="360"/>
      </w:pPr>
      <w:rPr>
        <w:rFonts w:ascii="Times New Roman" w:hAnsi="Times New Roman" w:cs="Times New Roman" w:hint="default"/>
        <w:rFonts w:cs="Times New Roman"/>
      </w:r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9">
    <w:lvl w:ilvl="0">
      <w:start w:val="1"/>
      <w:numFmt w:val="bullet"/>
      <w:lvlText w:val=""/>
      <w:lvlJc w:val="left"/>
      <w:pPr>
        <w:ind w:left="1429" w:hanging="360"/>
      </w:pPr>
      <w:rPr>
        <w:rFonts w:ascii="Symbol" w:hAnsi="Symbol" w:cs="Symbol" w:hint="default"/>
      </w:r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10">
    <w:lvl w:ilvl="0">
      <w:start w:val="1"/>
      <w:numFmt w:val="bullet"/>
      <w:lvlText w:val=""/>
      <w:lvlJc w:val="left"/>
      <w:pPr>
        <w:ind w:left="1429" w:hanging="360"/>
      </w:pPr>
      <w:rPr>
        <w:rFonts w:ascii="Symbol" w:hAnsi="Symbol" w:cs="Symbol" w:hint="default"/>
      </w:r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11">
    <w:lvl w:ilvl="0">
      <w:start w:val="1"/>
      <w:numFmt w:val="bullet"/>
      <w:lvlText w:val=""/>
      <w:lvlJc w:val="left"/>
      <w:pPr>
        <w:ind w:left="785" w:hanging="360"/>
      </w:pPr>
      <w:rPr>
        <w:rFonts w:ascii="Symbol" w:hAnsi="Symbol" w:cs="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2">
    <w:lvl w:ilvl="0">
      <w:start w:val="1"/>
      <w:numFmt w:val="decimal"/>
      <w:lvlText w:val="%1"/>
      <w:lvlJc w:val="left"/>
      <w:pPr>
        <w:ind w:left="-57" w:firstLine="57"/>
      </w:pPr>
    </w:lvl>
    <w:lvl w:ilvl="1">
      <w:start w:val="1"/>
      <w:numFmt w:val="lowerLetter"/>
      <w:lvlText w:val="%2."/>
      <w:lvlJc w:val="left"/>
      <w:pPr>
        <w:ind w:left="1383" w:hanging="360"/>
      </w:pPr>
    </w:lvl>
    <w:lvl w:ilvl="2">
      <w:start w:val="1"/>
      <w:numFmt w:val="lowerRoman"/>
      <w:lvlText w:val="%3."/>
      <w:lvlJc w:val="right"/>
      <w:pPr>
        <w:ind w:left="2103" w:hanging="180"/>
      </w:pPr>
    </w:lvl>
    <w:lvl w:ilvl="3">
      <w:start w:val="1"/>
      <w:numFmt w:val="decimal"/>
      <w:lvlText w:val="%4."/>
      <w:lvlJc w:val="left"/>
      <w:pPr>
        <w:ind w:left="2823" w:hanging="360"/>
      </w:pPr>
    </w:lvl>
    <w:lvl w:ilvl="4">
      <w:start w:val="1"/>
      <w:numFmt w:val="lowerLetter"/>
      <w:lvlText w:val="%5."/>
      <w:lvlJc w:val="left"/>
      <w:pPr>
        <w:ind w:left="3543" w:hanging="360"/>
      </w:pPr>
    </w:lvl>
    <w:lvl w:ilvl="5">
      <w:start w:val="1"/>
      <w:numFmt w:val="lowerRoman"/>
      <w:lvlText w:val="%6."/>
      <w:lvlJc w:val="right"/>
      <w:pPr>
        <w:ind w:left="4263" w:hanging="180"/>
      </w:pPr>
    </w:lvl>
    <w:lvl w:ilvl="6">
      <w:start w:val="1"/>
      <w:numFmt w:val="decimal"/>
      <w:lvlText w:val="%7."/>
      <w:lvlJc w:val="left"/>
      <w:pPr>
        <w:ind w:left="4983" w:hanging="360"/>
      </w:pPr>
    </w:lvl>
    <w:lvl w:ilvl="7">
      <w:start w:val="1"/>
      <w:numFmt w:val="lowerLetter"/>
      <w:lvlText w:val="%8."/>
      <w:lvlJc w:val="left"/>
      <w:pPr>
        <w:ind w:left="5703" w:hanging="360"/>
      </w:pPr>
    </w:lvl>
    <w:lvl w:ilvl="8">
      <w:start w:val="1"/>
      <w:numFmt w:val="lowerRoman"/>
      <w:lvlText w:val="%9."/>
      <w:lvlJc w:val="right"/>
      <w:pPr>
        <w:ind w:left="6423" w:hanging="180"/>
      </w:pPr>
    </w:lvl>
  </w:abstractNum>
  <w:abstractNum w:abstractNumId="13">
    <w:lvl w:ilvl="0">
      <w:start w:val="65535"/>
      <w:numFmt w:val="bullet"/>
      <w:lvlText w:val="–"/>
      <w:lvlJc w:val="left"/>
      <w:pPr>
        <w:ind w:left="1429" w:hanging="360"/>
      </w:pPr>
      <w:rPr>
        <w:rFonts w:ascii="Times New Roman" w:hAnsi="Times New Roman" w:cs="Times New Roman" w:hint="default"/>
        <w:rFonts w:cs="Times New Roman"/>
      </w:r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14">
    <w:lvl w:ilvl="0">
      <w:start w:val="65535"/>
      <w:numFmt w:val="bullet"/>
      <w:lvlText w:val="‒"/>
      <w:lvlJc w:val="left"/>
      <w:pPr>
        <w:ind w:left="1429" w:hanging="360"/>
      </w:pPr>
      <w:rPr>
        <w:rFonts w:ascii="Times New Roman" w:hAnsi="Times New Roman" w:cs="Times New Roman" w:hint="default"/>
        <w:vertAlign w:val="baseline"/>
        <w:position w:val="0"/>
        <w:sz w:val="24"/>
        <w:rFonts w:cs="Times New Roman"/>
        <w:color w:val="auto"/>
      </w:r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15">
    <w:lvl w:ilvl="0">
      <w:start w:val="1"/>
      <w:numFmt w:val="bullet"/>
      <w:lvlText w:val=""/>
      <w:lvlJc w:val="left"/>
      <w:pPr>
        <w:ind w:left="1429" w:hanging="360"/>
      </w:pPr>
      <w:rPr>
        <w:rFonts w:ascii="Symbol" w:hAnsi="Symbol" w:cs="Symbol" w:hint="default"/>
      </w:r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16">
    <w:lvl w:ilvl="0">
      <w:start w:val="1"/>
      <w:numFmt w:val="bullet"/>
      <w:lvlText w:val=""/>
      <w:lvlJc w:val="left"/>
      <w:pPr>
        <w:ind w:left="1429" w:hanging="360"/>
      </w:pPr>
      <w:rPr>
        <w:rFonts w:ascii="Symbol" w:hAnsi="Symbol" w:cs="Symbol" w:hint="default"/>
      </w:r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17">
    <w:lvl w:ilvl="0">
      <w:start w:val="8"/>
      <w:numFmt w:val="decimal"/>
      <w:lvlText w:val="%1"/>
      <w:lvlJc w:val="left"/>
      <w:pPr>
        <w:ind w:left="360" w:hanging="360"/>
      </w:pPr>
    </w:lvl>
    <w:lvl w:ilvl="1">
      <w:start w:val="4"/>
      <w:numFmt w:val="decimal"/>
      <w:lvlText w:val="%1.%2"/>
      <w:lvlJc w:val="left"/>
      <w:pPr>
        <w:ind w:left="587" w:hanging="360"/>
      </w:pPr>
    </w:lvl>
    <w:lvl w:ilvl="2">
      <w:start w:val="1"/>
      <w:numFmt w:val="decimal"/>
      <w:lvlText w:val="%1.%2.%3"/>
      <w:lvlJc w:val="left"/>
      <w:pPr>
        <w:ind w:left="1174" w:hanging="720"/>
      </w:pPr>
    </w:lvl>
    <w:lvl w:ilvl="3">
      <w:start w:val="1"/>
      <w:numFmt w:val="decimal"/>
      <w:lvlText w:val="%1.%2.%3.%4"/>
      <w:lvlJc w:val="left"/>
      <w:pPr>
        <w:ind w:left="1401" w:hanging="720"/>
      </w:pPr>
    </w:lvl>
    <w:lvl w:ilvl="4">
      <w:start w:val="1"/>
      <w:numFmt w:val="decimal"/>
      <w:lvlText w:val="%1.%2.%3.%4.%5"/>
      <w:lvlJc w:val="left"/>
      <w:pPr>
        <w:ind w:left="1988" w:hanging="1080"/>
      </w:pPr>
    </w:lvl>
    <w:lvl w:ilvl="5">
      <w:start w:val="1"/>
      <w:numFmt w:val="decimal"/>
      <w:lvlText w:val="%1.%2.%3.%4.%5.%6"/>
      <w:lvlJc w:val="left"/>
      <w:pPr>
        <w:ind w:left="2215" w:hanging="1080"/>
      </w:pPr>
    </w:lvl>
    <w:lvl w:ilvl="6">
      <w:start w:val="1"/>
      <w:numFmt w:val="decimal"/>
      <w:lvlText w:val="%1.%2.%3.%4.%5.%6.%7"/>
      <w:lvlJc w:val="left"/>
      <w:pPr>
        <w:ind w:left="2802" w:hanging="1440"/>
      </w:pPr>
    </w:lvl>
    <w:lvl w:ilvl="7">
      <w:start w:val="1"/>
      <w:numFmt w:val="decimal"/>
      <w:lvlText w:val="%1.%2.%3.%4.%5.%6.%7.%8"/>
      <w:lvlJc w:val="left"/>
      <w:pPr>
        <w:ind w:left="3029" w:hanging="1440"/>
      </w:pPr>
    </w:lvl>
    <w:lvl w:ilvl="8">
      <w:start w:val="1"/>
      <w:numFmt w:val="decimal"/>
      <w:lvlText w:val="%1.%2.%3.%4.%5.%6.%7.%8.%9"/>
      <w:lvlJc w:val="left"/>
      <w:pPr>
        <w:ind w:left="3616" w:hanging="1800"/>
      </w:pPr>
    </w:lvl>
  </w:abstractNum>
  <w:abstractNum w:abstractNumId="1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19">
    <w:lvl w:ilvl="0">
      <w:start w:val="1"/>
      <w:numFmt w:val="decimal"/>
      <w:lvlText w:val="%1"/>
      <w:lvlJc w:val="right"/>
      <w:pPr>
        <w:ind w:left="1429" w:hanging="360"/>
      </w:p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20">
    <w:lvl w:ilvl="0">
      <w:start w:val="1"/>
      <w:numFmt w:val="decimal"/>
      <w:lvlText w:val="%1"/>
      <w:lvlJc w:val="center"/>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lvl w:ilvl="0">
      <w:start w:val="65535"/>
      <w:numFmt w:val="bullet"/>
      <w:lvlText w:val="–"/>
      <w:lvlJc w:val="left"/>
      <w:pPr>
        <w:ind w:left="1212" w:hanging="360"/>
      </w:pPr>
      <w:rPr>
        <w:rFonts w:ascii="Times New Roman" w:hAnsi="Times New Roman" w:cs="Times New Roman" w:hint="default"/>
        <w:rFonts w:cs="Times New Roman"/>
      </w:rPr>
    </w:lvl>
    <w:lvl w:ilvl="1">
      <w:start w:val="1"/>
      <w:numFmt w:val="bullet"/>
      <w:lvlText w:val="o"/>
      <w:lvlJc w:val="left"/>
      <w:pPr>
        <w:ind w:left="1932" w:hanging="360"/>
      </w:pPr>
      <w:rPr>
        <w:rFonts w:ascii="Courier New" w:hAnsi="Courier New" w:cs="Courier New" w:hint="default"/>
        <w:rFonts w:cs="Courier New"/>
      </w:rPr>
    </w:lvl>
    <w:lvl w:ilvl="2">
      <w:start w:val="1"/>
      <w:numFmt w:val="bullet"/>
      <w:lvlText w:val=""/>
      <w:lvlJc w:val="left"/>
      <w:pPr>
        <w:ind w:left="2652" w:hanging="360"/>
      </w:pPr>
      <w:rPr>
        <w:rFonts w:ascii="Wingdings" w:hAnsi="Wingdings" w:cs="Wingdings" w:hint="default"/>
      </w:rPr>
    </w:lvl>
    <w:lvl w:ilvl="3">
      <w:start w:val="1"/>
      <w:numFmt w:val="bullet"/>
      <w:lvlText w:val=""/>
      <w:lvlJc w:val="left"/>
      <w:pPr>
        <w:ind w:left="3372" w:hanging="360"/>
      </w:pPr>
      <w:rPr>
        <w:rFonts w:ascii="Symbol" w:hAnsi="Symbol" w:cs="Symbol" w:hint="default"/>
      </w:rPr>
    </w:lvl>
    <w:lvl w:ilvl="4">
      <w:start w:val="1"/>
      <w:numFmt w:val="bullet"/>
      <w:lvlText w:val="o"/>
      <w:lvlJc w:val="left"/>
      <w:pPr>
        <w:ind w:left="4092" w:hanging="360"/>
      </w:pPr>
      <w:rPr>
        <w:rFonts w:ascii="Courier New" w:hAnsi="Courier New" w:cs="Courier New" w:hint="default"/>
        <w:rFonts w:cs="Courier New"/>
      </w:rPr>
    </w:lvl>
    <w:lvl w:ilvl="5">
      <w:start w:val="1"/>
      <w:numFmt w:val="bullet"/>
      <w:lvlText w:val=""/>
      <w:lvlJc w:val="left"/>
      <w:pPr>
        <w:ind w:left="4812" w:hanging="360"/>
      </w:pPr>
      <w:rPr>
        <w:rFonts w:ascii="Wingdings" w:hAnsi="Wingdings" w:cs="Wingdings" w:hint="default"/>
      </w:rPr>
    </w:lvl>
    <w:lvl w:ilvl="6">
      <w:start w:val="1"/>
      <w:numFmt w:val="bullet"/>
      <w:lvlText w:val=""/>
      <w:lvlJc w:val="left"/>
      <w:pPr>
        <w:ind w:left="5532" w:hanging="360"/>
      </w:pPr>
      <w:rPr>
        <w:rFonts w:ascii="Symbol" w:hAnsi="Symbol" w:cs="Symbol" w:hint="default"/>
      </w:rPr>
    </w:lvl>
    <w:lvl w:ilvl="7">
      <w:start w:val="1"/>
      <w:numFmt w:val="bullet"/>
      <w:lvlText w:val="o"/>
      <w:lvlJc w:val="left"/>
      <w:pPr>
        <w:ind w:left="6252" w:hanging="360"/>
      </w:pPr>
      <w:rPr>
        <w:rFonts w:ascii="Courier New" w:hAnsi="Courier New" w:cs="Courier New" w:hint="default"/>
        <w:rFonts w:cs="Courier New"/>
      </w:rPr>
    </w:lvl>
    <w:lvl w:ilvl="8">
      <w:start w:val="1"/>
      <w:numFmt w:val="bullet"/>
      <w:lvlText w:val=""/>
      <w:lvlJc w:val="left"/>
      <w:pPr>
        <w:ind w:left="6972" w:hanging="360"/>
      </w:pPr>
      <w:rPr>
        <w:rFonts w:ascii="Wingdings" w:hAnsi="Wingdings" w:cs="Wingdings" w:hint="default"/>
      </w:rPr>
    </w:lvl>
  </w:abstractNum>
  <w:abstractNum w:abstractNumId="22">
    <w:lvl w:ilvl="0">
      <w:start w:val="1"/>
      <w:numFmt w:val="decimal"/>
      <w:suff w:val="nothing"/>
      <w:lvlText w:val="%1"/>
      <w:lvlJc w:val="left"/>
      <w:pPr>
        <w:ind w:left="113" w:firstLine="29"/>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
    <w:lvl w:ilvl="0">
      <w:start w:val="1"/>
      <w:numFmt w:val="decimal"/>
      <w:suff w:val="nothing"/>
      <w:lvlText w:val="%1"/>
      <w:lvlJc w:val="left"/>
      <w:pPr>
        <w:ind w:left="142" w:hanging="0"/>
      </w:p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4">
    <w:lvl w:ilvl="0">
      <w:start w:val="1"/>
      <w:numFmt w:val="decimal"/>
      <w:suff w:val="nothing"/>
      <w:lvlText w:val="%1"/>
      <w:lvlJc w:val="left"/>
      <w:pPr>
        <w:ind w:left="284" w:hanging="0"/>
      </w:pPr>
    </w:lvl>
    <w:lvl w:ilvl="1">
      <w:start w:val="1"/>
      <w:numFmt w:val="lowerLetter"/>
      <w:lvlText w:val="%2."/>
      <w:lvlJc w:val="left"/>
      <w:pPr>
        <w:ind w:left="1222" w:hanging="360"/>
      </w:pPr>
    </w:lvl>
    <w:lvl w:ilvl="2">
      <w:start w:val="1"/>
      <w:numFmt w:val="lowerRoman"/>
      <w:lvlText w:val="%3."/>
      <w:lvlJc w:val="right"/>
      <w:pPr>
        <w:ind w:left="1942" w:hanging="180"/>
      </w:pPr>
    </w:lvl>
    <w:lvl w:ilvl="3">
      <w:start w:val="1"/>
      <w:numFmt w:val="decimal"/>
      <w:lvlText w:val="%4."/>
      <w:lvlJc w:val="left"/>
      <w:pPr>
        <w:ind w:left="2662" w:hanging="360"/>
      </w:pPr>
    </w:lvl>
    <w:lvl w:ilvl="4">
      <w:start w:val="1"/>
      <w:numFmt w:val="lowerLetter"/>
      <w:lvlText w:val="%5."/>
      <w:lvlJc w:val="left"/>
      <w:pPr>
        <w:ind w:left="3382" w:hanging="360"/>
      </w:pPr>
    </w:lvl>
    <w:lvl w:ilvl="5">
      <w:start w:val="1"/>
      <w:numFmt w:val="lowerRoman"/>
      <w:lvlText w:val="%6."/>
      <w:lvlJc w:val="right"/>
      <w:pPr>
        <w:ind w:left="4102" w:hanging="180"/>
      </w:pPr>
    </w:lvl>
    <w:lvl w:ilvl="6">
      <w:start w:val="1"/>
      <w:numFmt w:val="decimal"/>
      <w:lvlText w:val="%7."/>
      <w:lvlJc w:val="left"/>
      <w:pPr>
        <w:ind w:left="4822" w:hanging="360"/>
      </w:pPr>
    </w:lvl>
    <w:lvl w:ilvl="7">
      <w:start w:val="1"/>
      <w:numFmt w:val="lowerLetter"/>
      <w:lvlText w:val="%8."/>
      <w:lvlJc w:val="left"/>
      <w:pPr>
        <w:ind w:left="5542" w:hanging="360"/>
      </w:pPr>
    </w:lvl>
    <w:lvl w:ilvl="8">
      <w:start w:val="1"/>
      <w:numFmt w:val="lowerRoman"/>
      <w:lvlText w:val="%9."/>
      <w:lvlJc w:val="right"/>
      <w:pPr>
        <w:ind w:left="6262" w:hanging="180"/>
      </w:pPr>
    </w:lvl>
  </w:abstractNum>
  <w:abstractNum w:abstractNumId="25">
    <w:lvl w:ilvl="0">
      <w:start w:val="1"/>
      <w:numFmt w:val="bullet"/>
      <w:lvlText w:val=""/>
      <w:lvlJc w:val="left"/>
      <w:pPr>
        <w:ind w:left="1429" w:hanging="360"/>
      </w:pPr>
      <w:rPr>
        <w:rFonts w:ascii="Symbol" w:hAnsi="Symbol" w:cs="Symbol" w:hint="default"/>
      </w:r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26">
    <w:lvl w:ilvl="0">
      <w:start w:val="1"/>
      <w:numFmt w:val="bullet"/>
      <w:lvlText w:val=""/>
      <w:lvlJc w:val="left"/>
      <w:pPr>
        <w:ind w:left="1429" w:hanging="360"/>
      </w:pPr>
      <w:rPr>
        <w:rFonts w:ascii="Symbol" w:hAnsi="Symbol" w:cs="Symbol" w:hint="default"/>
      </w:r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27">
    <w:lvl w:ilvl="0">
      <w:start w:val="1"/>
      <w:numFmt w:val="bullet"/>
      <w:lvlText w:val="−"/>
      <w:lvlJc w:val="left"/>
      <w:pPr>
        <w:ind w:left="2629"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28">
    <w:lvl w:ilvl="0">
      <w:start w:val="1"/>
      <w:numFmt w:val="bullet"/>
      <w:lvlText w:val=""/>
      <w:lvlJc w:val="left"/>
      <w:pPr>
        <w:ind w:left="1429" w:hanging="360"/>
      </w:pPr>
      <w:rPr>
        <w:rFonts w:ascii="Symbol" w:hAnsi="Symbol" w:cs="Symbol" w:hint="default"/>
      </w:r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29">
    <w:lvl w:ilvl="0">
      <w:start w:val="1"/>
      <w:numFmt w:val="bullet"/>
      <w:lvlText w:val="−"/>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30">
    <w:lvl w:ilvl="0">
      <w:start w:val="1"/>
      <w:numFmt w:val="bullet"/>
      <w:lvlText w:val="−"/>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3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3">
    <w:lvl w:ilvl="0">
      <w:start w:val="1"/>
      <w:numFmt w:val="bullet"/>
      <w:suff w:val="nothing"/>
      <w:lvlText w:val="−"/>
      <w:lvlJc w:val="left"/>
      <w:pPr>
        <w:ind w:left="1287" w:hanging="360"/>
      </w:pPr>
      <w:rPr>
        <w:rFonts w:ascii="Courier New" w:hAnsi="Courier New" w:cs="Courier New" w:hint="default"/>
      </w:r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34">
    <w:lvl w:ilvl="0">
      <w:start w:val="1"/>
      <w:numFmt w:val="bullet"/>
      <w:lvlText w:val=""/>
      <w:lvlJc w:val="left"/>
      <w:pPr>
        <w:ind w:left="1429" w:hanging="360"/>
      </w:pPr>
      <w:rPr>
        <w:rFonts w:ascii="Symbol" w:hAnsi="Symbol" w:cs="Symbol" w:hint="default"/>
      </w:r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35">
    <w:lvl w:ilvl="0">
      <w:start w:val="1"/>
      <w:numFmt w:val="decimal"/>
      <w:lvlText w:val="%1"/>
      <w:lvlJc w:val="left"/>
      <w:pPr>
        <w:ind w:left="644"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
    <w:lvl w:ilvl="0">
      <w:start w:val="1"/>
      <w:numFmt w:val="decimal"/>
      <w:lvlText w:val="%1."/>
      <w:lvlJc w:val="left"/>
      <w:pPr>
        <w:ind w:left="717" w:hanging="360"/>
      </w:pPr>
    </w:lvl>
    <w:lvl w:ilvl="1">
      <w:start w:val="2"/>
      <w:numFmt w:val="decimal"/>
      <w:lvlText w:val="%1.%2."/>
      <w:lvlJc w:val="left"/>
      <w:pPr>
        <w:ind w:left="360" w:hanging="360"/>
      </w:pPr>
    </w:lvl>
    <w:lvl w:ilvl="2">
      <w:start w:val="1"/>
      <w:numFmt w:val="decimal"/>
      <w:lvlText w:val="%1.%2.%3."/>
      <w:lvlJc w:val="left"/>
      <w:pPr>
        <w:ind w:left="1077" w:hanging="720"/>
      </w:pPr>
    </w:lvl>
    <w:lvl w:ilvl="3">
      <w:start w:val="1"/>
      <w:numFmt w:val="decimal"/>
      <w:lvlText w:val="%1.%2.%3.%4."/>
      <w:lvlJc w:val="left"/>
      <w:pPr>
        <w:ind w:left="1077" w:hanging="720"/>
      </w:pPr>
    </w:lvl>
    <w:lvl w:ilvl="4">
      <w:start w:val="1"/>
      <w:numFmt w:val="decimal"/>
      <w:lvlText w:val="%1.%2.%3.%4.%5."/>
      <w:lvlJc w:val="left"/>
      <w:pPr>
        <w:ind w:left="1437" w:hanging="1080"/>
      </w:pPr>
    </w:lvl>
    <w:lvl w:ilvl="5">
      <w:start w:val="1"/>
      <w:numFmt w:val="decimal"/>
      <w:lvlText w:val="%1.%2.%3.%4.%5.%6."/>
      <w:lvlJc w:val="left"/>
      <w:pPr>
        <w:ind w:left="1437" w:hanging="1080"/>
      </w:pPr>
    </w:lvl>
    <w:lvl w:ilvl="6">
      <w:start w:val="1"/>
      <w:numFmt w:val="decimal"/>
      <w:lvlText w:val="%1.%2.%3.%4.%5.%6.%7."/>
      <w:lvlJc w:val="left"/>
      <w:pPr>
        <w:ind w:left="1797" w:hanging="1440"/>
      </w:pPr>
    </w:lvl>
    <w:lvl w:ilvl="7">
      <w:start w:val="1"/>
      <w:numFmt w:val="decimal"/>
      <w:lvlText w:val="%1.%2.%3.%4.%5.%6.%7.%8."/>
      <w:lvlJc w:val="left"/>
      <w:pPr>
        <w:ind w:left="1797" w:hanging="1440"/>
      </w:pPr>
    </w:lvl>
    <w:lvl w:ilvl="8">
      <w:start w:val="1"/>
      <w:numFmt w:val="decimal"/>
      <w:lvlText w:val="%1.%2.%3.%4.%5.%6.%7.%8.%9."/>
      <w:lvlJc w:val="left"/>
      <w:pPr>
        <w:ind w:left="2157" w:hanging="1800"/>
      </w:pPr>
    </w:lvl>
  </w:abstractNum>
  <w:abstractNum w:abstractNumId="3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39">
    <w:lvl w:ilvl="0">
      <w:start w:val="1"/>
      <w:numFmt w:val="bullet"/>
      <w:lvlText w:val=""/>
      <w:lvlJc w:val="left"/>
      <w:pPr>
        <w:ind w:left="1429" w:hanging="360"/>
      </w:pPr>
      <w:rPr>
        <w:rFonts w:ascii="Symbol" w:hAnsi="Symbol" w:cs="Symbol" w:hint="default"/>
      </w:r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40">
    <w:lvl w:ilvl="0">
      <w:start w:val="1"/>
      <w:numFmt w:val="bullet"/>
      <w:lvlText w:val="−"/>
      <w:lvlJc w:val="left"/>
      <w:pPr>
        <w:tabs>
          <w:tab w:val="num" w:pos="720"/>
        </w:tabs>
        <w:ind w:left="720" w:hanging="360"/>
      </w:pPr>
      <w:rPr>
        <w:rFonts w:ascii="Courier New" w:hAnsi="Courier New" w:cs="Courier New"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1">
    <w:lvl w:ilvl="0">
      <w:start w:val="65535"/>
      <w:numFmt w:val="bullet"/>
      <w:lvlText w:val="‒"/>
      <w:lvlJc w:val="left"/>
      <w:pPr>
        <w:ind w:left="720" w:hanging="360"/>
      </w:pPr>
      <w:rPr>
        <w:rFonts w:ascii="Times New Roman" w:hAnsi="Times New Roman" w:cs="Times New Roman" w:hint="default"/>
        <w:vertAlign w:val="baseline"/>
        <w:position w:val="0"/>
        <w:sz w:val="24"/>
        <w:rFonts w:cs="Times New Roman"/>
        <w:color w:val="auto"/>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42">
    <w:lvl w:ilvl="0">
      <w:start w:val="65535"/>
      <w:numFmt w:val="bullet"/>
      <w:lvlText w:val="‒"/>
      <w:lvlJc w:val="left"/>
      <w:pPr>
        <w:ind w:left="1428" w:hanging="360"/>
      </w:pPr>
      <w:rPr>
        <w:rFonts w:ascii="Times New Roman" w:hAnsi="Times New Roman" w:cs="Times New Roman" w:hint="default"/>
        <w:vertAlign w:val="baseline"/>
        <w:position w:val="0"/>
        <w:sz w:val="24"/>
        <w:rFonts w:cs="Times New Roman"/>
        <w:color w:val="auto"/>
      </w:rPr>
    </w:lvl>
    <w:lvl w:ilvl="1">
      <w:start w:val="1"/>
      <w:numFmt w:val="bullet"/>
      <w:lvlText w:val="o"/>
      <w:lvlJc w:val="left"/>
      <w:pPr>
        <w:ind w:left="2148" w:hanging="360"/>
      </w:pPr>
      <w:rPr>
        <w:rFonts w:ascii="Courier New" w:hAnsi="Courier New" w:cs="Courier New" w:hint="default"/>
        <w:rFonts w:cs="Courier New"/>
      </w:rPr>
    </w:lvl>
    <w:lvl w:ilvl="2">
      <w:start w:val="1"/>
      <w:numFmt w:val="bullet"/>
      <w:lvlText w:val=""/>
      <w:lvlJc w:val="left"/>
      <w:pPr>
        <w:ind w:left="2868" w:hanging="360"/>
      </w:pPr>
      <w:rPr>
        <w:rFonts w:ascii="Wingdings" w:hAnsi="Wingdings" w:cs="Wingdings" w:hint="default"/>
      </w:rPr>
    </w:lvl>
    <w:lvl w:ilvl="3">
      <w:start w:val="1"/>
      <w:numFmt w:val="bullet"/>
      <w:lvlText w:val=""/>
      <w:lvlJc w:val="left"/>
      <w:pPr>
        <w:ind w:left="3588" w:hanging="360"/>
      </w:pPr>
      <w:rPr>
        <w:rFonts w:ascii="Symbol" w:hAnsi="Symbol" w:cs="Symbol" w:hint="default"/>
      </w:rPr>
    </w:lvl>
    <w:lvl w:ilvl="4">
      <w:start w:val="1"/>
      <w:numFmt w:val="bullet"/>
      <w:lvlText w:val="o"/>
      <w:lvlJc w:val="left"/>
      <w:pPr>
        <w:ind w:left="4308" w:hanging="360"/>
      </w:pPr>
      <w:rPr>
        <w:rFonts w:ascii="Courier New" w:hAnsi="Courier New" w:cs="Courier New" w:hint="default"/>
        <w:rFonts w:cs="Courier New"/>
      </w:rPr>
    </w:lvl>
    <w:lvl w:ilvl="5">
      <w:start w:val="1"/>
      <w:numFmt w:val="bullet"/>
      <w:lvlText w:val=""/>
      <w:lvlJc w:val="left"/>
      <w:pPr>
        <w:ind w:left="5028" w:hanging="360"/>
      </w:pPr>
      <w:rPr>
        <w:rFonts w:ascii="Wingdings" w:hAnsi="Wingdings" w:cs="Wingdings" w:hint="default"/>
      </w:rPr>
    </w:lvl>
    <w:lvl w:ilvl="6">
      <w:start w:val="1"/>
      <w:numFmt w:val="bullet"/>
      <w:lvlText w:val=""/>
      <w:lvlJc w:val="left"/>
      <w:pPr>
        <w:ind w:left="5748" w:hanging="360"/>
      </w:pPr>
      <w:rPr>
        <w:rFonts w:ascii="Symbol" w:hAnsi="Symbol" w:cs="Symbol" w:hint="default"/>
      </w:rPr>
    </w:lvl>
    <w:lvl w:ilvl="7">
      <w:start w:val="1"/>
      <w:numFmt w:val="bullet"/>
      <w:lvlText w:val="o"/>
      <w:lvlJc w:val="left"/>
      <w:pPr>
        <w:ind w:left="6468" w:hanging="360"/>
      </w:pPr>
      <w:rPr>
        <w:rFonts w:ascii="Courier New" w:hAnsi="Courier New" w:cs="Courier New" w:hint="default"/>
        <w:rFonts w:cs="Courier New"/>
      </w:rPr>
    </w:lvl>
    <w:lvl w:ilvl="8">
      <w:start w:val="1"/>
      <w:numFmt w:val="bullet"/>
      <w:lvlText w:val=""/>
      <w:lvlJc w:val="left"/>
      <w:pPr>
        <w:ind w:left="7188" w:hanging="360"/>
      </w:pPr>
      <w:rPr>
        <w:rFonts w:ascii="Wingdings" w:hAnsi="Wingdings" w:cs="Wingdings" w:hint="default"/>
      </w:rPr>
    </w:lvl>
  </w:abstractNum>
  <w:abstractNum w:abstractNumId="43">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44">
    <w:lvl w:ilvl="0">
      <w:start w:val="1"/>
      <w:numFmt w:val="bullet"/>
      <w:lvlText w:val=""/>
      <w:lvlJc w:val="left"/>
      <w:pPr>
        <w:ind w:left="1429" w:hanging="360"/>
      </w:pPr>
      <w:rPr>
        <w:rFonts w:ascii="Symbol" w:hAnsi="Symbol" w:cs="Symbol" w:hint="default"/>
      </w:r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45">
    <w:lvl w:ilvl="0">
      <w:start w:val="1"/>
      <w:numFmt w:val="decimal"/>
      <w:lvlText w:val="%1."/>
      <w:lvlJc w:val="left"/>
      <w:pPr>
        <w:ind w:left="1429" w:hanging="360"/>
      </w:p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46">
    <w:lvl w:ilvl="0">
      <w:start w:val="1"/>
      <w:numFmt w:val="bullet"/>
      <w:lvlText w:val=""/>
      <w:lvlJc w:val="left"/>
      <w:pPr>
        <w:ind w:left="1287" w:hanging="360"/>
      </w:pPr>
      <w:rPr>
        <w:rFonts w:ascii="Symbol" w:hAnsi="Symbol" w:cs="Symbol" w:hint="default"/>
      </w:rPr>
    </w:lvl>
    <w:lvl w:ilvl="1">
      <w:start w:val="1"/>
      <w:numFmt w:val="bullet"/>
      <w:lvlText w:val="o"/>
      <w:lvlJc w:val="left"/>
      <w:pPr>
        <w:ind w:left="2007" w:hanging="360"/>
      </w:pPr>
      <w:rPr>
        <w:rFonts w:ascii="Courier New" w:hAnsi="Courier New" w:cs="Courier New" w:hint="default"/>
        <w:rFonts w:cs="Courier New"/>
      </w:rPr>
    </w:lvl>
    <w:lvl w:ilvl="2">
      <w:start w:val="1"/>
      <w:numFmt w:val="bullet"/>
      <w:lvlText w:val=""/>
      <w:lvlJc w:val="left"/>
      <w:pPr>
        <w:ind w:left="2727" w:hanging="360"/>
      </w:pPr>
      <w:rPr>
        <w:rFonts w:ascii="Wingdings" w:hAnsi="Wingdings" w:cs="Wingdings" w:hint="default"/>
      </w:rPr>
    </w:lvl>
    <w:lvl w:ilvl="3">
      <w:start w:val="1"/>
      <w:numFmt w:val="bullet"/>
      <w:lvlText w:val=""/>
      <w:lvlJc w:val="left"/>
      <w:pPr>
        <w:ind w:left="3447" w:hanging="360"/>
      </w:pPr>
      <w:rPr>
        <w:rFonts w:ascii="Symbol" w:hAnsi="Symbol" w:cs="Symbol" w:hint="default"/>
      </w:rPr>
    </w:lvl>
    <w:lvl w:ilvl="4">
      <w:start w:val="1"/>
      <w:numFmt w:val="bullet"/>
      <w:lvlText w:val="o"/>
      <w:lvlJc w:val="left"/>
      <w:pPr>
        <w:ind w:left="4167" w:hanging="360"/>
      </w:pPr>
      <w:rPr>
        <w:rFonts w:ascii="Courier New" w:hAnsi="Courier New" w:cs="Courier New" w:hint="default"/>
        <w:rFonts w:cs="Courier New"/>
      </w:rPr>
    </w:lvl>
    <w:lvl w:ilvl="5">
      <w:start w:val="1"/>
      <w:numFmt w:val="bullet"/>
      <w:lvlText w:val=""/>
      <w:lvlJc w:val="left"/>
      <w:pPr>
        <w:ind w:left="4887" w:hanging="360"/>
      </w:pPr>
      <w:rPr>
        <w:rFonts w:ascii="Wingdings" w:hAnsi="Wingdings" w:cs="Wingdings" w:hint="default"/>
      </w:rPr>
    </w:lvl>
    <w:lvl w:ilvl="6">
      <w:start w:val="1"/>
      <w:numFmt w:val="bullet"/>
      <w:lvlText w:val=""/>
      <w:lvlJc w:val="left"/>
      <w:pPr>
        <w:ind w:left="5607" w:hanging="360"/>
      </w:pPr>
      <w:rPr>
        <w:rFonts w:ascii="Symbol" w:hAnsi="Symbol" w:cs="Symbol" w:hint="default"/>
      </w:rPr>
    </w:lvl>
    <w:lvl w:ilvl="7">
      <w:start w:val="1"/>
      <w:numFmt w:val="bullet"/>
      <w:lvlText w:val="o"/>
      <w:lvlJc w:val="left"/>
      <w:pPr>
        <w:ind w:left="6327" w:hanging="360"/>
      </w:pPr>
      <w:rPr>
        <w:rFonts w:ascii="Courier New" w:hAnsi="Courier New" w:cs="Courier New" w:hint="default"/>
        <w:rFonts w:cs="Courier New"/>
      </w:rPr>
    </w:lvl>
    <w:lvl w:ilvl="8">
      <w:start w:val="1"/>
      <w:numFmt w:val="bullet"/>
      <w:lvlText w:val=""/>
      <w:lvlJc w:val="left"/>
      <w:pPr>
        <w:ind w:left="7047" w:hanging="360"/>
      </w:pPr>
      <w:rPr>
        <w:rFonts w:ascii="Wingdings" w:hAnsi="Wingdings" w:cs="Wingdings" w:hint="default"/>
      </w:rPr>
    </w:lvl>
  </w:abstractNum>
  <w:abstractNum w:abstractNumId="47">
    <w:lvl w:ilvl="0">
      <w:start w:val="1"/>
      <w:numFmt w:val="bullet"/>
      <w:lvlText w:val=""/>
      <w:lvlJc w:val="left"/>
      <w:pPr>
        <w:ind w:left="1287" w:hanging="360"/>
      </w:pPr>
      <w:rPr>
        <w:rFonts w:ascii="Symbol" w:hAnsi="Symbol" w:cs="Symbol" w:hint="default"/>
      </w:rPr>
    </w:lvl>
    <w:lvl w:ilvl="1">
      <w:start w:val="1"/>
      <w:numFmt w:val="bullet"/>
      <w:lvlText w:val="o"/>
      <w:lvlJc w:val="left"/>
      <w:pPr>
        <w:ind w:left="2007" w:hanging="360"/>
      </w:pPr>
      <w:rPr>
        <w:rFonts w:ascii="Courier New" w:hAnsi="Courier New" w:cs="Courier New" w:hint="default"/>
        <w:rFonts w:cs="Courier New"/>
      </w:rPr>
    </w:lvl>
    <w:lvl w:ilvl="2">
      <w:start w:val="1"/>
      <w:numFmt w:val="bullet"/>
      <w:lvlText w:val=""/>
      <w:lvlJc w:val="left"/>
      <w:pPr>
        <w:ind w:left="2727" w:hanging="360"/>
      </w:pPr>
      <w:rPr>
        <w:rFonts w:ascii="Wingdings" w:hAnsi="Wingdings" w:cs="Wingdings" w:hint="default"/>
      </w:rPr>
    </w:lvl>
    <w:lvl w:ilvl="3">
      <w:start w:val="1"/>
      <w:numFmt w:val="bullet"/>
      <w:lvlText w:val=""/>
      <w:lvlJc w:val="left"/>
      <w:pPr>
        <w:ind w:left="3447" w:hanging="360"/>
      </w:pPr>
      <w:rPr>
        <w:rFonts w:ascii="Symbol" w:hAnsi="Symbol" w:cs="Symbol" w:hint="default"/>
      </w:rPr>
    </w:lvl>
    <w:lvl w:ilvl="4">
      <w:start w:val="1"/>
      <w:numFmt w:val="bullet"/>
      <w:lvlText w:val="o"/>
      <w:lvlJc w:val="left"/>
      <w:pPr>
        <w:ind w:left="4167" w:hanging="360"/>
      </w:pPr>
      <w:rPr>
        <w:rFonts w:ascii="Courier New" w:hAnsi="Courier New" w:cs="Courier New" w:hint="default"/>
        <w:rFonts w:cs="Courier New"/>
      </w:rPr>
    </w:lvl>
    <w:lvl w:ilvl="5">
      <w:start w:val="1"/>
      <w:numFmt w:val="bullet"/>
      <w:lvlText w:val=""/>
      <w:lvlJc w:val="left"/>
      <w:pPr>
        <w:ind w:left="4887" w:hanging="360"/>
      </w:pPr>
      <w:rPr>
        <w:rFonts w:ascii="Wingdings" w:hAnsi="Wingdings" w:cs="Wingdings" w:hint="default"/>
      </w:rPr>
    </w:lvl>
    <w:lvl w:ilvl="6">
      <w:start w:val="1"/>
      <w:numFmt w:val="bullet"/>
      <w:lvlText w:val=""/>
      <w:lvlJc w:val="left"/>
      <w:pPr>
        <w:ind w:left="5607" w:hanging="360"/>
      </w:pPr>
      <w:rPr>
        <w:rFonts w:ascii="Symbol" w:hAnsi="Symbol" w:cs="Symbol" w:hint="default"/>
      </w:rPr>
    </w:lvl>
    <w:lvl w:ilvl="7">
      <w:start w:val="1"/>
      <w:numFmt w:val="bullet"/>
      <w:lvlText w:val="o"/>
      <w:lvlJc w:val="left"/>
      <w:pPr>
        <w:ind w:left="6327" w:hanging="360"/>
      </w:pPr>
      <w:rPr>
        <w:rFonts w:ascii="Courier New" w:hAnsi="Courier New" w:cs="Courier New" w:hint="default"/>
        <w:rFonts w:cs="Courier New"/>
      </w:rPr>
    </w:lvl>
    <w:lvl w:ilvl="8">
      <w:start w:val="1"/>
      <w:numFmt w:val="bullet"/>
      <w:lvlText w:val=""/>
      <w:lvlJc w:val="left"/>
      <w:pPr>
        <w:ind w:left="7047" w:hanging="360"/>
      </w:pPr>
      <w:rPr>
        <w:rFonts w:ascii="Wingdings" w:hAnsi="Wingdings" w:cs="Wingdings" w:hint="default"/>
      </w:rPr>
    </w:lvl>
  </w:abstractNum>
  <w:abstractNum w:abstractNumId="48">
    <w:lvl w:ilvl="0">
      <w:start w:val="1"/>
      <w:numFmt w:val="decimal"/>
      <w:lvlText w:val="%1."/>
      <w:lvlJc w:val="left"/>
      <w:pPr>
        <w:ind w:left="1287" w:hanging="360"/>
      </w:pPr>
    </w:lvl>
    <w:lvl w:ilvl="1">
      <w:start w:val="1"/>
      <w:numFmt w:val="bullet"/>
      <w:lvlText w:val="o"/>
      <w:lvlJc w:val="left"/>
      <w:pPr>
        <w:ind w:left="2007" w:hanging="360"/>
      </w:pPr>
      <w:rPr>
        <w:rFonts w:ascii="Courier New" w:hAnsi="Courier New" w:cs="Courier New" w:hint="default"/>
        <w:rFonts w:cs="Courier New"/>
      </w:rPr>
    </w:lvl>
    <w:lvl w:ilvl="2">
      <w:start w:val="1"/>
      <w:numFmt w:val="bullet"/>
      <w:lvlText w:val=""/>
      <w:lvlJc w:val="left"/>
      <w:pPr>
        <w:ind w:left="2727" w:hanging="360"/>
      </w:pPr>
      <w:rPr>
        <w:rFonts w:ascii="Wingdings" w:hAnsi="Wingdings" w:cs="Wingdings" w:hint="default"/>
      </w:rPr>
    </w:lvl>
    <w:lvl w:ilvl="3">
      <w:start w:val="1"/>
      <w:numFmt w:val="bullet"/>
      <w:lvlText w:val=""/>
      <w:lvlJc w:val="left"/>
      <w:pPr>
        <w:ind w:left="3447" w:hanging="360"/>
      </w:pPr>
      <w:rPr>
        <w:rFonts w:ascii="Symbol" w:hAnsi="Symbol" w:cs="Symbol" w:hint="default"/>
      </w:rPr>
    </w:lvl>
    <w:lvl w:ilvl="4">
      <w:start w:val="1"/>
      <w:numFmt w:val="bullet"/>
      <w:lvlText w:val="o"/>
      <w:lvlJc w:val="left"/>
      <w:pPr>
        <w:ind w:left="4167" w:hanging="360"/>
      </w:pPr>
      <w:rPr>
        <w:rFonts w:ascii="Courier New" w:hAnsi="Courier New" w:cs="Courier New" w:hint="default"/>
        <w:rFonts w:cs="Courier New"/>
      </w:rPr>
    </w:lvl>
    <w:lvl w:ilvl="5">
      <w:start w:val="1"/>
      <w:numFmt w:val="bullet"/>
      <w:lvlText w:val=""/>
      <w:lvlJc w:val="left"/>
      <w:pPr>
        <w:ind w:left="4887" w:hanging="360"/>
      </w:pPr>
      <w:rPr>
        <w:rFonts w:ascii="Wingdings" w:hAnsi="Wingdings" w:cs="Wingdings" w:hint="default"/>
      </w:rPr>
    </w:lvl>
    <w:lvl w:ilvl="6">
      <w:start w:val="1"/>
      <w:numFmt w:val="bullet"/>
      <w:lvlText w:val=""/>
      <w:lvlJc w:val="left"/>
      <w:pPr>
        <w:ind w:left="5607" w:hanging="360"/>
      </w:pPr>
      <w:rPr>
        <w:rFonts w:ascii="Symbol" w:hAnsi="Symbol" w:cs="Symbol" w:hint="default"/>
      </w:rPr>
    </w:lvl>
    <w:lvl w:ilvl="7">
      <w:start w:val="1"/>
      <w:numFmt w:val="bullet"/>
      <w:lvlText w:val="o"/>
      <w:lvlJc w:val="left"/>
      <w:pPr>
        <w:ind w:left="6327" w:hanging="360"/>
      </w:pPr>
      <w:rPr>
        <w:rFonts w:ascii="Courier New" w:hAnsi="Courier New" w:cs="Courier New" w:hint="default"/>
        <w:rFonts w:cs="Courier New"/>
      </w:rPr>
    </w:lvl>
    <w:lvl w:ilvl="8">
      <w:start w:val="1"/>
      <w:numFmt w:val="bullet"/>
      <w:lvlText w:val=""/>
      <w:lvlJc w:val="left"/>
      <w:pPr>
        <w:ind w:left="7047" w:hanging="360"/>
      </w:pPr>
      <w:rPr>
        <w:rFonts w:ascii="Wingdings" w:hAnsi="Wingdings" w:cs="Wingdings" w:hint="default"/>
      </w:rPr>
    </w:lvl>
  </w:abstractNum>
  <w:abstractNum w:abstractNumId="49">
    <w:lvl w:ilvl="0">
      <w:start w:val="1"/>
      <w:numFmt w:val="bullet"/>
      <w:lvlText w:val=""/>
      <w:lvlJc w:val="left"/>
      <w:pPr>
        <w:ind w:left="1287" w:hanging="360"/>
      </w:pPr>
      <w:rPr>
        <w:rFonts w:ascii="Symbol" w:hAnsi="Symbol" w:cs="Symbol" w:hint="default"/>
      </w:rPr>
    </w:lvl>
    <w:lvl w:ilvl="1">
      <w:start w:val="1"/>
      <w:numFmt w:val="bullet"/>
      <w:lvlText w:val="o"/>
      <w:lvlJc w:val="left"/>
      <w:pPr>
        <w:ind w:left="2007" w:hanging="360"/>
      </w:pPr>
      <w:rPr>
        <w:rFonts w:ascii="Courier New" w:hAnsi="Courier New" w:cs="Courier New" w:hint="default"/>
        <w:rFonts w:cs="Courier New"/>
      </w:rPr>
    </w:lvl>
    <w:lvl w:ilvl="2">
      <w:start w:val="1"/>
      <w:numFmt w:val="bullet"/>
      <w:lvlText w:val=""/>
      <w:lvlJc w:val="left"/>
      <w:pPr>
        <w:ind w:left="2727" w:hanging="360"/>
      </w:pPr>
      <w:rPr>
        <w:rFonts w:ascii="Wingdings" w:hAnsi="Wingdings" w:cs="Wingdings" w:hint="default"/>
      </w:rPr>
    </w:lvl>
    <w:lvl w:ilvl="3">
      <w:start w:val="1"/>
      <w:numFmt w:val="bullet"/>
      <w:lvlText w:val=""/>
      <w:lvlJc w:val="left"/>
      <w:pPr>
        <w:ind w:left="3447" w:hanging="360"/>
      </w:pPr>
      <w:rPr>
        <w:rFonts w:ascii="Symbol" w:hAnsi="Symbol" w:cs="Symbol" w:hint="default"/>
      </w:rPr>
    </w:lvl>
    <w:lvl w:ilvl="4">
      <w:start w:val="1"/>
      <w:numFmt w:val="bullet"/>
      <w:lvlText w:val="o"/>
      <w:lvlJc w:val="left"/>
      <w:pPr>
        <w:ind w:left="4167" w:hanging="360"/>
      </w:pPr>
      <w:rPr>
        <w:rFonts w:ascii="Courier New" w:hAnsi="Courier New" w:cs="Courier New" w:hint="default"/>
        <w:rFonts w:cs="Courier New"/>
      </w:rPr>
    </w:lvl>
    <w:lvl w:ilvl="5">
      <w:start w:val="1"/>
      <w:numFmt w:val="bullet"/>
      <w:lvlText w:val=""/>
      <w:lvlJc w:val="left"/>
      <w:pPr>
        <w:ind w:left="4887" w:hanging="360"/>
      </w:pPr>
      <w:rPr>
        <w:rFonts w:ascii="Wingdings" w:hAnsi="Wingdings" w:cs="Wingdings" w:hint="default"/>
      </w:rPr>
    </w:lvl>
    <w:lvl w:ilvl="6">
      <w:start w:val="1"/>
      <w:numFmt w:val="bullet"/>
      <w:lvlText w:val=""/>
      <w:lvlJc w:val="left"/>
      <w:pPr>
        <w:ind w:left="5607" w:hanging="360"/>
      </w:pPr>
      <w:rPr>
        <w:rFonts w:ascii="Symbol" w:hAnsi="Symbol" w:cs="Symbol" w:hint="default"/>
      </w:rPr>
    </w:lvl>
    <w:lvl w:ilvl="7">
      <w:start w:val="1"/>
      <w:numFmt w:val="bullet"/>
      <w:lvlText w:val="o"/>
      <w:lvlJc w:val="left"/>
      <w:pPr>
        <w:ind w:left="6327" w:hanging="360"/>
      </w:pPr>
      <w:rPr>
        <w:rFonts w:ascii="Courier New" w:hAnsi="Courier New" w:cs="Courier New" w:hint="default"/>
        <w:rFonts w:cs="Courier New"/>
      </w:rPr>
    </w:lvl>
    <w:lvl w:ilvl="8">
      <w:start w:val="1"/>
      <w:numFmt w:val="bullet"/>
      <w:lvlText w:val=""/>
      <w:lvlJc w:val="left"/>
      <w:pPr>
        <w:ind w:left="7047" w:hanging="360"/>
      </w:pPr>
      <w:rPr>
        <w:rFonts w:ascii="Wingdings" w:hAnsi="Wingdings" w:cs="Wingdings" w:hint="default"/>
      </w:rPr>
    </w:lvl>
  </w:abstractNum>
  <w:abstractNum w:abstractNumId="50">
    <w:lvl w:ilvl="0">
      <w:start w:val="1"/>
      <w:numFmt w:val="bullet"/>
      <w:lvlText w:val=""/>
      <w:lvlJc w:val="left"/>
      <w:pPr>
        <w:ind w:left="1287" w:hanging="360"/>
      </w:pPr>
      <w:rPr>
        <w:rFonts w:ascii="Symbol" w:hAnsi="Symbol" w:cs="Symbol" w:hint="default"/>
      </w:rPr>
    </w:lvl>
    <w:lvl w:ilvl="1">
      <w:start w:val="1"/>
      <w:numFmt w:val="bullet"/>
      <w:lvlText w:val="o"/>
      <w:lvlJc w:val="left"/>
      <w:pPr>
        <w:ind w:left="2007" w:hanging="360"/>
      </w:pPr>
      <w:rPr>
        <w:rFonts w:ascii="Courier New" w:hAnsi="Courier New" w:cs="Courier New" w:hint="default"/>
        <w:rFonts w:cs="Courier New"/>
      </w:rPr>
    </w:lvl>
    <w:lvl w:ilvl="2">
      <w:start w:val="1"/>
      <w:numFmt w:val="bullet"/>
      <w:lvlText w:val=""/>
      <w:lvlJc w:val="left"/>
      <w:pPr>
        <w:ind w:left="2727" w:hanging="360"/>
      </w:pPr>
      <w:rPr>
        <w:rFonts w:ascii="Wingdings" w:hAnsi="Wingdings" w:cs="Wingdings" w:hint="default"/>
      </w:rPr>
    </w:lvl>
    <w:lvl w:ilvl="3">
      <w:start w:val="1"/>
      <w:numFmt w:val="bullet"/>
      <w:lvlText w:val=""/>
      <w:lvlJc w:val="left"/>
      <w:pPr>
        <w:ind w:left="3447" w:hanging="360"/>
      </w:pPr>
      <w:rPr>
        <w:rFonts w:ascii="Symbol" w:hAnsi="Symbol" w:cs="Symbol" w:hint="default"/>
      </w:rPr>
    </w:lvl>
    <w:lvl w:ilvl="4">
      <w:start w:val="1"/>
      <w:numFmt w:val="bullet"/>
      <w:lvlText w:val="o"/>
      <w:lvlJc w:val="left"/>
      <w:pPr>
        <w:ind w:left="4167" w:hanging="360"/>
      </w:pPr>
      <w:rPr>
        <w:rFonts w:ascii="Courier New" w:hAnsi="Courier New" w:cs="Courier New" w:hint="default"/>
        <w:rFonts w:cs="Courier New"/>
      </w:rPr>
    </w:lvl>
    <w:lvl w:ilvl="5">
      <w:start w:val="1"/>
      <w:numFmt w:val="bullet"/>
      <w:lvlText w:val=""/>
      <w:lvlJc w:val="left"/>
      <w:pPr>
        <w:ind w:left="4887" w:hanging="360"/>
      </w:pPr>
      <w:rPr>
        <w:rFonts w:ascii="Wingdings" w:hAnsi="Wingdings" w:cs="Wingdings" w:hint="default"/>
      </w:rPr>
    </w:lvl>
    <w:lvl w:ilvl="6">
      <w:start w:val="1"/>
      <w:numFmt w:val="bullet"/>
      <w:lvlText w:val=""/>
      <w:lvlJc w:val="left"/>
      <w:pPr>
        <w:ind w:left="5607" w:hanging="360"/>
      </w:pPr>
      <w:rPr>
        <w:rFonts w:ascii="Symbol" w:hAnsi="Symbol" w:cs="Symbol" w:hint="default"/>
      </w:rPr>
    </w:lvl>
    <w:lvl w:ilvl="7">
      <w:start w:val="1"/>
      <w:numFmt w:val="bullet"/>
      <w:lvlText w:val="o"/>
      <w:lvlJc w:val="left"/>
      <w:pPr>
        <w:ind w:left="6327" w:hanging="360"/>
      </w:pPr>
      <w:rPr>
        <w:rFonts w:ascii="Courier New" w:hAnsi="Courier New" w:cs="Courier New" w:hint="default"/>
        <w:rFonts w:cs="Courier New"/>
      </w:rPr>
    </w:lvl>
    <w:lvl w:ilvl="8">
      <w:start w:val="1"/>
      <w:numFmt w:val="bullet"/>
      <w:lvlText w:val=""/>
      <w:lvlJc w:val="left"/>
      <w:pPr>
        <w:ind w:left="7047" w:hanging="360"/>
      </w:pPr>
      <w:rPr>
        <w:rFonts w:ascii="Wingdings" w:hAnsi="Wingdings" w:cs="Wingdings" w:hint="default"/>
      </w:rPr>
    </w:lvl>
  </w:abstractNum>
  <w:abstractNum w:abstractNumId="51">
    <w:lvl w:ilvl="0">
      <w:start w:val="1"/>
      <w:numFmt w:val="bullet"/>
      <w:lvlText w:val=""/>
      <w:lvlJc w:val="left"/>
      <w:pPr>
        <w:ind w:left="1287" w:hanging="360"/>
      </w:pPr>
      <w:rPr>
        <w:rFonts w:ascii="Symbol" w:hAnsi="Symbol" w:cs="Symbol" w:hint="default"/>
      </w:rPr>
    </w:lvl>
    <w:lvl w:ilvl="1">
      <w:start w:val="1"/>
      <w:numFmt w:val="bullet"/>
      <w:lvlText w:val="o"/>
      <w:lvlJc w:val="left"/>
      <w:pPr>
        <w:ind w:left="2007" w:hanging="360"/>
      </w:pPr>
      <w:rPr>
        <w:rFonts w:ascii="Courier New" w:hAnsi="Courier New" w:cs="Courier New" w:hint="default"/>
        <w:rFonts w:cs="Courier New"/>
      </w:rPr>
    </w:lvl>
    <w:lvl w:ilvl="2">
      <w:start w:val="1"/>
      <w:numFmt w:val="bullet"/>
      <w:lvlText w:val=""/>
      <w:lvlJc w:val="left"/>
      <w:pPr>
        <w:ind w:left="2727" w:hanging="360"/>
      </w:pPr>
      <w:rPr>
        <w:rFonts w:ascii="Wingdings" w:hAnsi="Wingdings" w:cs="Wingdings" w:hint="default"/>
      </w:rPr>
    </w:lvl>
    <w:lvl w:ilvl="3">
      <w:start w:val="1"/>
      <w:numFmt w:val="bullet"/>
      <w:lvlText w:val=""/>
      <w:lvlJc w:val="left"/>
      <w:pPr>
        <w:ind w:left="3447" w:hanging="360"/>
      </w:pPr>
      <w:rPr>
        <w:rFonts w:ascii="Symbol" w:hAnsi="Symbol" w:cs="Symbol" w:hint="default"/>
      </w:rPr>
    </w:lvl>
    <w:lvl w:ilvl="4">
      <w:start w:val="1"/>
      <w:numFmt w:val="bullet"/>
      <w:lvlText w:val="o"/>
      <w:lvlJc w:val="left"/>
      <w:pPr>
        <w:ind w:left="4167" w:hanging="360"/>
      </w:pPr>
      <w:rPr>
        <w:rFonts w:ascii="Courier New" w:hAnsi="Courier New" w:cs="Courier New" w:hint="default"/>
        <w:rFonts w:cs="Courier New"/>
      </w:rPr>
    </w:lvl>
    <w:lvl w:ilvl="5">
      <w:start w:val="1"/>
      <w:numFmt w:val="bullet"/>
      <w:lvlText w:val=""/>
      <w:lvlJc w:val="left"/>
      <w:pPr>
        <w:ind w:left="4887" w:hanging="360"/>
      </w:pPr>
      <w:rPr>
        <w:rFonts w:ascii="Wingdings" w:hAnsi="Wingdings" w:cs="Wingdings" w:hint="default"/>
      </w:rPr>
    </w:lvl>
    <w:lvl w:ilvl="6">
      <w:start w:val="1"/>
      <w:numFmt w:val="bullet"/>
      <w:lvlText w:val=""/>
      <w:lvlJc w:val="left"/>
      <w:pPr>
        <w:ind w:left="5607" w:hanging="360"/>
      </w:pPr>
      <w:rPr>
        <w:rFonts w:ascii="Symbol" w:hAnsi="Symbol" w:cs="Symbol" w:hint="default"/>
      </w:rPr>
    </w:lvl>
    <w:lvl w:ilvl="7">
      <w:start w:val="1"/>
      <w:numFmt w:val="bullet"/>
      <w:lvlText w:val="o"/>
      <w:lvlJc w:val="left"/>
      <w:pPr>
        <w:ind w:left="6327" w:hanging="360"/>
      </w:pPr>
      <w:rPr>
        <w:rFonts w:ascii="Courier New" w:hAnsi="Courier New" w:cs="Courier New" w:hint="default"/>
        <w:rFonts w:cs="Courier New"/>
      </w:rPr>
    </w:lvl>
    <w:lvl w:ilvl="8">
      <w:start w:val="1"/>
      <w:numFmt w:val="bullet"/>
      <w:lvlText w:val=""/>
      <w:lvlJc w:val="left"/>
      <w:pPr>
        <w:ind w:left="7047" w:hanging="360"/>
      </w:pPr>
      <w:rPr>
        <w:rFonts w:ascii="Wingdings" w:hAnsi="Wingdings" w:cs="Wingdings" w:hint="default"/>
      </w:rPr>
    </w:lvl>
  </w:abstractNum>
  <w:abstractNum w:abstractNumId="52">
    <w:lvl w:ilvl="0">
      <w:start w:val="1"/>
      <w:numFmt w:val="bullet"/>
      <w:lvlText w:val=""/>
      <w:lvlJc w:val="left"/>
      <w:pPr>
        <w:ind w:left="1287" w:hanging="360"/>
      </w:pPr>
      <w:rPr>
        <w:rFonts w:ascii="Symbol" w:hAnsi="Symbol" w:cs="Symbol" w:hint="default"/>
      </w:rPr>
    </w:lvl>
    <w:lvl w:ilvl="1">
      <w:start w:val="1"/>
      <w:numFmt w:val="bullet"/>
      <w:lvlText w:val="o"/>
      <w:lvlJc w:val="left"/>
      <w:pPr>
        <w:ind w:left="2007" w:hanging="360"/>
      </w:pPr>
      <w:rPr>
        <w:rFonts w:ascii="Courier New" w:hAnsi="Courier New" w:cs="Courier New" w:hint="default"/>
        <w:rFonts w:cs="Courier New"/>
      </w:rPr>
    </w:lvl>
    <w:lvl w:ilvl="2">
      <w:start w:val="1"/>
      <w:numFmt w:val="bullet"/>
      <w:lvlText w:val=""/>
      <w:lvlJc w:val="left"/>
      <w:pPr>
        <w:ind w:left="2727" w:hanging="360"/>
      </w:pPr>
      <w:rPr>
        <w:rFonts w:ascii="Wingdings" w:hAnsi="Wingdings" w:cs="Wingdings" w:hint="default"/>
      </w:rPr>
    </w:lvl>
    <w:lvl w:ilvl="3">
      <w:start w:val="1"/>
      <w:numFmt w:val="bullet"/>
      <w:lvlText w:val=""/>
      <w:lvlJc w:val="left"/>
      <w:pPr>
        <w:ind w:left="3447" w:hanging="360"/>
      </w:pPr>
      <w:rPr>
        <w:rFonts w:ascii="Symbol" w:hAnsi="Symbol" w:cs="Symbol" w:hint="default"/>
      </w:rPr>
    </w:lvl>
    <w:lvl w:ilvl="4">
      <w:start w:val="1"/>
      <w:numFmt w:val="bullet"/>
      <w:lvlText w:val="o"/>
      <w:lvlJc w:val="left"/>
      <w:pPr>
        <w:ind w:left="4167" w:hanging="360"/>
      </w:pPr>
      <w:rPr>
        <w:rFonts w:ascii="Courier New" w:hAnsi="Courier New" w:cs="Courier New" w:hint="default"/>
        <w:rFonts w:cs="Courier New"/>
      </w:rPr>
    </w:lvl>
    <w:lvl w:ilvl="5">
      <w:start w:val="1"/>
      <w:numFmt w:val="bullet"/>
      <w:lvlText w:val=""/>
      <w:lvlJc w:val="left"/>
      <w:pPr>
        <w:ind w:left="4887" w:hanging="360"/>
      </w:pPr>
      <w:rPr>
        <w:rFonts w:ascii="Wingdings" w:hAnsi="Wingdings" w:cs="Wingdings" w:hint="default"/>
      </w:rPr>
    </w:lvl>
    <w:lvl w:ilvl="6">
      <w:start w:val="1"/>
      <w:numFmt w:val="bullet"/>
      <w:lvlText w:val=""/>
      <w:lvlJc w:val="left"/>
      <w:pPr>
        <w:ind w:left="5607" w:hanging="360"/>
      </w:pPr>
      <w:rPr>
        <w:rFonts w:ascii="Symbol" w:hAnsi="Symbol" w:cs="Symbol" w:hint="default"/>
      </w:rPr>
    </w:lvl>
    <w:lvl w:ilvl="7">
      <w:start w:val="1"/>
      <w:numFmt w:val="bullet"/>
      <w:lvlText w:val="o"/>
      <w:lvlJc w:val="left"/>
      <w:pPr>
        <w:ind w:left="6327" w:hanging="360"/>
      </w:pPr>
      <w:rPr>
        <w:rFonts w:ascii="Courier New" w:hAnsi="Courier New" w:cs="Courier New" w:hint="default"/>
        <w:rFonts w:cs="Courier New"/>
      </w:rPr>
    </w:lvl>
    <w:lvl w:ilvl="8">
      <w:start w:val="1"/>
      <w:numFmt w:val="bullet"/>
      <w:lvlText w:val=""/>
      <w:lvlJc w:val="left"/>
      <w:pPr>
        <w:ind w:left="7047" w:hanging="360"/>
      </w:pPr>
      <w:rPr>
        <w:rFonts w:ascii="Wingdings" w:hAnsi="Wingdings" w:cs="Wingdings" w:hint="default"/>
      </w:rPr>
    </w:lvl>
  </w:abstractNum>
  <w:abstractNum w:abstractNumId="53">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54">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55">
    <w:lvl w:ilvl="0">
      <w:start w:val="1"/>
      <w:numFmt w:val="decimal"/>
      <w:lvlText w:val="%1."/>
      <w:lvlJc w:val="left"/>
      <w:pPr>
        <w:ind w:left="1353" w:hanging="360"/>
      </w:pPr>
    </w:lvl>
    <w:lvl w:ilvl="1">
      <w:start w:val="1"/>
      <w:numFmt w:val="lowerLetter"/>
      <w:lvlText w:val="%2."/>
      <w:lvlJc w:val="left"/>
      <w:pPr>
        <w:ind w:left="2073" w:hanging="360"/>
      </w:pPr>
    </w:lvl>
    <w:lvl w:ilvl="2">
      <w:start w:val="1"/>
      <w:numFmt w:val="lowerRoman"/>
      <w:lvlText w:val="%3."/>
      <w:lvlJc w:val="right"/>
      <w:pPr>
        <w:ind w:left="2793" w:hanging="180"/>
      </w:pPr>
    </w:lvl>
    <w:lvl w:ilvl="3">
      <w:start w:val="1"/>
      <w:numFmt w:val="decimal"/>
      <w:lvlText w:val="%4."/>
      <w:lvlJc w:val="left"/>
      <w:pPr>
        <w:ind w:left="3513" w:hanging="360"/>
      </w:pPr>
    </w:lvl>
    <w:lvl w:ilvl="4">
      <w:start w:val="1"/>
      <w:numFmt w:val="lowerLetter"/>
      <w:lvlText w:val="%5."/>
      <w:lvlJc w:val="left"/>
      <w:pPr>
        <w:ind w:left="4233" w:hanging="360"/>
      </w:pPr>
    </w:lvl>
    <w:lvl w:ilvl="5">
      <w:start w:val="1"/>
      <w:numFmt w:val="lowerRoman"/>
      <w:lvlText w:val="%6."/>
      <w:lvlJc w:val="right"/>
      <w:pPr>
        <w:ind w:left="4953" w:hanging="180"/>
      </w:pPr>
    </w:lvl>
    <w:lvl w:ilvl="6">
      <w:start w:val="1"/>
      <w:numFmt w:val="decimal"/>
      <w:lvlText w:val="%7."/>
      <w:lvlJc w:val="left"/>
      <w:pPr>
        <w:ind w:left="5673" w:hanging="360"/>
      </w:pPr>
    </w:lvl>
    <w:lvl w:ilvl="7">
      <w:start w:val="1"/>
      <w:numFmt w:val="lowerLetter"/>
      <w:lvlText w:val="%8."/>
      <w:lvlJc w:val="left"/>
      <w:pPr>
        <w:ind w:left="6393" w:hanging="360"/>
      </w:pPr>
    </w:lvl>
    <w:lvl w:ilvl="8">
      <w:start w:val="1"/>
      <w:numFmt w:val="lowerRoman"/>
      <w:lvlText w:val="%9."/>
      <w:lvlJc w:val="right"/>
      <w:pPr>
        <w:ind w:left="7113" w:hanging="180"/>
      </w:pPr>
    </w:lvl>
  </w:abstractNum>
  <w:abstractNum w:abstractNumId="56">
    <w:lvl w:ilvl="0">
      <w:start w:val="1"/>
      <w:numFmt w:val="bullet"/>
      <w:lvlText w:val="–"/>
      <w:lvlJc w:val="left"/>
      <w:pPr>
        <w:ind w:left="1429" w:hanging="360"/>
      </w:pPr>
      <w:rPr>
        <w:rFonts w:ascii="Times New Roman" w:hAnsi="Times New Roman" w:cs="Times New Roman" w:hint="default"/>
        <w:rFonts w:cs="Times New Roman"/>
        <w:color w:val="auto"/>
      </w:r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57">
    <w:lvl w:ilvl="0">
      <w:start w:val="1"/>
      <w:numFmt w:val="bullet"/>
      <w:lvlText w:val=""/>
      <w:lvlJc w:val="left"/>
      <w:pPr>
        <w:ind w:left="1260" w:hanging="360"/>
      </w:pPr>
      <w:rPr>
        <w:rFonts w:ascii="Symbol" w:hAnsi="Symbol" w:cs="Symbol" w:hint="default"/>
      </w:rPr>
    </w:lvl>
    <w:lvl w:ilvl="1">
      <w:start w:val="1"/>
      <w:numFmt w:val="bullet"/>
      <w:lvlText w:val="o"/>
      <w:lvlJc w:val="left"/>
      <w:pPr>
        <w:ind w:left="1980" w:hanging="360"/>
      </w:pPr>
      <w:rPr>
        <w:rFonts w:ascii="Courier New" w:hAnsi="Courier New" w:cs="Courier New" w:hint="default"/>
        <w:rFonts w:cs="Courier New"/>
      </w:rPr>
    </w:lvl>
    <w:lvl w:ilvl="2">
      <w:start w:val="1"/>
      <w:numFmt w:val="bullet"/>
      <w:lvlText w:val=""/>
      <w:lvlJc w:val="left"/>
      <w:pPr>
        <w:ind w:left="2700" w:hanging="360"/>
      </w:pPr>
      <w:rPr>
        <w:rFonts w:ascii="Wingdings" w:hAnsi="Wingdings" w:cs="Wingdings" w:hint="default"/>
      </w:rPr>
    </w:lvl>
    <w:lvl w:ilvl="3">
      <w:start w:val="1"/>
      <w:numFmt w:val="bullet"/>
      <w:lvlText w:val=""/>
      <w:lvlJc w:val="left"/>
      <w:pPr>
        <w:ind w:left="3420" w:hanging="360"/>
      </w:pPr>
      <w:rPr>
        <w:rFonts w:ascii="Symbol" w:hAnsi="Symbol" w:cs="Symbol" w:hint="default"/>
      </w:rPr>
    </w:lvl>
    <w:lvl w:ilvl="4">
      <w:start w:val="1"/>
      <w:numFmt w:val="bullet"/>
      <w:lvlText w:val="o"/>
      <w:lvlJc w:val="left"/>
      <w:pPr>
        <w:ind w:left="4140" w:hanging="360"/>
      </w:pPr>
      <w:rPr>
        <w:rFonts w:ascii="Courier New" w:hAnsi="Courier New" w:cs="Courier New" w:hint="default"/>
        <w:rFonts w:cs="Courier New"/>
      </w:rPr>
    </w:lvl>
    <w:lvl w:ilvl="5">
      <w:start w:val="1"/>
      <w:numFmt w:val="bullet"/>
      <w:lvlText w:val=""/>
      <w:lvlJc w:val="left"/>
      <w:pPr>
        <w:ind w:left="4860" w:hanging="360"/>
      </w:pPr>
      <w:rPr>
        <w:rFonts w:ascii="Wingdings" w:hAnsi="Wingdings" w:cs="Wingdings" w:hint="default"/>
      </w:rPr>
    </w:lvl>
    <w:lvl w:ilvl="6">
      <w:start w:val="1"/>
      <w:numFmt w:val="bullet"/>
      <w:lvlText w:val=""/>
      <w:lvlJc w:val="left"/>
      <w:pPr>
        <w:ind w:left="5580" w:hanging="360"/>
      </w:pPr>
      <w:rPr>
        <w:rFonts w:ascii="Symbol" w:hAnsi="Symbol" w:cs="Symbol" w:hint="default"/>
      </w:rPr>
    </w:lvl>
    <w:lvl w:ilvl="7">
      <w:start w:val="1"/>
      <w:numFmt w:val="bullet"/>
      <w:lvlText w:val="o"/>
      <w:lvlJc w:val="left"/>
      <w:pPr>
        <w:ind w:left="6300" w:hanging="360"/>
      </w:pPr>
      <w:rPr>
        <w:rFonts w:ascii="Courier New" w:hAnsi="Courier New" w:cs="Courier New" w:hint="default"/>
        <w:rFonts w:cs="Courier New"/>
      </w:rPr>
    </w:lvl>
    <w:lvl w:ilvl="8">
      <w:start w:val="1"/>
      <w:numFmt w:val="bullet"/>
      <w:lvlText w:val=""/>
      <w:lvlJc w:val="left"/>
      <w:pPr>
        <w:ind w:left="7020" w:hanging="360"/>
      </w:pPr>
      <w:rPr>
        <w:rFonts w:ascii="Wingdings" w:hAnsi="Wingdings" w:cs="Wingdings" w:hint="default"/>
      </w:rPr>
    </w:lvl>
  </w:abstractNum>
  <w:abstractNum w:abstractNumId="58">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59">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0">
    <w:lvl w:ilvl="0">
      <w:start w:val="1"/>
      <w:numFmt w:val="decimal"/>
      <w:lvlText w:val="%1."/>
      <w:lvlJc w:val="left"/>
      <w:pPr>
        <w:ind w:left="1260" w:hanging="360"/>
      </w:pPr>
    </w:lvl>
    <w:lvl w:ilvl="1">
      <w:start w:val="1"/>
      <w:numFmt w:val="lowerLetter"/>
      <w:lvlText w:val="%2."/>
      <w:lvlJc w:val="left"/>
      <w:pPr>
        <w:ind w:left="1980" w:hanging="360"/>
      </w:pPr>
    </w:lvl>
    <w:lvl w:ilvl="2">
      <w:start w:val="1"/>
      <w:numFmt w:val="lowerRoman"/>
      <w:lvlText w:val="%3."/>
      <w:lvlJc w:val="right"/>
      <w:pPr>
        <w:ind w:left="2700" w:hanging="180"/>
      </w:pPr>
    </w:lvl>
    <w:lvl w:ilvl="3">
      <w:start w:val="1"/>
      <w:numFmt w:val="decimal"/>
      <w:lvlText w:val="%4."/>
      <w:lvlJc w:val="left"/>
      <w:pPr>
        <w:ind w:left="3420" w:hanging="360"/>
      </w:pPr>
    </w:lvl>
    <w:lvl w:ilvl="4">
      <w:start w:val="1"/>
      <w:numFmt w:val="lowerLetter"/>
      <w:lvlText w:val="%5."/>
      <w:lvlJc w:val="left"/>
      <w:pPr>
        <w:ind w:left="4140" w:hanging="360"/>
      </w:pPr>
    </w:lvl>
    <w:lvl w:ilvl="5">
      <w:start w:val="1"/>
      <w:numFmt w:val="lowerRoman"/>
      <w:lvlText w:val="%6."/>
      <w:lvlJc w:val="right"/>
      <w:pPr>
        <w:ind w:left="4860" w:hanging="180"/>
      </w:pPr>
    </w:lvl>
    <w:lvl w:ilvl="6">
      <w:start w:val="1"/>
      <w:numFmt w:val="decimal"/>
      <w:lvlText w:val="%7."/>
      <w:lvlJc w:val="left"/>
      <w:pPr>
        <w:ind w:left="5580" w:hanging="360"/>
      </w:pPr>
    </w:lvl>
    <w:lvl w:ilvl="7">
      <w:start w:val="1"/>
      <w:numFmt w:val="lowerLetter"/>
      <w:lvlText w:val="%8."/>
      <w:lvlJc w:val="left"/>
      <w:pPr>
        <w:ind w:left="6300" w:hanging="360"/>
      </w:pPr>
    </w:lvl>
    <w:lvl w:ilvl="8">
      <w:start w:val="1"/>
      <w:numFmt w:val="lowerRoman"/>
      <w:lvlText w:val="%9."/>
      <w:lvlJc w:val="right"/>
      <w:pPr>
        <w:ind w:left="7020" w:hanging="180"/>
      </w:pPr>
    </w:lvl>
  </w:abstractNum>
  <w:abstractNum w:abstractNumId="61">
    <w:lvl w:ilvl="0">
      <w:start w:val="1"/>
      <w:numFmt w:val="decimal"/>
      <w:lvlText w:val="%1)"/>
      <w:lvlJc w:val="left"/>
      <w:pPr>
        <w:ind w:left="1260" w:hanging="360"/>
      </w:pPr>
    </w:lvl>
    <w:lvl w:ilvl="1">
      <w:start w:val="1"/>
      <w:numFmt w:val="lowerLetter"/>
      <w:lvlText w:val="%2."/>
      <w:lvlJc w:val="left"/>
      <w:pPr>
        <w:ind w:left="1980" w:hanging="360"/>
      </w:pPr>
    </w:lvl>
    <w:lvl w:ilvl="2">
      <w:start w:val="1"/>
      <w:numFmt w:val="lowerRoman"/>
      <w:lvlText w:val="%3."/>
      <w:lvlJc w:val="right"/>
      <w:pPr>
        <w:ind w:left="2700" w:hanging="180"/>
      </w:pPr>
    </w:lvl>
    <w:lvl w:ilvl="3">
      <w:start w:val="1"/>
      <w:numFmt w:val="decimal"/>
      <w:lvlText w:val="%4."/>
      <w:lvlJc w:val="left"/>
      <w:pPr>
        <w:ind w:left="3420" w:hanging="360"/>
      </w:pPr>
    </w:lvl>
    <w:lvl w:ilvl="4">
      <w:start w:val="1"/>
      <w:numFmt w:val="lowerLetter"/>
      <w:lvlText w:val="%5."/>
      <w:lvlJc w:val="left"/>
      <w:pPr>
        <w:ind w:left="4140" w:hanging="360"/>
      </w:pPr>
    </w:lvl>
    <w:lvl w:ilvl="5">
      <w:start w:val="1"/>
      <w:numFmt w:val="lowerRoman"/>
      <w:lvlText w:val="%6."/>
      <w:lvlJc w:val="right"/>
      <w:pPr>
        <w:ind w:left="4860" w:hanging="180"/>
      </w:pPr>
    </w:lvl>
    <w:lvl w:ilvl="6">
      <w:start w:val="1"/>
      <w:numFmt w:val="decimal"/>
      <w:lvlText w:val="%7."/>
      <w:lvlJc w:val="left"/>
      <w:pPr>
        <w:ind w:left="5580" w:hanging="360"/>
      </w:pPr>
    </w:lvl>
    <w:lvl w:ilvl="7">
      <w:start w:val="1"/>
      <w:numFmt w:val="lowerLetter"/>
      <w:lvlText w:val="%8."/>
      <w:lvlJc w:val="left"/>
      <w:pPr>
        <w:ind w:left="6300" w:hanging="360"/>
      </w:pPr>
    </w:lvl>
    <w:lvl w:ilvl="8">
      <w:start w:val="1"/>
      <w:numFmt w:val="lowerRoman"/>
      <w:lvlText w:val="%9."/>
      <w:lvlJc w:val="right"/>
      <w:pPr>
        <w:ind w:left="7020" w:hanging="180"/>
      </w:pPr>
    </w:lvl>
  </w:abstractNum>
  <w:abstractNum w:abstractNumId="62">
    <w:lvl w:ilvl="0">
      <w:start w:val="1"/>
      <w:numFmt w:val="decimal"/>
      <w:lvlText w:val="1.%1"/>
      <w:lvlJc w:val="left"/>
      <w:pPr>
        <w:ind w:left="928" w:hanging="360"/>
      </w:pPr>
    </w:lvl>
    <w:lvl w:ilvl="1">
      <w:start w:val="1"/>
      <w:numFmt w:val="lowerLetter"/>
      <w:lvlText w:val="%2."/>
      <w:lvlJc w:val="left"/>
      <w:pPr>
        <w:ind w:left="1108" w:hanging="360"/>
      </w:pPr>
    </w:lvl>
    <w:lvl w:ilvl="2">
      <w:start w:val="1"/>
      <w:numFmt w:val="lowerRoman"/>
      <w:lvlText w:val="%3."/>
      <w:lvlJc w:val="right"/>
      <w:pPr>
        <w:ind w:left="1828" w:hanging="180"/>
      </w:pPr>
    </w:lvl>
    <w:lvl w:ilvl="3">
      <w:start w:val="1"/>
      <w:numFmt w:val="decimal"/>
      <w:lvlText w:val="%4."/>
      <w:lvlJc w:val="left"/>
      <w:pPr>
        <w:ind w:left="2548" w:hanging="360"/>
      </w:pPr>
    </w:lvl>
    <w:lvl w:ilvl="4">
      <w:start w:val="1"/>
      <w:numFmt w:val="lowerLetter"/>
      <w:lvlText w:val="%5."/>
      <w:lvlJc w:val="left"/>
      <w:pPr>
        <w:ind w:left="3268" w:hanging="360"/>
      </w:pPr>
    </w:lvl>
    <w:lvl w:ilvl="5">
      <w:start w:val="1"/>
      <w:numFmt w:val="lowerRoman"/>
      <w:lvlText w:val="%6."/>
      <w:lvlJc w:val="right"/>
      <w:pPr>
        <w:ind w:left="3988" w:hanging="180"/>
      </w:pPr>
    </w:lvl>
    <w:lvl w:ilvl="6">
      <w:start w:val="1"/>
      <w:numFmt w:val="decimal"/>
      <w:lvlText w:val="%7."/>
      <w:lvlJc w:val="left"/>
      <w:pPr>
        <w:ind w:left="4708" w:hanging="360"/>
      </w:pPr>
    </w:lvl>
    <w:lvl w:ilvl="7">
      <w:start w:val="1"/>
      <w:numFmt w:val="lowerLetter"/>
      <w:lvlText w:val="%8."/>
      <w:lvlJc w:val="left"/>
      <w:pPr>
        <w:ind w:left="5428" w:hanging="360"/>
      </w:pPr>
    </w:lvl>
    <w:lvl w:ilvl="8">
      <w:start w:val="1"/>
      <w:numFmt w:val="lowerRoman"/>
      <w:lvlText w:val="%9."/>
      <w:lvlJc w:val="right"/>
      <w:pPr>
        <w:ind w:left="6148" w:hanging="180"/>
      </w:pPr>
    </w:lvl>
  </w:abstractNum>
  <w:abstractNum w:abstractNumId="63">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lvl w:ilvl="0">
      <w:start w:val="1"/>
      <w:numFmt w:val="bullet"/>
      <w:lvlText w:val=""/>
      <w:lvlJc w:val="left"/>
      <w:pPr>
        <w:ind w:left="1260" w:hanging="360"/>
      </w:pPr>
      <w:rPr>
        <w:rFonts w:ascii="Symbol" w:hAnsi="Symbol" w:cs="Symbol" w:hint="default"/>
      </w:rPr>
    </w:lvl>
    <w:lvl w:ilvl="1">
      <w:start w:val="1"/>
      <w:numFmt w:val="bullet"/>
      <w:lvlText w:val="o"/>
      <w:lvlJc w:val="left"/>
      <w:pPr>
        <w:ind w:left="1980" w:hanging="360"/>
      </w:pPr>
      <w:rPr>
        <w:rFonts w:ascii="Courier New" w:hAnsi="Courier New" w:cs="Courier New" w:hint="default"/>
        <w:rFonts w:cs="Courier New"/>
      </w:rPr>
    </w:lvl>
    <w:lvl w:ilvl="2">
      <w:start w:val="1"/>
      <w:numFmt w:val="bullet"/>
      <w:lvlText w:val=""/>
      <w:lvlJc w:val="left"/>
      <w:pPr>
        <w:ind w:left="2700" w:hanging="360"/>
      </w:pPr>
      <w:rPr>
        <w:rFonts w:ascii="Wingdings" w:hAnsi="Wingdings" w:cs="Wingdings" w:hint="default"/>
      </w:rPr>
    </w:lvl>
    <w:lvl w:ilvl="3">
      <w:start w:val="1"/>
      <w:numFmt w:val="bullet"/>
      <w:lvlText w:val=""/>
      <w:lvlJc w:val="left"/>
      <w:pPr>
        <w:ind w:left="3420" w:hanging="360"/>
      </w:pPr>
      <w:rPr>
        <w:rFonts w:ascii="Symbol" w:hAnsi="Symbol" w:cs="Symbol" w:hint="default"/>
      </w:rPr>
    </w:lvl>
    <w:lvl w:ilvl="4">
      <w:start w:val="1"/>
      <w:numFmt w:val="bullet"/>
      <w:lvlText w:val="o"/>
      <w:lvlJc w:val="left"/>
      <w:pPr>
        <w:ind w:left="4140" w:hanging="360"/>
      </w:pPr>
      <w:rPr>
        <w:rFonts w:ascii="Courier New" w:hAnsi="Courier New" w:cs="Courier New" w:hint="default"/>
        <w:rFonts w:cs="Courier New"/>
      </w:rPr>
    </w:lvl>
    <w:lvl w:ilvl="5">
      <w:start w:val="1"/>
      <w:numFmt w:val="bullet"/>
      <w:lvlText w:val=""/>
      <w:lvlJc w:val="left"/>
      <w:pPr>
        <w:ind w:left="4860" w:hanging="360"/>
      </w:pPr>
      <w:rPr>
        <w:rFonts w:ascii="Wingdings" w:hAnsi="Wingdings" w:cs="Wingdings" w:hint="default"/>
      </w:rPr>
    </w:lvl>
    <w:lvl w:ilvl="6">
      <w:start w:val="1"/>
      <w:numFmt w:val="bullet"/>
      <w:lvlText w:val=""/>
      <w:lvlJc w:val="left"/>
      <w:pPr>
        <w:ind w:left="5580" w:hanging="360"/>
      </w:pPr>
      <w:rPr>
        <w:rFonts w:ascii="Symbol" w:hAnsi="Symbol" w:cs="Symbol" w:hint="default"/>
      </w:rPr>
    </w:lvl>
    <w:lvl w:ilvl="7">
      <w:start w:val="1"/>
      <w:numFmt w:val="bullet"/>
      <w:lvlText w:val="o"/>
      <w:lvlJc w:val="left"/>
      <w:pPr>
        <w:ind w:left="6300" w:hanging="360"/>
      </w:pPr>
      <w:rPr>
        <w:rFonts w:ascii="Courier New" w:hAnsi="Courier New" w:cs="Courier New" w:hint="default"/>
        <w:rFonts w:cs="Courier New"/>
      </w:rPr>
    </w:lvl>
    <w:lvl w:ilvl="8">
      <w:start w:val="1"/>
      <w:numFmt w:val="bullet"/>
      <w:lvlText w:val=""/>
      <w:lvlJc w:val="left"/>
      <w:pPr>
        <w:ind w:left="7020" w:hanging="360"/>
      </w:pPr>
      <w:rPr>
        <w:rFonts w:ascii="Wingdings" w:hAnsi="Wingdings" w:cs="Wingdings" w:hint="default"/>
      </w:rPr>
    </w:lvl>
  </w:abstractNum>
  <w:abstractNum w:abstractNumId="65">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6">
    <w:lvl w:ilvl="0">
      <w:start w:val="1"/>
      <w:numFmt w:val="bullet"/>
      <w:lvlText w:val=""/>
      <w:lvlJc w:val="left"/>
      <w:pPr>
        <w:ind w:left="1429" w:hanging="360"/>
      </w:pPr>
      <w:rPr>
        <w:rFonts w:ascii="Symbol" w:hAnsi="Symbol" w:cs="Symbol" w:hint="default"/>
      </w:r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67">
    <w:lvl w:ilvl="0">
      <w:start w:val="1"/>
      <w:numFmt w:val="decimal"/>
      <w:lvlText w:val="%1."/>
      <w:lvlJc w:val="left"/>
      <w:pPr>
        <w:ind w:left="1260" w:hanging="360"/>
      </w:pPr>
    </w:lvl>
    <w:lvl w:ilvl="1">
      <w:start w:val="1"/>
      <w:numFmt w:val="lowerLetter"/>
      <w:lvlText w:val="%2."/>
      <w:lvlJc w:val="left"/>
      <w:pPr>
        <w:ind w:left="1980" w:hanging="360"/>
      </w:pPr>
    </w:lvl>
    <w:lvl w:ilvl="2">
      <w:start w:val="1"/>
      <w:numFmt w:val="lowerRoman"/>
      <w:lvlText w:val="%3."/>
      <w:lvlJc w:val="right"/>
      <w:pPr>
        <w:ind w:left="2700" w:hanging="180"/>
      </w:pPr>
    </w:lvl>
    <w:lvl w:ilvl="3">
      <w:start w:val="1"/>
      <w:numFmt w:val="decimal"/>
      <w:lvlText w:val="%4."/>
      <w:lvlJc w:val="left"/>
      <w:pPr>
        <w:ind w:left="3420" w:hanging="360"/>
      </w:pPr>
    </w:lvl>
    <w:lvl w:ilvl="4">
      <w:start w:val="1"/>
      <w:numFmt w:val="lowerLetter"/>
      <w:lvlText w:val="%5."/>
      <w:lvlJc w:val="left"/>
      <w:pPr>
        <w:ind w:left="4140" w:hanging="360"/>
      </w:pPr>
    </w:lvl>
    <w:lvl w:ilvl="5">
      <w:start w:val="1"/>
      <w:numFmt w:val="lowerRoman"/>
      <w:lvlText w:val="%6."/>
      <w:lvlJc w:val="right"/>
      <w:pPr>
        <w:ind w:left="4860" w:hanging="180"/>
      </w:pPr>
    </w:lvl>
    <w:lvl w:ilvl="6">
      <w:start w:val="1"/>
      <w:numFmt w:val="decimal"/>
      <w:lvlText w:val="%7."/>
      <w:lvlJc w:val="left"/>
      <w:pPr>
        <w:ind w:left="5580" w:hanging="360"/>
      </w:pPr>
    </w:lvl>
    <w:lvl w:ilvl="7">
      <w:start w:val="1"/>
      <w:numFmt w:val="lowerLetter"/>
      <w:lvlText w:val="%8."/>
      <w:lvlJc w:val="left"/>
      <w:pPr>
        <w:ind w:left="6300" w:hanging="360"/>
      </w:pPr>
    </w:lvl>
    <w:lvl w:ilvl="8">
      <w:start w:val="1"/>
      <w:numFmt w:val="lowerRoman"/>
      <w:lvlText w:val="%9."/>
      <w:lvlJc w:val="right"/>
      <w:pPr>
        <w:ind w:left="7020" w:hanging="180"/>
      </w:pPr>
    </w:lvl>
  </w:abstractNum>
  <w:abstractNum w:abstractNumId="68">
    <w:lvl w:ilvl="0">
      <w:start w:val="1"/>
      <w:numFmt w:val="decimal"/>
      <w:lvlText w:val="%1)"/>
      <w:lvlJc w:val="left"/>
      <w:pPr>
        <w:ind w:left="1287" w:hanging="360"/>
      </w:p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69">
    <w:lvl w:ilvl="0">
      <w:start w:val="1"/>
      <w:numFmt w:val="decimal"/>
      <w:lvlText w:val="%1)"/>
      <w:lvlJc w:val="left"/>
      <w:pPr>
        <w:ind w:left="1211" w:hanging="360"/>
      </w:p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70">
    <w:lvl w:ilvl="0">
      <w:start w:val="1"/>
      <w:numFmt w:val="decimal"/>
      <w:lvlText w:val="%1)"/>
      <w:lvlJc w:val="left"/>
      <w:pPr>
        <w:ind w:left="1070" w:hanging="360"/>
      </w:p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71">
    <w:lvl w:ilvl="0">
      <w:start w:val="1"/>
      <w:numFmt w:val="decimal"/>
      <w:lvlText w:val="%1)"/>
      <w:lvlJc w:val="left"/>
      <w:pPr>
        <w:ind w:left="1287" w:hanging="360"/>
      </w:p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72">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 w:numId="65">
    <w:abstractNumId w:val="65"/>
  </w:num>
  <w:num w:numId="66">
    <w:abstractNumId w:val="66"/>
  </w:num>
  <w:num w:numId="67">
    <w:abstractNumId w:val="67"/>
  </w:num>
  <w:num w:numId="68">
    <w:abstractNumId w:val="68"/>
  </w:num>
  <w:num w:numId="69">
    <w:abstractNumId w:val="69"/>
  </w:num>
  <w:num w:numId="70">
    <w:abstractNumId w:val="70"/>
  </w:num>
  <w:num w:numId="71">
    <w:abstractNumId w:val="71"/>
  </w:num>
  <w:num w:numId="72">
    <w:abstractNumId w:val="72"/>
  </w:num>
</w:numbering>
</file>

<file path=word/settings.xml><?xml version="1.0" encoding="utf-8"?>
<w:settings xmlns:w="http://schemas.openxmlformats.org/wordprocessingml/2006/main">
  <w:zoom w:percent="100"/>
  <w:defaultTabStop w:val="708"/>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ru-RU"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ru-RU" w:eastAsia="en-US" w:bidi="ar-SA"/>
      </w:rPr>
    </w:rPrDefault>
    <w:pPrDefault>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21249c"/>
    <w:pPr>
      <w:widowControl/>
      <w:bidi w:val="0"/>
      <w:spacing w:lineRule="auto" w:line="240" w:before="0" w:after="0"/>
      <w:jc w:val="left"/>
    </w:pPr>
    <w:rPr>
      <w:rFonts w:ascii="Times New Roman" w:hAnsi="Times New Roman" w:eastAsia="Times New Roman" w:cs="Times New Roman"/>
      <w:color w:val="auto"/>
      <w:kern w:val="0"/>
      <w:sz w:val="24"/>
      <w:szCs w:val="24"/>
      <w:lang w:val="ru-RU" w:eastAsia="ru-RU" w:bidi="ar-SA"/>
    </w:rPr>
  </w:style>
  <w:style w:type="paragraph" w:styleId="2">
    <w:name w:val="Heading 2"/>
    <w:basedOn w:val="Normal"/>
    <w:next w:val="Normal"/>
    <w:qFormat/>
    <w:pPr>
      <w:keepNext w:val="true"/>
      <w:keepLines/>
      <w:spacing w:before="40" w:after="0"/>
      <w:outlineLvl w:val="1"/>
    </w:pPr>
    <w:rPr>
      <w:rFonts w:ascii="Calibri Light" w:hAnsi="Calibri Light" w:eastAsia="" w:cs="" w:asciiTheme="majorHAnsi" w:cstheme="majorBidi" w:eastAsiaTheme="majorEastAsia" w:hAnsiTheme="majorHAnsi"/>
      <w:color w:val="2E74B5" w:themeColor="accent1" w:themeShade="bf"/>
      <w:sz w:val="26"/>
      <w:szCs w:val="26"/>
    </w:rPr>
  </w:style>
  <w:style w:type="paragraph" w:styleId="3">
    <w:name w:val="Heading 3"/>
    <w:basedOn w:val="Normal"/>
    <w:next w:val="Normal"/>
    <w:qFormat/>
    <w:pPr>
      <w:keepNext w:val="true"/>
      <w:spacing w:before="240" w:after="60"/>
      <w:outlineLvl w:val="2"/>
    </w:pPr>
    <w:rPr>
      <w:rFonts w:ascii="Cambria" w:hAnsi="Cambria" w:eastAsia="Times New Roman"/>
      <w:b/>
      <w:bCs/>
      <w:sz w:val="26"/>
      <w:szCs w:val="26"/>
    </w:rPr>
  </w:style>
  <w:style w:type="paragraph" w:styleId="4">
    <w:name w:val="Heading 4"/>
    <w:basedOn w:val="Normal"/>
    <w:next w:val="Normal"/>
    <w:qFormat/>
    <w:pPr>
      <w:keepNext w:val="true"/>
      <w:keepLines/>
      <w:spacing w:before="40" w:after="0"/>
      <w:outlineLvl w:val="3"/>
    </w:pPr>
    <w:rPr>
      <w:rFonts w:ascii="Calibri Light" w:hAnsi="Calibri Light" w:eastAsia="" w:cs="" w:asciiTheme="majorHAnsi" w:cstheme="majorBidi" w:eastAsiaTheme="majorEastAsia" w:hAnsiTheme="majorHAnsi"/>
      <w:i/>
      <w:iCs/>
      <w:color w:val="2E74B5" w:themeColor="accent1" w:themeShade="bf"/>
    </w:rPr>
  </w:style>
  <w:style w:type="character" w:styleId="DefaultParagraphFont" w:default="1">
    <w:name w:val="Default Paragraph Font"/>
    <w:uiPriority w:val="1"/>
    <w:semiHidden/>
    <w:unhideWhenUsed/>
    <w:qFormat/>
    <w:rPr/>
  </w:style>
  <w:style w:type="character" w:styleId="6" w:customStyle="1">
    <w:name w:val="Основной текст (6)_"/>
    <w:basedOn w:val="DefaultParagraphFont"/>
    <w:link w:val="60"/>
    <w:qFormat/>
    <w:rsid w:val="005c5694"/>
    <w:rPr>
      <w:rFonts w:ascii="Times New Roman" w:hAnsi="Times New Roman" w:eastAsia="Times New Roman" w:cs="Times New Roman"/>
      <w:shd w:fill="FFFFFF" w:val="clear"/>
    </w:rPr>
  </w:style>
  <w:style w:type="character" w:styleId="Style11" w:customStyle="1">
    <w:name w:val="Текст выноски Знак"/>
    <w:basedOn w:val="DefaultParagraphFont"/>
    <w:link w:val="a5"/>
    <w:uiPriority w:val="99"/>
    <w:semiHidden/>
    <w:qFormat/>
    <w:rsid w:val="002269eb"/>
    <w:rPr>
      <w:rFonts w:ascii="Segoe UI" w:hAnsi="Segoe UI" w:eastAsia="Times New Roman" w:cs="Segoe UI"/>
      <w:sz w:val="18"/>
      <w:szCs w:val="18"/>
      <w:lang w:eastAsia="ru-RU"/>
    </w:rPr>
  </w:style>
  <w:style w:type="character" w:styleId="Style12" w:customStyle="1">
    <w:name w:val="Верхний колонтитул Знак"/>
    <w:basedOn w:val="DefaultParagraphFont"/>
    <w:link w:val="a7"/>
    <w:uiPriority w:val="99"/>
    <w:qFormat/>
    <w:rsid w:val="002136fc"/>
    <w:rPr>
      <w:rFonts w:ascii="Times New Roman" w:hAnsi="Times New Roman" w:eastAsia="Times New Roman" w:cs="Times New Roman"/>
      <w:sz w:val="24"/>
      <w:szCs w:val="24"/>
      <w:lang w:eastAsia="ru-RU"/>
    </w:rPr>
  </w:style>
  <w:style w:type="character" w:styleId="Style13" w:customStyle="1">
    <w:name w:val="Нижний колонтитул Знак"/>
    <w:basedOn w:val="DefaultParagraphFont"/>
    <w:link w:val="a9"/>
    <w:uiPriority w:val="99"/>
    <w:qFormat/>
    <w:rsid w:val="002136fc"/>
    <w:rPr>
      <w:rFonts w:ascii="Times New Roman" w:hAnsi="Times New Roman" w:eastAsia="Times New Roman" w:cs="Times New Roman"/>
      <w:sz w:val="24"/>
      <w:szCs w:val="24"/>
      <w:lang w:eastAsia="ru-RU"/>
    </w:rPr>
  </w:style>
  <w:style w:type="character" w:styleId="Style14">
    <w:name w:val="Интернет-ссылка"/>
    <w:rPr>
      <w:color w:val="000080"/>
      <w:u w:val="single"/>
      <w:lang w:val="zxx" w:eastAsia="zxx" w:bidi="zxx"/>
    </w:rPr>
  </w:style>
  <w:style w:type="character" w:styleId="Style15">
    <w:name w:val="Ссылка указателя"/>
    <w:qFormat/>
    <w:rPr/>
  </w:style>
  <w:style w:type="character" w:styleId="Annotationreference">
    <w:name w:val="annotation reference"/>
    <w:basedOn w:val="DefaultParagraphFont"/>
    <w:qFormat/>
    <w:rPr>
      <w:sz w:val="16"/>
      <w:szCs w:val="16"/>
    </w:rPr>
  </w:style>
  <w:style w:type="paragraph" w:styleId="Style16">
    <w:name w:val="Заголовок"/>
    <w:basedOn w:val="Normal"/>
    <w:next w:val="Style17"/>
    <w:qFormat/>
    <w:pPr>
      <w:keepNext w:val="true"/>
      <w:spacing w:before="240" w:after="120"/>
    </w:pPr>
    <w:rPr>
      <w:rFonts w:ascii="Liberation Sans" w:hAnsi="Liberation Sans" w:eastAsia="Microsoft YaHei" w:cs="Arial"/>
      <w:sz w:val="28"/>
      <w:szCs w:val="28"/>
    </w:rPr>
  </w:style>
  <w:style w:type="paragraph" w:styleId="Style17">
    <w:name w:val="Body Text"/>
    <w:basedOn w:val="Normal"/>
    <w:pPr>
      <w:spacing w:lineRule="auto" w:line="276" w:before="0" w:after="140"/>
    </w:pPr>
    <w:rPr/>
  </w:style>
  <w:style w:type="paragraph" w:styleId="Style18">
    <w:name w:val="List"/>
    <w:basedOn w:val="Style17"/>
    <w:pPr/>
    <w:rPr>
      <w:rFonts w:cs="Arial"/>
    </w:rPr>
  </w:style>
  <w:style w:type="paragraph" w:styleId="Style19">
    <w:name w:val="Caption"/>
    <w:basedOn w:val="Normal"/>
    <w:qFormat/>
    <w:pPr>
      <w:suppressLineNumbers/>
      <w:spacing w:before="120" w:after="120"/>
    </w:pPr>
    <w:rPr>
      <w:rFonts w:cs="Arial"/>
      <w:i/>
      <w:iCs/>
      <w:sz w:val="24"/>
      <w:szCs w:val="24"/>
    </w:rPr>
  </w:style>
  <w:style w:type="paragraph" w:styleId="Style20">
    <w:name w:val="Указатель"/>
    <w:basedOn w:val="Normal"/>
    <w:qFormat/>
    <w:pPr>
      <w:suppressLineNumbers/>
    </w:pPr>
    <w:rPr>
      <w:rFonts w:cs="Arial"/>
    </w:rPr>
  </w:style>
  <w:style w:type="paragraph" w:styleId="NormalWeb">
    <w:name w:val="Normal (Web)"/>
    <w:basedOn w:val="Normal"/>
    <w:uiPriority w:val="99"/>
    <w:semiHidden/>
    <w:unhideWhenUsed/>
    <w:qFormat/>
    <w:rsid w:val="0021249c"/>
    <w:pPr>
      <w:spacing w:beforeAutospacing="1" w:afterAutospacing="1"/>
    </w:pPr>
    <w:rPr/>
  </w:style>
  <w:style w:type="paragraph" w:styleId="61" w:customStyle="1">
    <w:name w:val="Основной текст (6)"/>
    <w:basedOn w:val="Normal"/>
    <w:link w:val="6"/>
    <w:qFormat/>
    <w:rsid w:val="005c5694"/>
    <w:pPr>
      <w:widowControl w:val="false"/>
      <w:shd w:val="clear" w:color="auto" w:fill="FFFFFF"/>
      <w:spacing w:lineRule="auto" w:line="240"/>
    </w:pPr>
    <w:rPr>
      <w:sz w:val="22"/>
      <w:szCs w:val="22"/>
      <w:lang w:eastAsia="en-US"/>
    </w:rPr>
  </w:style>
  <w:style w:type="paragraph" w:styleId="ListParagraph">
    <w:name w:val="List Paragraph"/>
    <w:basedOn w:val="Normal"/>
    <w:uiPriority w:val="34"/>
    <w:qFormat/>
    <w:rsid w:val="002269eb"/>
    <w:pPr>
      <w:spacing w:before="0" w:after="0"/>
      <w:ind w:left="720" w:hanging="0"/>
      <w:contextualSpacing/>
    </w:pPr>
    <w:rPr/>
  </w:style>
  <w:style w:type="paragraph" w:styleId="BalloonText">
    <w:name w:val="Balloon Text"/>
    <w:basedOn w:val="Normal"/>
    <w:link w:val="a6"/>
    <w:uiPriority w:val="99"/>
    <w:semiHidden/>
    <w:unhideWhenUsed/>
    <w:qFormat/>
    <w:rsid w:val="002269eb"/>
    <w:pPr/>
    <w:rPr>
      <w:rFonts w:ascii="Segoe UI" w:hAnsi="Segoe UI" w:cs="Segoe UI"/>
      <w:sz w:val="18"/>
      <w:szCs w:val="18"/>
    </w:rPr>
  </w:style>
  <w:style w:type="paragraph" w:styleId="Style21">
    <w:name w:val="Верхний и нижний колонтитулы"/>
    <w:basedOn w:val="Normal"/>
    <w:qFormat/>
    <w:pPr/>
    <w:rPr/>
  </w:style>
  <w:style w:type="paragraph" w:styleId="Style22">
    <w:name w:val="Header"/>
    <w:basedOn w:val="Normal"/>
    <w:link w:val="a8"/>
    <w:uiPriority w:val="99"/>
    <w:unhideWhenUsed/>
    <w:rsid w:val="002136fc"/>
    <w:pPr>
      <w:tabs>
        <w:tab w:val="clear" w:pos="708"/>
        <w:tab w:val="center" w:pos="4677" w:leader="none"/>
        <w:tab w:val="right" w:pos="9355" w:leader="none"/>
      </w:tabs>
    </w:pPr>
    <w:rPr/>
  </w:style>
  <w:style w:type="paragraph" w:styleId="Style23">
    <w:name w:val="Footer"/>
    <w:basedOn w:val="Normal"/>
    <w:link w:val="aa"/>
    <w:uiPriority w:val="99"/>
    <w:unhideWhenUsed/>
    <w:rsid w:val="002136fc"/>
    <w:pPr>
      <w:tabs>
        <w:tab w:val="clear" w:pos="708"/>
        <w:tab w:val="center" w:pos="4677" w:leader="none"/>
        <w:tab w:val="right" w:pos="9355" w:leader="none"/>
      </w:tabs>
    </w:pPr>
    <w:rPr/>
  </w:style>
  <w:style w:type="paragraph" w:styleId="1">
    <w:name w:val="TOC 1"/>
    <w:basedOn w:val="Normal"/>
    <w:next w:val="Normal"/>
    <w:pPr>
      <w:spacing w:lineRule="auto" w:line="276" w:before="120" w:after="0"/>
      <w:jc w:val="left"/>
    </w:pPr>
    <w:rPr>
      <w:rFonts w:eastAsia="Times New Roman"/>
      <w:bCs/>
      <w:caps/>
      <w:szCs w:val="20"/>
      <w:lang w:eastAsia="ru-RU"/>
    </w:rPr>
  </w:style>
  <w:style w:type="paragraph" w:styleId="41">
    <w:name w:val="TOC 4"/>
    <w:basedOn w:val="Normal"/>
    <w:next w:val="Normal"/>
    <w:pPr>
      <w:spacing w:lineRule="auto" w:line="276"/>
      <w:ind w:left="720" w:hanging="0"/>
      <w:jc w:val="left"/>
    </w:pPr>
    <w:rPr>
      <w:rFonts w:cs="Calibri"/>
      <w:szCs w:val="20"/>
    </w:rPr>
  </w:style>
  <w:style w:type="paragraph" w:styleId="21">
    <w:name w:val="TOC 2"/>
    <w:basedOn w:val="Normal"/>
    <w:next w:val="Normal"/>
    <w:pPr>
      <w:spacing w:lineRule="auto" w:line="276" w:before="0" w:after="0"/>
      <w:contextualSpacing/>
    </w:pPr>
    <w:rPr>
      <w:rFonts w:eastAsia="Times New Roman"/>
      <w:smallCaps/>
      <w:szCs w:val="24"/>
      <w:lang w:eastAsia="ru-RU"/>
    </w:rPr>
  </w:style>
  <w:style w:type="paragraph" w:styleId="31">
    <w:name w:val="TOC 3"/>
    <w:basedOn w:val="Normal"/>
    <w:next w:val="Normal"/>
    <w:pPr>
      <w:spacing w:lineRule="auto" w:line="276"/>
      <w:ind w:left="482" w:hanging="0"/>
      <w:jc w:val="left"/>
    </w:pPr>
    <w:rPr>
      <w:rFonts w:eastAsia="Times New Roman"/>
      <w:iCs/>
      <w:szCs w:val="20"/>
      <w:lang w:eastAsia="ru-RU"/>
    </w:rPr>
  </w:style>
  <w:style w:type="paragraph" w:styleId="021216">
    <w:name w:val="021216Раздел"/>
    <w:basedOn w:val="Normal"/>
    <w:next w:val="Normal"/>
    <w:qFormat/>
    <w:pPr>
      <w:keepNext w:val="true"/>
      <w:spacing w:lineRule="auto" w:line="276"/>
      <w:jc w:val="left"/>
      <w:outlineLvl w:val="0"/>
    </w:pPr>
    <w:rPr>
      <w:rFonts w:eastAsia="Times New Roman"/>
      <w:b/>
      <w:sz w:val="28"/>
      <w:szCs w:val="28"/>
      <w:lang w:eastAsia="ru-RU"/>
    </w:rPr>
  </w:style>
  <w:style w:type="paragraph" w:styleId="Annotationtext">
    <w:name w:val="annotation text"/>
    <w:basedOn w:val="Normal"/>
    <w:qFormat/>
    <w:pPr>
      <w:spacing w:lineRule="auto" w:line="240"/>
    </w:pPr>
    <w:rPr>
      <w:sz w:val="20"/>
      <w:szCs w:val="20"/>
    </w:rPr>
  </w:style>
  <w:style w:type="paragraph" w:styleId="ListBullet">
    <w:name w:val="List Bullet"/>
    <w:basedOn w:val="Normal"/>
    <w:qFormat/>
    <w:pPr>
      <w:spacing w:before="0" w:after="0"/>
      <w:ind w:left="720" w:hanging="360"/>
      <w:contextualSpacing/>
    </w:pPr>
    <w:rPr/>
  </w:style>
  <w:style w:type="paragraph" w:styleId="S">
    <w:name w:val="S_Обычный жирный"/>
    <w:basedOn w:val="Normal"/>
    <w:qFormat/>
    <w:pPr>
      <w:spacing w:lineRule="auto" w:line="240"/>
      <w:ind w:firstLine="709"/>
      <w:jc w:val="left"/>
    </w:pPr>
    <w:rPr>
      <w:rFonts w:eastAsia="Times New Roman"/>
      <w:sz w:val="28"/>
      <w:szCs w:val="24"/>
      <w:lang w:eastAsia="ru-RU"/>
    </w:rPr>
  </w:style>
  <w:style w:type="paragraph" w:styleId="0212161">
    <w:name w:val="021216Подглава"/>
    <w:basedOn w:val="3"/>
    <w:next w:val="0212162"/>
    <w:qFormat/>
    <w:pPr>
      <w:tabs>
        <w:tab w:val="clear" w:pos="708"/>
        <w:tab w:val="left" w:pos="709" w:leader="none"/>
      </w:tabs>
      <w:spacing w:lineRule="auto" w:line="276" w:before="120" w:after="0"/>
      <w:outlineLvl w:val="3"/>
    </w:pPr>
    <w:rPr>
      <w:rFonts w:ascii="Times New Roman" w:hAnsi="Times New Roman"/>
      <w:bCs w:val="false"/>
      <w:sz w:val="24"/>
      <w:szCs w:val="24"/>
    </w:rPr>
  </w:style>
  <w:style w:type="paragraph" w:styleId="0212162">
    <w:name w:val="021216Заголовок"/>
    <w:basedOn w:val="Normal"/>
    <w:next w:val="0212163"/>
    <w:qFormat/>
    <w:pPr>
      <w:tabs>
        <w:tab w:val="clear" w:pos="708"/>
        <w:tab w:val="left" w:pos="2220" w:leader="none"/>
      </w:tabs>
      <w:spacing w:lineRule="auto" w:line="276"/>
      <w:jc w:val="center"/>
    </w:pPr>
    <w:rPr/>
  </w:style>
  <w:style w:type="paragraph" w:styleId="0212163">
    <w:name w:val="021216Текст"/>
    <w:basedOn w:val="Normal"/>
    <w:qFormat/>
    <w:pPr>
      <w:tabs>
        <w:tab w:val="clear" w:pos="708"/>
        <w:tab w:val="left" w:pos="1035" w:leader="none"/>
      </w:tabs>
      <w:jc w:val="center"/>
    </w:pPr>
    <w:rPr>
      <w:lang w:eastAsia="ar-SA"/>
    </w:rPr>
  </w:style>
  <w:style w:type="paragraph" w:styleId="0212164">
    <w:name w:val="021216Глава"/>
    <w:basedOn w:val="2"/>
    <w:next w:val="0212161"/>
    <w:qFormat/>
    <w:pPr>
      <w:spacing w:lineRule="auto" w:line="276" w:before="120" w:after="120"/>
      <w:jc w:val="left"/>
    </w:pPr>
    <w:rPr>
      <w:rFonts w:ascii="Times New Roman Полужирный" w:hAnsi="Times New Roman Полужирный" w:eastAsia="Times New Roman" w:cs="Times New Roman"/>
      <w:b/>
      <w:caps/>
      <w:color w:val="auto"/>
      <w:sz w:val="24"/>
      <w:szCs w:val="24"/>
      <w:lang w:eastAsia="ru-RU"/>
    </w:rPr>
  </w:style>
  <w:style w:type="paragraph" w:styleId="Style24">
    <w:name w:val="Абзац"/>
    <w:basedOn w:val="Normal"/>
    <w:qFormat/>
    <w:pPr>
      <w:spacing w:lineRule="auto" w:line="240" w:before="120" w:after="60"/>
      <w:ind w:firstLine="567"/>
    </w:pPr>
    <w:rPr>
      <w:rFonts w:eastAsia="Times New Roman"/>
      <w:szCs w:val="24"/>
      <w:lang w:eastAsia="ru-RU"/>
    </w:rPr>
  </w:style>
  <w:style w:type="paragraph" w:styleId="Style25">
    <w:name w:val="МОЕ"/>
    <w:basedOn w:val="Normal"/>
    <w:qFormat/>
    <w:pPr>
      <w:spacing w:lineRule="auto" w:line="240"/>
      <w:ind w:firstLine="709"/>
    </w:pPr>
    <w:rPr>
      <w:rFonts w:eastAsia="Times New Roman"/>
      <w:spacing w:val="10"/>
      <w:sz w:val="28"/>
      <w:szCs w:val="28"/>
      <w:lang w:eastAsia="ar-SA"/>
    </w:rPr>
  </w:style>
  <w:style w:type="paragraph" w:styleId="BodyTextIndent3">
    <w:name w:val="Body Text Indent 3"/>
    <w:basedOn w:val="Normal"/>
    <w:qFormat/>
    <w:pPr>
      <w:spacing w:before="0" w:after="120"/>
      <w:ind w:left="283" w:hanging="0"/>
    </w:pPr>
    <w:rPr>
      <w:sz w:val="16"/>
      <w:szCs w:val="16"/>
    </w:rPr>
  </w:style>
  <w:style w:type="paragraph" w:styleId="Style26">
    <w:name w:val="Текст доклада"/>
    <w:basedOn w:val="BodyTextIndent3"/>
    <w:qFormat/>
    <w:pPr>
      <w:spacing w:lineRule="auto" w:line="240" w:before="0" w:after="0"/>
      <w:ind w:left="0" w:firstLine="709"/>
    </w:pPr>
    <w:rPr>
      <w:rFonts w:eastAsia="Times New Roman"/>
      <w:sz w:val="24"/>
      <w:szCs w:val="24"/>
    </w:rPr>
  </w:style>
  <w:style w:type="paragraph" w:styleId="Standard">
    <w:name w:val="Standard"/>
    <w:qFormat/>
    <w:pPr>
      <w:widowControl w:val="false"/>
      <w:suppressAutoHyphens w:val="true"/>
      <w:bidi w:val="0"/>
      <w:spacing w:before="0" w:after="0"/>
      <w:jc w:val="left"/>
      <w:textAlignment w:val="baseline"/>
    </w:pPr>
    <w:rPr>
      <w:rFonts w:ascii="Times New Roman" w:hAnsi="Times New Roman" w:eastAsia="Arial Unicode MS" w:cs="Mangal"/>
      <w:color w:val="auto"/>
      <w:kern w:val="2"/>
      <w:sz w:val="24"/>
      <w:szCs w:val="24"/>
      <w:lang w:eastAsia="zh-CN" w:bidi="hi-IN" w:val="ru-RU"/>
    </w:rPr>
  </w:style>
  <w:style w:type="paragraph" w:styleId="BodyTextIndent2">
    <w:name w:val="Body Text Indent 2"/>
    <w:basedOn w:val="Normal"/>
    <w:qFormat/>
    <w:pPr>
      <w:spacing w:lineRule="auto" w:line="480" w:before="0" w:after="120"/>
      <w:ind w:left="283" w:hanging="0"/>
      <w:jc w:val="left"/>
    </w:pPr>
    <w:rPr>
      <w:rFonts w:eastAsia="Times New Roman"/>
      <w:szCs w:val="24"/>
      <w:lang w:eastAsia="ru-RU"/>
    </w:rPr>
  </w:style>
  <w:style w:type="paragraph" w:styleId="ConsPlusNormal">
    <w:name w:val="ConsPlusNormal"/>
    <w:qFormat/>
    <w:pPr>
      <w:widowControl/>
      <w:bidi w:val="0"/>
      <w:spacing w:before="0" w:after="0"/>
      <w:ind w:firstLine="720"/>
      <w:jc w:val="left"/>
    </w:pPr>
    <w:rPr>
      <w:rFonts w:ascii="Arial" w:hAnsi="Arial" w:eastAsia="Times New Roman" w:cs="Arial"/>
      <w:color w:val="auto"/>
      <w:kern w:val="0"/>
      <w:sz w:val="24"/>
      <w:szCs w:val="22"/>
      <w:lang w:val="ru-RU" w:eastAsia="en-US" w:bidi="ar-SA"/>
    </w:rPr>
  </w:style>
  <w:style w:type="paragraph" w:styleId="0212165">
    <w:name w:val="021216Пункт"/>
    <w:basedOn w:val="0212161"/>
    <w:qFormat/>
    <w:pPr/>
    <w:rPr/>
  </w:style>
  <w:style w:type="paragraph" w:styleId="ConsNonformat">
    <w:name w:val="ConsNonformat"/>
    <w:qFormat/>
    <w:pPr>
      <w:widowControl w:val="false"/>
      <w:bidi w:val="0"/>
      <w:spacing w:before="0" w:after="0"/>
      <w:ind w:right="19772" w:hanging="0"/>
      <w:jc w:val="left"/>
    </w:pPr>
    <w:rPr>
      <w:rFonts w:ascii="Courier New" w:hAnsi="Courier New" w:eastAsia="Times New Roman" w:cs="Courier New"/>
      <w:color w:val="auto"/>
      <w:kern w:val="0"/>
      <w:sz w:val="24"/>
      <w:szCs w:val="22"/>
      <w:lang w:val="ru-RU" w:eastAsia="en-US" w:bidi="ar-SA"/>
    </w:rPr>
  </w:style>
  <w:style w:type="paragraph" w:styleId="Style27">
    <w:name w:val="_Обычный"/>
    <w:qFormat/>
    <w:pPr>
      <w:widowControl/>
      <w:bidi w:val="0"/>
      <w:spacing w:lineRule="auto" w:line="360" w:before="0" w:after="0"/>
      <w:ind w:firstLine="709"/>
      <w:jc w:val="both"/>
    </w:pPr>
    <w:rPr>
      <w:rFonts w:ascii="Times New Roman" w:hAnsi="Times New Roman" w:eastAsia="Calibri" w:cs="" w:cstheme="minorBidi" w:eastAsiaTheme="minorHAnsi"/>
      <w:color w:val="auto"/>
      <w:kern w:val="0"/>
      <w:sz w:val="24"/>
      <w:szCs w:val="24"/>
      <w:lang w:eastAsia="en-US" w:val="ru-RU" w:bidi="ar-SA"/>
    </w:rPr>
  </w:style>
  <w:style w:type="paragraph" w:styleId="Default">
    <w:name w:val="Default"/>
    <w:qFormat/>
    <w:pPr>
      <w:widowControl w:val="false"/>
      <w:bidi w:val="0"/>
      <w:spacing w:before="0" w:after="0"/>
      <w:jc w:val="left"/>
    </w:pPr>
    <w:rPr>
      <w:rFonts w:ascii="Times New Roman" w:hAnsi="Times New Roman" w:eastAsia="Times New Roman" w:cs=""/>
      <w:color w:val="000000"/>
      <w:kern w:val="0"/>
      <w:sz w:val="24"/>
      <w:szCs w:val="24"/>
      <w:lang w:val="ru-RU" w:eastAsia="en-US" w:bidi="ar-SA"/>
    </w:rPr>
  </w:style>
  <w:style w:type="numbering" w:styleId="NoList" w:default="1">
    <w:name w:val="No List"/>
    <w:uiPriority w:val="99"/>
    <w:semiHidden/>
    <w:unhideWhenUsed/>
    <w:qFormat/>
  </w:style>
  <w:style w:type="table" w:default="1" w:styleId="a1">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jpeg"/><Relationship Id="rId4" Type="http://schemas.openxmlformats.org/officeDocument/2006/relationships/image" Target="media/image3.jpeg"/><Relationship Id="rId5" Type="http://schemas.openxmlformats.org/officeDocument/2006/relationships/header" Target="header1.xml"/><Relationship Id="rId6" Type="http://schemas.openxmlformats.org/officeDocument/2006/relationships/image" Target="media/image4.png"/><Relationship Id="rId7" Type="http://schemas.openxmlformats.org/officeDocument/2006/relationships/image" Target="media/image5.png"/><Relationship Id="rId8" Type="http://schemas.openxmlformats.org/officeDocument/2006/relationships/image" Target="media/image6.png"/><Relationship Id="rId9" Type="http://schemas.openxmlformats.org/officeDocument/2006/relationships/image" Target="media/image7.wmf"/><Relationship Id="rId10" Type="http://schemas.openxmlformats.org/officeDocument/2006/relationships/header" Target="header2.xml"/><Relationship Id="rId11" Type="http://schemas.openxmlformats.org/officeDocument/2006/relationships/footer" Target="footer1.xml"/><Relationship Id="rId12" Type="http://schemas.openxmlformats.org/officeDocument/2006/relationships/header" Target="header3.xml"/><Relationship Id="rId13" Type="http://schemas.openxmlformats.org/officeDocument/2006/relationships/header" Target="header4.xml"/><Relationship Id="rId14" Type="http://schemas.openxmlformats.org/officeDocument/2006/relationships/footer" Target="footer2.xml"/><Relationship Id="rId15" Type="http://schemas.openxmlformats.org/officeDocument/2006/relationships/footer" Target="footer3.xml"/><Relationship Id="rId16" Type="http://schemas.openxmlformats.org/officeDocument/2006/relationships/header" Target="header5.xml"/><Relationship Id="rId17" Type="http://schemas.openxmlformats.org/officeDocument/2006/relationships/footer" Target="footer4.xml"/><Relationship Id="rId18" Type="http://schemas.openxmlformats.org/officeDocument/2006/relationships/header" Target="header6.xml"/><Relationship Id="rId19" Type="http://schemas.openxmlformats.org/officeDocument/2006/relationships/footer" Target="footer5.xml"/><Relationship Id="rId20" Type="http://schemas.openxmlformats.org/officeDocument/2006/relationships/header" Target="header7.xml"/><Relationship Id="rId21" Type="http://schemas.openxmlformats.org/officeDocument/2006/relationships/footer" Target="footer6.xml"/><Relationship Id="rId22" Type="http://schemas.openxmlformats.org/officeDocument/2006/relationships/header" Target="header8.xml"/><Relationship Id="rId23" Type="http://schemas.openxmlformats.org/officeDocument/2006/relationships/footer" Target="footer7.xml"/><Relationship Id="rId24" Type="http://schemas.openxmlformats.org/officeDocument/2006/relationships/header" Target="header9.xml"/><Relationship Id="rId25" Type="http://schemas.openxmlformats.org/officeDocument/2006/relationships/footer" Target="footer8.xml"/><Relationship Id="rId26" Type="http://schemas.openxmlformats.org/officeDocument/2006/relationships/header" Target="header10.xml"/><Relationship Id="rId27" Type="http://schemas.openxmlformats.org/officeDocument/2006/relationships/footer" Target="footer9.xml"/><Relationship Id="rId28" Type="http://schemas.openxmlformats.org/officeDocument/2006/relationships/header" Target="header11.xml"/><Relationship Id="rId29" Type="http://schemas.openxmlformats.org/officeDocument/2006/relationships/footer" Target="footer10.xml"/><Relationship Id="rId30" Type="http://schemas.openxmlformats.org/officeDocument/2006/relationships/header" Target="header12.xml"/><Relationship Id="rId31" Type="http://schemas.openxmlformats.org/officeDocument/2006/relationships/footer" Target="footer11.xml"/><Relationship Id="rId32" Type="http://schemas.openxmlformats.org/officeDocument/2006/relationships/header" Target="header13.xml"/><Relationship Id="rId33" Type="http://schemas.openxmlformats.org/officeDocument/2006/relationships/footer" Target="footer12.xml"/><Relationship Id="rId34" Type="http://schemas.openxmlformats.org/officeDocument/2006/relationships/header" Target="header14.xml"/><Relationship Id="rId35" Type="http://schemas.openxmlformats.org/officeDocument/2006/relationships/footer" Target="footer13.xml"/><Relationship Id="rId36" Type="http://schemas.openxmlformats.org/officeDocument/2006/relationships/header" Target="header15.xml"/><Relationship Id="rId37" Type="http://schemas.openxmlformats.org/officeDocument/2006/relationships/footer" Target="footer14.xml"/><Relationship Id="rId38" Type="http://schemas.openxmlformats.org/officeDocument/2006/relationships/hyperlink" Target="https://ru.wikipedia.org/wiki/&#1063;&#1077;&#1083;&#1103;&#1073;&#1080;&#1085;&#1089;&#1082;&#1072;&#1103;_&#1086;&#1073;&#1083;&#1072;&#1089;&#1090;&#1100;" TargetMode="External"/><Relationship Id="rId39" Type="http://schemas.openxmlformats.org/officeDocument/2006/relationships/hyperlink" Target="https://ru.wikipedia.org/wiki/&#1063;&#1077;&#1083;&#1103;&#1073;&#1080;&#1085;&#1089;&#1082;&#1072;&#1103;_&#1086;&#1073;&#1083;&#1072;&#1089;&#1090;&#1100;" TargetMode="External"/><Relationship Id="rId40" Type="http://schemas.openxmlformats.org/officeDocument/2006/relationships/hyperlink" Target="https://ru.wikipedia.org/wiki/&#1040;&#1088;&#1095;&#1072;&#1075;&#1083;&#1099;-&#1040;&#1103;&#1090;_(&#1088;&#1077;&#1082;&#1072;)" TargetMode="External"/><Relationship Id="rId41" Type="http://schemas.openxmlformats.org/officeDocument/2006/relationships/hyperlink" Target="https://ru.wikipedia.org/wiki/&#1040;&#1088;&#1095;&#1072;&#1075;&#1083;&#1099;-&#1040;&#1103;&#1090;_(&#1088;&#1077;&#1082;&#1072;)" TargetMode="External"/><Relationship Id="rId42" Type="http://schemas.openxmlformats.org/officeDocument/2006/relationships/hyperlink" Target="https://ru.wikipedia.org/wiki/&#1040;&#1088;&#1095;&#1072;&#1075;&#1083;&#1099;-&#1040;&#1103;&#1090;_(&#1088;&#1077;&#1082;&#1072;)" TargetMode="External"/><Relationship Id="rId43" Type="http://schemas.openxmlformats.org/officeDocument/2006/relationships/hyperlink" Target="https://ru.wikipedia.org/wiki/&#1040;&#1103;&#1090;_(&#1087;&#1088;&#1080;&#1090;&#1086;&#1082;_&#1058;&#1086;&#1073;&#1086;&#1083;&#1072;)" TargetMode="External"/><Relationship Id="rId44" Type="http://schemas.openxmlformats.org/officeDocument/2006/relationships/hyperlink" Target="https://ru.wikipedia.org/wiki/&#1040;&#1103;&#1090;_(&#1087;&#1088;&#1080;&#1090;&#1086;&#1082;_&#1058;&#1086;&#1073;&#1086;&#1083;&#1072;)" TargetMode="External"/><Relationship Id="rId45" Type="http://schemas.openxmlformats.org/officeDocument/2006/relationships/hyperlink" Target="https://ru.wikipedia.org/wiki/&#1058;&#1086;&#1073;&#1086;&#1083;" TargetMode="External"/><Relationship Id="rId46" Type="http://schemas.openxmlformats.org/officeDocument/2006/relationships/hyperlink" Target="https://ru.wikipedia.org/wiki/&#1058;&#1086;&#1073;&#1086;&#1083;" TargetMode="External"/><Relationship Id="rId47" Type="http://schemas.openxmlformats.org/officeDocument/2006/relationships/hyperlink" Target="https://ru.wikipedia.org/wiki/&#1043;&#1086;&#1089;&#1091;&#1076;&#1072;&#1088;&#1089;&#1090;&#1074;&#1077;&#1085;&#1085;&#1099;&#1081;_&#1074;&#1086;&#1076;&#1085;&#1099;&#1081;_&#1088;&#1077;&#1077;&#1089;&#1090;&#1088;" TargetMode="External"/><Relationship Id="rId48" Type="http://schemas.openxmlformats.org/officeDocument/2006/relationships/hyperlink" Target="https://ru.wikipedia.org/wiki/&#1043;&#1086;&#1089;&#1091;&#1076;&#1072;&#1088;&#1089;&#1090;&#1074;&#1077;&#1085;&#1085;&#1099;&#1081;_&#1074;&#1086;&#1076;&#1085;&#1099;&#1081;_&#1088;&#1077;&#1077;&#1089;&#1090;&#1088;" TargetMode="External"/><Relationship Id="rId49" Type="http://schemas.openxmlformats.org/officeDocument/2006/relationships/hyperlink" Target="https://ru.wikipedia.org/wiki/&#1043;&#1086;&#1089;&#1091;&#1076;&#1072;&#1088;&#1089;&#1090;&#1074;&#1077;&#1085;&#1085;&#1099;&#1081;_&#1074;&#1086;&#1076;&#1085;&#1099;&#1081;_&#1088;&#1077;&#1077;&#1089;&#1090;&#1088;" TargetMode="External"/><Relationship Id="rId50" Type="http://schemas.openxmlformats.org/officeDocument/2006/relationships/hyperlink" Target="https://ru.wikipedia.org/wiki/&#1043;&#1086;&#1089;&#1091;&#1076;&#1072;&#1088;&#1089;&#1090;&#1074;&#1077;&#1085;&#1085;&#1099;&#1081;_&#1074;&#1086;&#1076;&#1085;&#1099;&#1081;_&#1088;&#1077;&#1077;&#1089;&#1090;&#1088;" TargetMode="External"/><Relationship Id="rId51" Type="http://schemas.openxmlformats.org/officeDocument/2006/relationships/hyperlink" Target="https://ru.wikipedia.org/wiki/&#1048;&#1088;&#1090;&#1099;&#1096;&#1089;&#1082;&#1080;&#1081;_&#1073;&#1072;&#1089;&#1089;&#1077;&#1081;&#1085;&#1086;&#1074;&#1099;&#1081;_&#1086;&#1082;&#1088;&#1091;&#1075;" TargetMode="External"/><Relationship Id="rId52" Type="http://schemas.openxmlformats.org/officeDocument/2006/relationships/hyperlink" Target="https://ru.wikipedia.org/wiki/&#1048;&#1088;&#1090;&#1099;&#1096;&#1089;&#1082;&#1080;&#1081;_&#1073;&#1072;&#1089;&#1089;&#1077;&#1081;&#1085;&#1086;&#1074;&#1099;&#1081;_&#1086;&#1082;&#1088;&#1091;&#1075;" TargetMode="External"/><Relationship Id="rId53" Type="http://schemas.openxmlformats.org/officeDocument/2006/relationships/hyperlink" Target="https://ru.wikipedia.org/wiki/&#1042;&#1086;&#1076;&#1086;&#1093;&#1086;&#1079;&#1103;&#1081;&#1089;&#1090;&#1074;&#1077;&#1085;&#1085;&#1099;&#1081;_&#1091;&#1095;&#1072;&#1089;&#1090;&#1086;&#1082;" TargetMode="External"/><Relationship Id="rId54" Type="http://schemas.openxmlformats.org/officeDocument/2006/relationships/hyperlink" Target="https://ru.wikipedia.org/wiki/&#1042;&#1086;&#1076;&#1086;&#1093;&#1086;&#1079;&#1103;&#1081;&#1089;&#1090;&#1074;&#1077;&#1085;&#1085;&#1099;&#1081;_&#1091;&#1095;&#1072;&#1089;&#1090;&#1086;&#1082;" TargetMode="External"/><Relationship Id="rId55" Type="http://schemas.openxmlformats.org/officeDocument/2006/relationships/hyperlink" Target="https://ru.wikipedia.org/wiki/&#1058;&#1086;&#1073;&#1086;&#1083;_(&#1088;&#1077;&#1082;&#1072;)" TargetMode="External"/><Relationship Id="rId56" Type="http://schemas.openxmlformats.org/officeDocument/2006/relationships/hyperlink" Target="https://ru.wikipedia.org/wiki/&#1058;&#1086;&#1073;&#1086;&#1083;_(&#1088;&#1077;&#1082;&#1072;)" TargetMode="External"/><Relationship Id="rId57" Type="http://schemas.openxmlformats.org/officeDocument/2006/relationships/hyperlink" Target="https://ru.wikipedia.org/wiki/&#1058;&#1086;&#1073;&#1086;&#1083;_(&#1088;&#1077;&#1082;&#1072;)" TargetMode="External"/><Relationship Id="rId58" Type="http://schemas.openxmlformats.org/officeDocument/2006/relationships/hyperlink" Target="https://ru.wikipedia.org/wiki/&#1059;&#1081;_(&#1087;&#1088;&#1080;&#1090;&#1086;&#1082;_&#1058;&#1086;&#1073;&#1086;&#1083;&#1072;)" TargetMode="External"/><Relationship Id="rId59" Type="http://schemas.openxmlformats.org/officeDocument/2006/relationships/hyperlink" Target="https://ru.wikipedia.org/wiki/&#1059;&#1081;_(&#1087;&#1088;&#1080;&#1090;&#1086;&#1082;_&#1058;&#1086;&#1073;&#1086;&#1083;&#1072;)" TargetMode="External"/><Relationship Id="rId60" Type="http://schemas.openxmlformats.org/officeDocument/2006/relationships/hyperlink" Target="https://ru.wikipedia.org/wiki/&#1059;&#1074;&#1077;&#1083;&#1100;&#1082;&#1072;" TargetMode="External"/><Relationship Id="rId61" Type="http://schemas.openxmlformats.org/officeDocument/2006/relationships/hyperlink" Target="https://ru.wikipedia.org/wiki/&#1059;&#1074;&#1077;&#1083;&#1100;&#1082;&#1072;" TargetMode="External"/><Relationship Id="rId62" Type="http://schemas.openxmlformats.org/officeDocument/2006/relationships/hyperlink" Target="https://ru.wikipedia.org/wiki/&#1048;&#1088;&#1090;&#1099;&#1096;" TargetMode="External"/><Relationship Id="rId63" Type="http://schemas.openxmlformats.org/officeDocument/2006/relationships/hyperlink" Target="https://ru.wikipedia.org/wiki/&#1048;&#1088;&#1090;&#1099;&#1096;" TargetMode="External"/><Relationship Id="rId64" Type="http://schemas.openxmlformats.org/officeDocument/2006/relationships/hyperlink" Target="https://ru.wikipedia.org/wiki/&#1048;&#1088;&#1090;&#1099;&#1096;" TargetMode="External"/><Relationship Id="rId65" Type="http://schemas.openxmlformats.org/officeDocument/2006/relationships/chart" Target="charts/chart1.xml"/><Relationship Id="rId66" Type="http://schemas.openxmlformats.org/officeDocument/2006/relationships/header" Target="header16.xml"/><Relationship Id="rId67" Type="http://schemas.openxmlformats.org/officeDocument/2006/relationships/footer" Target="footer15.xml"/><Relationship Id="rId68" Type="http://schemas.openxmlformats.org/officeDocument/2006/relationships/header" Target="header17.xml"/><Relationship Id="rId69" Type="http://schemas.openxmlformats.org/officeDocument/2006/relationships/footer" Target="footer16.xml"/><Relationship Id="rId70" Type="http://schemas.openxmlformats.org/officeDocument/2006/relationships/header" Target="header18.xml"/><Relationship Id="rId71" Type="http://schemas.openxmlformats.org/officeDocument/2006/relationships/footer" Target="footer17.xml"/><Relationship Id="rId72" Type="http://schemas.openxmlformats.org/officeDocument/2006/relationships/header" Target="header19.xml"/><Relationship Id="rId73" Type="http://schemas.openxmlformats.org/officeDocument/2006/relationships/footer" Target="footer18.xml"/><Relationship Id="rId74" Type="http://schemas.openxmlformats.org/officeDocument/2006/relationships/header" Target="header20.xml"/><Relationship Id="rId75" Type="http://schemas.openxmlformats.org/officeDocument/2006/relationships/footer" Target="footer19.xml"/><Relationship Id="rId76" Type="http://schemas.openxmlformats.org/officeDocument/2006/relationships/header" Target="header21.xml"/><Relationship Id="rId77" Type="http://schemas.openxmlformats.org/officeDocument/2006/relationships/footer" Target="footer20.xml"/><Relationship Id="rId78" Type="http://schemas.openxmlformats.org/officeDocument/2006/relationships/header" Target="header22.xml"/><Relationship Id="rId79" Type="http://schemas.openxmlformats.org/officeDocument/2006/relationships/footer" Target="footer21.xml"/><Relationship Id="rId80" Type="http://schemas.openxmlformats.org/officeDocument/2006/relationships/header" Target="header23.xml"/><Relationship Id="rId81" Type="http://schemas.openxmlformats.org/officeDocument/2006/relationships/footer" Target="footer22.xml"/><Relationship Id="rId82" Type="http://schemas.openxmlformats.org/officeDocument/2006/relationships/header" Target="header24.xml"/><Relationship Id="rId83" Type="http://schemas.openxmlformats.org/officeDocument/2006/relationships/footer" Target="footer23.xml"/><Relationship Id="rId84" Type="http://schemas.openxmlformats.org/officeDocument/2006/relationships/header" Target="header25.xml"/><Relationship Id="rId85" Type="http://schemas.openxmlformats.org/officeDocument/2006/relationships/footer" Target="footer24.xml"/><Relationship Id="rId86" Type="http://schemas.openxmlformats.org/officeDocument/2006/relationships/header" Target="header26.xml"/><Relationship Id="rId87" Type="http://schemas.openxmlformats.org/officeDocument/2006/relationships/footer" Target="footer25.xml"/><Relationship Id="rId88" Type="http://schemas.openxmlformats.org/officeDocument/2006/relationships/header" Target="header27.xml"/><Relationship Id="rId89" Type="http://schemas.openxmlformats.org/officeDocument/2006/relationships/footer" Target="footer26.xml"/><Relationship Id="rId90" Type="http://schemas.openxmlformats.org/officeDocument/2006/relationships/header" Target="header28.xml"/><Relationship Id="rId91" Type="http://schemas.openxmlformats.org/officeDocument/2006/relationships/footer" Target="footer27.xml"/><Relationship Id="rId92" Type="http://schemas.openxmlformats.org/officeDocument/2006/relationships/header" Target="header29.xml"/><Relationship Id="rId93" Type="http://schemas.openxmlformats.org/officeDocument/2006/relationships/footer" Target="footer28.xml"/><Relationship Id="rId94" Type="http://schemas.openxmlformats.org/officeDocument/2006/relationships/header" Target="header30.xml"/><Relationship Id="rId95" Type="http://schemas.openxmlformats.org/officeDocument/2006/relationships/footer" Target="footer29.xml"/><Relationship Id="rId96" Type="http://schemas.openxmlformats.org/officeDocument/2006/relationships/header" Target="header31.xml"/><Relationship Id="rId97" Type="http://schemas.openxmlformats.org/officeDocument/2006/relationships/footer" Target="footer30.xml"/><Relationship Id="rId98" Type="http://schemas.openxmlformats.org/officeDocument/2006/relationships/header" Target="header32.xml"/><Relationship Id="rId99" Type="http://schemas.openxmlformats.org/officeDocument/2006/relationships/footer" Target="footer31.xml"/><Relationship Id="rId100" Type="http://schemas.openxmlformats.org/officeDocument/2006/relationships/header" Target="header33.xml"/><Relationship Id="rId101" Type="http://schemas.openxmlformats.org/officeDocument/2006/relationships/footer" Target="footer32.xml"/><Relationship Id="rId102" Type="http://schemas.openxmlformats.org/officeDocument/2006/relationships/header" Target="header34.xml"/><Relationship Id="rId103" Type="http://schemas.openxmlformats.org/officeDocument/2006/relationships/footer" Target="footer33.xml"/><Relationship Id="rId104" Type="http://schemas.openxmlformats.org/officeDocument/2006/relationships/header" Target="header35.xml"/><Relationship Id="rId105" Type="http://schemas.openxmlformats.org/officeDocument/2006/relationships/footer" Target="footer34.xml"/><Relationship Id="rId106" Type="http://schemas.openxmlformats.org/officeDocument/2006/relationships/header" Target="header36.xml"/><Relationship Id="rId107" Type="http://schemas.openxmlformats.org/officeDocument/2006/relationships/footer" Target="footer35.xml"/><Relationship Id="rId108" Type="http://schemas.openxmlformats.org/officeDocument/2006/relationships/header" Target="header37.xml"/><Relationship Id="rId109" Type="http://schemas.openxmlformats.org/officeDocument/2006/relationships/footer" Target="footer36.xml"/><Relationship Id="rId110" Type="http://schemas.openxmlformats.org/officeDocument/2006/relationships/header" Target="header38.xml"/><Relationship Id="rId111" Type="http://schemas.openxmlformats.org/officeDocument/2006/relationships/footer" Target="footer37.xml"/><Relationship Id="rId112" Type="http://schemas.openxmlformats.org/officeDocument/2006/relationships/header" Target="header39.xml"/><Relationship Id="rId113" Type="http://schemas.openxmlformats.org/officeDocument/2006/relationships/footer" Target="footer38.xml"/><Relationship Id="rId114" Type="http://schemas.openxmlformats.org/officeDocument/2006/relationships/header" Target="header40.xml"/><Relationship Id="rId115" Type="http://schemas.openxmlformats.org/officeDocument/2006/relationships/footer" Target="footer39.xml"/><Relationship Id="rId116" Type="http://schemas.openxmlformats.org/officeDocument/2006/relationships/header" Target="header41.xml"/><Relationship Id="rId117" Type="http://schemas.openxmlformats.org/officeDocument/2006/relationships/footer" Target="footer40.xml"/><Relationship Id="rId118" Type="http://schemas.openxmlformats.org/officeDocument/2006/relationships/header" Target="header42.xml"/><Relationship Id="rId119" Type="http://schemas.openxmlformats.org/officeDocument/2006/relationships/footer" Target="footer41.xml"/><Relationship Id="rId120" Type="http://schemas.openxmlformats.org/officeDocument/2006/relationships/footer" Target="footer42.xml"/><Relationship Id="rId121" Type="http://schemas.openxmlformats.org/officeDocument/2006/relationships/header" Target="header43.xml"/><Relationship Id="rId122" Type="http://schemas.openxmlformats.org/officeDocument/2006/relationships/footer" Target="footer43.xml"/><Relationship Id="rId123" Type="http://schemas.openxmlformats.org/officeDocument/2006/relationships/header" Target="header44.xml"/><Relationship Id="rId124" Type="http://schemas.openxmlformats.org/officeDocument/2006/relationships/footer" Target="footer44.xml"/><Relationship Id="rId125" Type="http://schemas.openxmlformats.org/officeDocument/2006/relationships/header" Target="header45.xml"/><Relationship Id="rId126" Type="http://schemas.openxmlformats.org/officeDocument/2006/relationships/footer" Target="footer45.xml"/><Relationship Id="rId127" Type="http://schemas.openxmlformats.org/officeDocument/2006/relationships/header" Target="header46.xml"/><Relationship Id="rId128" Type="http://schemas.openxmlformats.org/officeDocument/2006/relationships/footer" Target="footer46.xml"/><Relationship Id="rId129" Type="http://schemas.openxmlformats.org/officeDocument/2006/relationships/hyperlink" Target="consultantplus://offline/ref=908E0753CEE50BABCF0C71DFB08B518374776F223681CA8CF2DE49626E3E94304488B1072E13D757BF88BB3CC611A7A63543390CA36FEAAACFA696B149kEI" TargetMode="External"/><Relationship Id="rId130" Type="http://schemas.openxmlformats.org/officeDocument/2006/relationships/hyperlink" Target="consultantplus://offline/ref=908E0753CEE50BABCF0C71DFB08B518374776F223681CA8CF2DE49626E3E94304488B1072E13D757BF88BB3CC611A7A63543390CA36FEAAACFA696B149kEI" TargetMode="External"/><Relationship Id="rId131" Type="http://schemas.openxmlformats.org/officeDocument/2006/relationships/hyperlink" Target="consultantplus://offline/ref=908E0753CEE50BABCF0C71DFB08B518374776F223681CA8CF2DE49626E3E94304488B1072E13D757BF88BB3CC611A7A63543390CA36FEAAACFA696B149kEI" TargetMode="External"/><Relationship Id="rId132" Type="http://schemas.openxmlformats.org/officeDocument/2006/relationships/header" Target="header47.xml"/><Relationship Id="rId133" Type="http://schemas.openxmlformats.org/officeDocument/2006/relationships/footer" Target="footer47.xml"/><Relationship Id="rId134" Type="http://schemas.openxmlformats.org/officeDocument/2006/relationships/hyperlink" Target="consultantplus://offline/ref=2606F322BA2034ACD91CDCDA025EA9B82283C216F992AAAA2811533DC37B4219E05B13A487F384B7929BBB6914B09D16F59AA42D9958595222L" TargetMode="External"/><Relationship Id="rId135" Type="http://schemas.openxmlformats.org/officeDocument/2006/relationships/hyperlink" Target="consultantplus://offline/ref=6948E8EC52DA5CC3EA6D5A7E78937C25EB50E354E281123BBCA721E2343FEB4F32C2F6588004B3D5D0EAFF0E25391F9D78D8B4386BF31E5037L" TargetMode="External"/><Relationship Id="rId136" Type="http://schemas.openxmlformats.org/officeDocument/2006/relationships/hyperlink" Target="consultantplus://offline/ref=2606F322BA2034ACD91CDCDA025EA9B82283C216F992AAAA2811533DC37B4219E05B13A487F384B7929BBB6914B09D16F59AA42D9958595222L" TargetMode="External"/><Relationship Id="rId137" Type="http://schemas.openxmlformats.org/officeDocument/2006/relationships/hyperlink" Target="consultantplus://offline/ref=DA7F9470B2611D7BBB977755BF3AFBD7531CAB66713B614B6289AD11805AC9C2E65A5D7A9F8641E90FE3E5AECC6F931740A324ADC964DCt8I5I" TargetMode="External"/><Relationship Id="rId138" Type="http://schemas.openxmlformats.org/officeDocument/2006/relationships/header" Target="header48.xml"/><Relationship Id="rId139" Type="http://schemas.openxmlformats.org/officeDocument/2006/relationships/footer" Target="footer48.xml"/><Relationship Id="rId140" Type="http://schemas.openxmlformats.org/officeDocument/2006/relationships/header" Target="header49.xml"/><Relationship Id="rId141" Type="http://schemas.openxmlformats.org/officeDocument/2006/relationships/footer" Target="footer49.xml"/><Relationship Id="rId142" Type="http://schemas.openxmlformats.org/officeDocument/2006/relationships/header" Target="header50.xml"/><Relationship Id="rId143" Type="http://schemas.openxmlformats.org/officeDocument/2006/relationships/footer" Target="footer50.xml"/><Relationship Id="rId144" Type="http://schemas.openxmlformats.org/officeDocument/2006/relationships/header" Target="header51.xml"/><Relationship Id="rId145" Type="http://schemas.openxmlformats.org/officeDocument/2006/relationships/footer" Target="footer51.xml"/><Relationship Id="rId146" Type="http://schemas.openxmlformats.org/officeDocument/2006/relationships/hyperlink" Target="consultantplus://offline/ref=2B696145955A7937AC40218EB4651BAF4F45B33B8E8D40E869EEF07676F1801966191FE5FE104CBD35D0DE79A3ACwFH" TargetMode="External"/><Relationship Id="rId147" Type="http://schemas.openxmlformats.org/officeDocument/2006/relationships/header" Target="header52.xml"/><Relationship Id="rId148" Type="http://schemas.openxmlformats.org/officeDocument/2006/relationships/footer" Target="footer52.xml"/><Relationship Id="rId149" Type="http://schemas.openxmlformats.org/officeDocument/2006/relationships/hyperlink" Target="consultantplus://offline/ref=908E0753CEE50BABCF0C71DFB08B518374776F223681CA8CF2DE49626E3E94304488B1072E13D757BF88BB3CC611A7A63543390CA36FEAAACFA696B149kEI" TargetMode="External"/><Relationship Id="rId150" Type="http://schemas.openxmlformats.org/officeDocument/2006/relationships/header" Target="header53.xml"/><Relationship Id="rId151" Type="http://schemas.openxmlformats.org/officeDocument/2006/relationships/footer" Target="footer53.xml"/><Relationship Id="rId152" Type="http://schemas.openxmlformats.org/officeDocument/2006/relationships/image" Target="media/image8.png"/><Relationship Id="rId153" Type="http://schemas.openxmlformats.org/officeDocument/2006/relationships/image" Target="media/image9.png"/><Relationship Id="rId154" Type="http://schemas.openxmlformats.org/officeDocument/2006/relationships/image" Target="media/image10.png"/><Relationship Id="rId155" Type="http://schemas.openxmlformats.org/officeDocument/2006/relationships/image" Target="media/image11.png"/><Relationship Id="rId156" Type="http://schemas.openxmlformats.org/officeDocument/2006/relationships/image" Target="media/image12.png"/><Relationship Id="rId157" Type="http://schemas.openxmlformats.org/officeDocument/2006/relationships/image" Target="media/image13.png"/><Relationship Id="rId158" Type="http://schemas.openxmlformats.org/officeDocument/2006/relationships/hyperlink" Target="consultantplus://offline/ref=9D7A1DF648876D71504FB72EE53B8B8AB619CE58C3D4E4ECAFBB4489A6l3v5I" TargetMode="External"/><Relationship Id="rId159" Type="http://schemas.openxmlformats.org/officeDocument/2006/relationships/hyperlink" Target="consultantplus://offline/ref=9D7A1DF648876D71504FB72EE53B8B8AB619CE58C3D4E4ECAFBB4489A6l3v5I" TargetMode="External"/><Relationship Id="rId160" Type="http://schemas.openxmlformats.org/officeDocument/2006/relationships/hyperlink" Target="consultantplus://offline/ref=5721A5239629FC8C59F660B973035C152620C37F12F348BB0DE60DB69CEDA934C2B9EB778B6ECA6B6CD8J" TargetMode="External"/><Relationship Id="rId161" Type="http://schemas.openxmlformats.org/officeDocument/2006/relationships/hyperlink" Target="consultantplus://offline/ref=A682E10DFA928B6EEA87903D3959FC0895891DBABEFC3926C2CE1CE070322DFCE41B9F7E42A502ACM9YDL" TargetMode="External"/><Relationship Id="rId162" Type="http://schemas.openxmlformats.org/officeDocument/2006/relationships/hyperlink" Target="consultantplus://offline/ref=51939F574D1D03FB43E41BD081448F50D9CF3FE364155FF90A4FBD48FB0749C2FC549043F27E96FDM6z9E" TargetMode="External"/><Relationship Id="rId163" Type="http://schemas.openxmlformats.org/officeDocument/2006/relationships/hyperlink" Target="consultantplus://offline/ref=51939F574D1D03FB43E41BD081448F50D9CF3FE364155FF90A4FBD48FB0749C2FC549043F27E96FDM6z8E" TargetMode="External"/><Relationship Id="rId164" Type="http://schemas.openxmlformats.org/officeDocument/2006/relationships/hyperlink" Target="consultantplus://offline/ref=51939F574D1D03FB43E41BD081448F50D9CF3FE364155FF90A4FBD48FB0749C2FC549043F27E96FDM6z6E" TargetMode="External"/><Relationship Id="rId165" Type="http://schemas.openxmlformats.org/officeDocument/2006/relationships/hyperlink" Target="consultantplus://offline/ref=51939F574D1D03FB43E41BD081448F50D9CF3FE364155FF90A4FBD48FB0749C2FC549043F27E96FCM6zFE" TargetMode="External"/><Relationship Id="rId166" Type="http://schemas.openxmlformats.org/officeDocument/2006/relationships/hyperlink" Target="consultantplus://offline/ref=51939F574D1D03FB43E41BD081448F50D9CF3FE364155FF90A4FBD48FB0749C2FC549043F27E96FCM6zFE" TargetMode="External"/><Relationship Id="rId167" Type="http://schemas.openxmlformats.org/officeDocument/2006/relationships/hyperlink" Target="consultantplus://offline/ref=51939F574D1D03FB43E41BD081448F50D0C835EA681A02F30216B14AFC0816D5FB1D9C42F27E96MFz6E" TargetMode="External"/><Relationship Id="rId168" Type="http://schemas.openxmlformats.org/officeDocument/2006/relationships/hyperlink" Target="consultantplus://offline/ref=51939F574D1D03FB43E41BD081448F50D9CF3FE364155FF90A4FBD48FB0749C2FC549043F27E96FCM6zBE" TargetMode="External"/><Relationship Id="rId169" Type="http://schemas.openxmlformats.org/officeDocument/2006/relationships/hyperlink" Target="consultantplus://offline/ref=51939F574D1D03FB43E41BD081448F50D9CD3BEF66125FF90A4FBD48FB0749C2FC549043F27E96FCM6zEE" TargetMode="External"/><Relationship Id="rId170" Type="http://schemas.openxmlformats.org/officeDocument/2006/relationships/hyperlink" Target="consultantplus://offline/ref=51939F574D1D03FB43E41BD081448F50D9CF3FE364155FF90A4FBD48FB0749C2FC549043F27E96FCM6z9E" TargetMode="External"/><Relationship Id="rId171" Type="http://schemas.openxmlformats.org/officeDocument/2006/relationships/hyperlink" Target="consultantplus://offline/ref=51939F574D1D03FB43E41BD081448F50D9CF3FE364155FF90A4FBD48FB0749C2FC549043F27E96FCM6z7E" TargetMode="External"/><Relationship Id="rId172" Type="http://schemas.openxmlformats.org/officeDocument/2006/relationships/hyperlink" Target="consultantplus://offline/ref=9A0B3C7411F3F40CC92CA8AB549C2BF8EC56E927F54350309DA621ADF7D33798F6AC0C8C0CC10B75c5SBF" TargetMode="External"/><Relationship Id="rId173" Type="http://schemas.openxmlformats.org/officeDocument/2006/relationships/hyperlink" Target="consultantplus://offline/ref=D10B234F4534FB6D36C819F5437B078ACD9F75D7227B146EBEF4DDEEB4G2J4F" TargetMode="External"/><Relationship Id="rId174" Type="http://schemas.openxmlformats.org/officeDocument/2006/relationships/hyperlink" Target="consultantplus://offline/ref=D10B234F4534FB6D36C819F5437B078AC49A7ED22E794964B6ADD1ECB32BFFE3C70C2F9C00C60EG3J2F" TargetMode="External"/><Relationship Id="rId175" Type="http://schemas.openxmlformats.org/officeDocument/2006/relationships/hyperlink" Target="consultantplus://offline/ref=A5D075F4674CCD0721231AA934941784BA38ED9912A9A79A660E0007G552H" TargetMode="External"/><Relationship Id="rId176" Type="http://schemas.openxmlformats.org/officeDocument/2006/relationships/hyperlink" Target="consultantplus://offline/ref=51166C123F8300464711751C3880861F9040A801E6396BE46308C0DCD3476E2398CD703A228D47mEA7I" TargetMode="External"/><Relationship Id="rId177" Type="http://schemas.openxmlformats.org/officeDocument/2006/relationships/hyperlink" Target="consultantplus://offline/ref=51166C123F8300464711751C3880861F9040A801E6396BE46308C0DCD3476E2398CD703A228D47mEA7I" TargetMode="External"/><Relationship Id="rId178" Type="http://schemas.openxmlformats.org/officeDocument/2006/relationships/header" Target="header54.xml"/><Relationship Id="rId179" Type="http://schemas.openxmlformats.org/officeDocument/2006/relationships/footer" Target="footer54.xml"/><Relationship Id="rId180" Type="http://schemas.openxmlformats.org/officeDocument/2006/relationships/header" Target="header55.xml"/><Relationship Id="rId181" Type="http://schemas.openxmlformats.org/officeDocument/2006/relationships/footer" Target="footer55.xml"/><Relationship Id="rId182" Type="http://schemas.openxmlformats.org/officeDocument/2006/relationships/header" Target="header56.xml"/><Relationship Id="rId183" Type="http://schemas.openxmlformats.org/officeDocument/2006/relationships/footer" Target="footer56.xml"/><Relationship Id="rId184" Type="http://schemas.openxmlformats.org/officeDocument/2006/relationships/numbering" Target="numbering.xml"/><Relationship Id="rId185" Type="http://schemas.openxmlformats.org/officeDocument/2006/relationships/fontTable" Target="fontTable.xml"/><Relationship Id="rId186" Type="http://schemas.openxmlformats.org/officeDocument/2006/relationships/settings" Target="settings.xml"/><Relationship Id="rId187" Type="http://schemas.openxmlformats.org/officeDocument/2006/relationships/theme" Target="theme/theme1.xml"/>
</Relationships>
</file>

<file path=word/charts/_rels/chart1.xml.rels><?xml version="1.0" encoding="UTF-8"?>
<Relationships xmlns="http://schemas.openxmlformats.org/package/2006/relationships"><Relationship Id="rId1" Type="http://schemas.openxmlformats.org/officeDocument/2006/relationships/package" Target="../embeddings/Microsoft_Excel_Worksheet1.xlsx"/>
</Relationships>
</file>

<file path=word/charts/chart1.xml><?xml version="1.0" encoding="utf-8"?>
<c:chartSpace xmlns:c="http://schemas.openxmlformats.org/drawingml/2006/chart" xmlns:a="http://schemas.openxmlformats.org/drawingml/2006/main" xmlns:r="http://schemas.openxmlformats.org/officeDocument/2006/relationships">
  <c:lang val="en-US"/>
  <c:roundedCorners val="0"/>
  <c:chart>
    <c:autoTitleDeleted val="1"/>
    <c:plotArea>
      <c:lineChart>
        <c:grouping val="standard"/>
        <c:varyColors val="0"/>
        <c:ser>
          <c:idx val="0"/>
          <c:order val="0"/>
          <c:tx>
            <c:strRef>
              <c:f>label 0</c:f>
              <c:strCache>
                <c:ptCount val="1"/>
                <c:pt idx="0">
                  <c:v>янв.14</c:v>
                </c:pt>
              </c:strCache>
            </c:strRef>
          </c:tx>
          <c:spPr>
            <a:solidFill>
              <a:srgbClr val="5b9bd5"/>
            </a:solidFill>
            <a:ln w="28440">
              <a:solidFill>
                <a:srgbClr val="5b9bd5"/>
              </a:solidFill>
              <a:round/>
            </a:ln>
          </c:spPr>
          <c:marker>
            <c:symbol val="none"/>
          </c:marker>
          <c:dLbls>
            <c:txPr>
              <a:bodyPr/>
              <a:lstStyle/>
              <a:p>
                <a:pPr>
                  <a:defRPr b="0" sz="1000" spc="-1" strike="noStrike">
                    <a:solidFill>
                      <a:srgbClr val="000000"/>
                    </a:solidFill>
                    <a:latin typeface="Calibri"/>
                  </a:defRPr>
                </a:pPr>
              </a:p>
            </c:txPr>
            <c:dLblPos val="r"/>
            <c:showLegendKey val="0"/>
            <c:showVal val="0"/>
            <c:showCatName val="0"/>
            <c:showSerName val="0"/>
            <c:showPercent val="0"/>
            <c:separator>; </c:separator>
            <c:showLeaderLines val="0"/>
          </c:dLbls>
          <c:cat>
            <c:strRef>
              <c:f>categories</c:f>
              <c:strCache>
                <c:ptCount val="4"/>
                <c:pt idx="0">
                  <c:v/>
                </c:pt>
                <c:pt idx="1">
                  <c:v/>
                </c:pt>
                <c:pt idx="2">
                  <c:v/>
                </c:pt>
                <c:pt idx="3">
                  <c:v/>
                </c:pt>
              </c:strCache>
            </c:strRef>
          </c:cat>
          <c:val>
            <c:numRef>
              <c:f>0</c:f>
              <c:numCache>
                <c:formatCode>General</c:formatCode>
                <c:ptCount val="4"/>
                <c:pt idx="0">
                  <c:v>717</c:v>
                </c:pt>
                <c:pt idx="1">
                  <c:v>145</c:v>
                </c:pt>
                <c:pt idx="2">
                  <c:v>235</c:v>
                </c:pt>
                <c:pt idx="3">
                  <c:v>238</c:v>
                </c:pt>
              </c:numCache>
            </c:numRef>
          </c:val>
          <c:smooth val="0"/>
        </c:ser>
        <c:ser>
          <c:idx val="1"/>
          <c:order val="1"/>
          <c:tx>
            <c:strRef>
              <c:f>label 1</c:f>
              <c:strCache>
                <c:ptCount val="1"/>
                <c:pt idx="0">
                  <c:v>янв.15</c:v>
                </c:pt>
              </c:strCache>
            </c:strRef>
          </c:tx>
          <c:spPr>
            <a:solidFill>
              <a:srgbClr val="ed7d31"/>
            </a:solidFill>
            <a:ln w="28440">
              <a:solidFill>
                <a:srgbClr val="ed7d31"/>
              </a:solidFill>
              <a:round/>
            </a:ln>
          </c:spPr>
          <c:marker>
            <c:symbol val="none"/>
          </c:marker>
          <c:dLbls>
            <c:txPr>
              <a:bodyPr/>
              <a:lstStyle/>
              <a:p>
                <a:pPr>
                  <a:defRPr b="0" sz="1000" spc="-1" strike="noStrike">
                    <a:solidFill>
                      <a:srgbClr val="000000"/>
                    </a:solidFill>
                    <a:latin typeface="Calibri"/>
                  </a:defRPr>
                </a:pPr>
              </a:p>
            </c:txPr>
            <c:dLblPos val="r"/>
            <c:showLegendKey val="0"/>
            <c:showVal val="0"/>
            <c:showCatName val="0"/>
            <c:showSerName val="0"/>
            <c:showPercent val="0"/>
            <c:separator>; </c:separator>
            <c:showLeaderLines val="0"/>
          </c:dLbls>
          <c:cat>
            <c:strRef>
              <c:f>categories</c:f>
              <c:strCache>
                <c:ptCount val="4"/>
                <c:pt idx="0">
                  <c:v/>
                </c:pt>
                <c:pt idx="1">
                  <c:v/>
                </c:pt>
                <c:pt idx="2">
                  <c:v/>
                </c:pt>
                <c:pt idx="3">
                  <c:v/>
                </c:pt>
              </c:strCache>
            </c:strRef>
          </c:cat>
          <c:val>
            <c:numRef>
              <c:f>1</c:f>
              <c:numCache>
                <c:formatCode>General</c:formatCode>
                <c:ptCount val="4"/>
                <c:pt idx="0">
                  <c:v>727</c:v>
                </c:pt>
                <c:pt idx="1">
                  <c:v>140</c:v>
                </c:pt>
                <c:pt idx="2">
                  <c:v>225</c:v>
                </c:pt>
                <c:pt idx="3">
                  <c:v>230</c:v>
                </c:pt>
              </c:numCache>
            </c:numRef>
          </c:val>
          <c:smooth val="0"/>
        </c:ser>
        <c:ser>
          <c:idx val="2"/>
          <c:order val="2"/>
          <c:tx>
            <c:strRef>
              <c:f>label 2</c:f>
              <c:strCache>
                <c:ptCount val="1"/>
                <c:pt idx="0">
                  <c:v>янв.16</c:v>
                </c:pt>
              </c:strCache>
            </c:strRef>
          </c:tx>
          <c:spPr>
            <a:solidFill>
              <a:srgbClr val="a5a5a5"/>
            </a:solidFill>
            <a:ln w="28440">
              <a:solidFill>
                <a:srgbClr val="a5a5a5"/>
              </a:solidFill>
              <a:round/>
            </a:ln>
          </c:spPr>
          <c:marker>
            <c:symbol val="none"/>
          </c:marker>
          <c:dLbls>
            <c:txPr>
              <a:bodyPr/>
              <a:lstStyle/>
              <a:p>
                <a:pPr>
                  <a:defRPr b="0" sz="1000" spc="-1" strike="noStrike">
                    <a:solidFill>
                      <a:srgbClr val="000000"/>
                    </a:solidFill>
                    <a:latin typeface="Calibri"/>
                  </a:defRPr>
                </a:pPr>
              </a:p>
            </c:txPr>
            <c:dLblPos val="r"/>
            <c:showLegendKey val="0"/>
            <c:showVal val="0"/>
            <c:showCatName val="0"/>
            <c:showSerName val="0"/>
            <c:showPercent val="0"/>
            <c:separator>; </c:separator>
            <c:showLeaderLines val="0"/>
          </c:dLbls>
          <c:cat>
            <c:strRef>
              <c:f>categories</c:f>
              <c:strCache>
                <c:ptCount val="4"/>
                <c:pt idx="0">
                  <c:v/>
                </c:pt>
                <c:pt idx="1">
                  <c:v/>
                </c:pt>
                <c:pt idx="2">
                  <c:v/>
                </c:pt>
                <c:pt idx="3">
                  <c:v/>
                </c:pt>
              </c:strCache>
            </c:strRef>
          </c:cat>
          <c:val>
            <c:numRef>
              <c:f>2</c:f>
              <c:numCache>
                <c:formatCode>General</c:formatCode>
                <c:ptCount val="4"/>
                <c:pt idx="0">
                  <c:v>719</c:v>
                </c:pt>
                <c:pt idx="1">
                  <c:v>145</c:v>
                </c:pt>
                <c:pt idx="2">
                  <c:v>235</c:v>
                </c:pt>
                <c:pt idx="3">
                  <c:v>238</c:v>
                </c:pt>
              </c:numCache>
            </c:numRef>
          </c:val>
          <c:smooth val="0"/>
        </c:ser>
        <c:ser>
          <c:idx val="3"/>
          <c:order val="3"/>
          <c:tx>
            <c:strRef>
              <c:f>label 3</c:f>
              <c:strCache>
                <c:ptCount val="1"/>
                <c:pt idx="0">
                  <c:v>янв.17</c:v>
                </c:pt>
              </c:strCache>
            </c:strRef>
          </c:tx>
          <c:spPr>
            <a:solidFill>
              <a:srgbClr val="ffc000"/>
            </a:solidFill>
            <a:ln w="28440">
              <a:solidFill>
                <a:srgbClr val="ffc000"/>
              </a:solidFill>
              <a:round/>
            </a:ln>
          </c:spPr>
          <c:marker>
            <c:symbol val="none"/>
          </c:marker>
          <c:dLbls>
            <c:txPr>
              <a:bodyPr/>
              <a:lstStyle/>
              <a:p>
                <a:pPr>
                  <a:defRPr b="0" sz="1000" spc="-1" strike="noStrike">
                    <a:solidFill>
                      <a:srgbClr val="000000"/>
                    </a:solidFill>
                    <a:latin typeface="Calibri"/>
                  </a:defRPr>
                </a:pPr>
              </a:p>
            </c:txPr>
            <c:dLblPos val="r"/>
            <c:showLegendKey val="0"/>
            <c:showVal val="0"/>
            <c:showCatName val="0"/>
            <c:showSerName val="0"/>
            <c:showPercent val="0"/>
            <c:separator>; </c:separator>
            <c:showLeaderLines val="0"/>
          </c:dLbls>
          <c:cat>
            <c:strRef>
              <c:f>categories</c:f>
              <c:strCache>
                <c:ptCount val="4"/>
                <c:pt idx="0">
                  <c:v/>
                </c:pt>
                <c:pt idx="1">
                  <c:v/>
                </c:pt>
                <c:pt idx="2">
                  <c:v/>
                </c:pt>
                <c:pt idx="3">
                  <c:v/>
                </c:pt>
              </c:strCache>
            </c:strRef>
          </c:cat>
          <c:val>
            <c:numRef>
              <c:f>3</c:f>
              <c:numCache>
                <c:formatCode>General</c:formatCode>
                <c:ptCount val="4"/>
                <c:pt idx="0">
                  <c:v>709</c:v>
                </c:pt>
                <c:pt idx="1">
                  <c:v>143</c:v>
                </c:pt>
                <c:pt idx="2">
                  <c:v>235</c:v>
                </c:pt>
                <c:pt idx="3">
                  <c:v>229</c:v>
                </c:pt>
              </c:numCache>
            </c:numRef>
          </c:val>
          <c:smooth val="0"/>
        </c:ser>
        <c:ser>
          <c:idx val="4"/>
          <c:order val="4"/>
          <c:tx>
            <c:strRef>
              <c:f>label 4</c:f>
              <c:strCache>
                <c:ptCount val="1"/>
                <c:pt idx="0">
                  <c:v>янв.18</c:v>
                </c:pt>
              </c:strCache>
            </c:strRef>
          </c:tx>
          <c:spPr>
            <a:solidFill>
              <a:srgbClr val="4472c4"/>
            </a:solidFill>
            <a:ln w="28440">
              <a:solidFill>
                <a:srgbClr val="4472c4"/>
              </a:solidFill>
              <a:round/>
            </a:ln>
          </c:spPr>
          <c:marker>
            <c:symbol val="none"/>
          </c:marker>
          <c:dLbls>
            <c:txPr>
              <a:bodyPr/>
              <a:lstStyle/>
              <a:p>
                <a:pPr>
                  <a:defRPr b="0" sz="1000" spc="-1" strike="noStrike">
                    <a:solidFill>
                      <a:srgbClr val="000000"/>
                    </a:solidFill>
                    <a:latin typeface="Calibri"/>
                  </a:defRPr>
                </a:pPr>
              </a:p>
            </c:txPr>
            <c:dLblPos val="r"/>
            <c:showLegendKey val="0"/>
            <c:showVal val="0"/>
            <c:showCatName val="0"/>
            <c:showSerName val="0"/>
            <c:showPercent val="0"/>
            <c:separator>; </c:separator>
            <c:showLeaderLines val="0"/>
          </c:dLbls>
          <c:cat>
            <c:strRef>
              <c:f>categories</c:f>
              <c:strCache>
                <c:ptCount val="4"/>
                <c:pt idx="0">
                  <c:v/>
                </c:pt>
                <c:pt idx="1">
                  <c:v/>
                </c:pt>
                <c:pt idx="2">
                  <c:v/>
                </c:pt>
                <c:pt idx="3">
                  <c:v/>
                </c:pt>
              </c:strCache>
            </c:strRef>
          </c:cat>
          <c:val>
            <c:numRef>
              <c:f>4</c:f>
              <c:numCache>
                <c:formatCode>General</c:formatCode>
                <c:ptCount val="4"/>
                <c:pt idx="0">
                  <c:v>703</c:v>
                </c:pt>
                <c:pt idx="1">
                  <c:v>140</c:v>
                </c:pt>
                <c:pt idx="2">
                  <c:v>230</c:v>
                </c:pt>
                <c:pt idx="3">
                  <c:v>218</c:v>
                </c:pt>
              </c:numCache>
            </c:numRef>
          </c:val>
          <c:smooth val="0"/>
        </c:ser>
        <c:ser>
          <c:idx val="5"/>
          <c:order val="5"/>
          <c:tx>
            <c:strRef>
              <c:f>label 5</c:f>
              <c:strCache>
                <c:ptCount val="1"/>
                <c:pt idx="0">
                  <c:v>янв.19</c:v>
                </c:pt>
              </c:strCache>
            </c:strRef>
          </c:tx>
          <c:spPr>
            <a:solidFill>
              <a:srgbClr val="70ad47"/>
            </a:solidFill>
            <a:ln w="28440">
              <a:solidFill>
                <a:srgbClr val="70ad47"/>
              </a:solidFill>
              <a:round/>
            </a:ln>
          </c:spPr>
          <c:marker>
            <c:symbol val="none"/>
          </c:marker>
          <c:dLbls>
            <c:txPr>
              <a:bodyPr/>
              <a:lstStyle/>
              <a:p>
                <a:pPr>
                  <a:defRPr b="0" sz="1000" spc="-1" strike="noStrike">
                    <a:solidFill>
                      <a:srgbClr val="000000"/>
                    </a:solidFill>
                    <a:latin typeface="Calibri"/>
                  </a:defRPr>
                </a:pPr>
              </a:p>
            </c:txPr>
            <c:dLblPos val="r"/>
            <c:showLegendKey val="0"/>
            <c:showVal val="0"/>
            <c:showCatName val="0"/>
            <c:showSerName val="0"/>
            <c:showPercent val="0"/>
            <c:separator>; </c:separator>
            <c:showLeaderLines val="0"/>
          </c:dLbls>
          <c:cat>
            <c:strRef>
              <c:f>categories</c:f>
              <c:strCache>
                <c:ptCount val="4"/>
                <c:pt idx="0">
                  <c:v/>
                </c:pt>
                <c:pt idx="1">
                  <c:v/>
                </c:pt>
                <c:pt idx="2">
                  <c:v/>
                </c:pt>
                <c:pt idx="3">
                  <c:v/>
                </c:pt>
              </c:strCache>
            </c:strRef>
          </c:cat>
          <c:val>
            <c:numRef>
              <c:f>5</c:f>
              <c:numCache>
                <c:formatCode>General</c:formatCode>
                <c:ptCount val="4"/>
                <c:pt idx="0">
                  <c:v>693</c:v>
                </c:pt>
                <c:pt idx="1">
                  <c:v>140</c:v>
                </c:pt>
                <c:pt idx="2">
                  <c:v>219</c:v>
                </c:pt>
                <c:pt idx="3">
                  <c:v>210</c:v>
                </c:pt>
              </c:numCache>
            </c:numRef>
          </c:val>
          <c:smooth val="0"/>
        </c:ser>
        <c:ser>
          <c:idx val="6"/>
          <c:order val="6"/>
          <c:tx>
            <c:strRef>
              <c:f>label 6</c:f>
              <c:strCache>
                <c:ptCount val="1"/>
                <c:pt idx="0">
                  <c:v>янв.20</c:v>
                </c:pt>
              </c:strCache>
            </c:strRef>
          </c:tx>
          <c:spPr>
            <a:solidFill>
              <a:srgbClr val="255e91"/>
            </a:solidFill>
            <a:ln w="28440">
              <a:solidFill>
                <a:srgbClr val="255e91"/>
              </a:solidFill>
              <a:round/>
            </a:ln>
          </c:spPr>
          <c:marker>
            <c:symbol val="none"/>
          </c:marker>
          <c:dLbls>
            <c:numFmt formatCode="General" sourceLinked="1"/>
            <c:txPr>
              <a:bodyPr/>
              <a:lstStyle/>
              <a:p>
                <a:pPr>
                  <a:defRPr b="0" sz="1000" spc="-1" strike="noStrike">
                    <a:solidFill>
                      <a:srgbClr val="000000"/>
                    </a:solidFill>
                    <a:latin typeface="Calibri"/>
                  </a:defRPr>
                </a:pPr>
              </a:p>
            </c:txPr>
            <c:dLblPos val="r"/>
            <c:showLegendKey val="0"/>
            <c:showVal val="1"/>
            <c:showCatName val="0"/>
            <c:showSerName val="0"/>
            <c:showPercent val="0"/>
            <c:separator>; </c:separator>
            <c:showLeaderLines val="0"/>
          </c:dLbls>
          <c:cat>
            <c:strRef>
              <c:f>categories</c:f>
              <c:strCache>
                <c:ptCount val="4"/>
                <c:pt idx="0">
                  <c:v/>
                </c:pt>
                <c:pt idx="1">
                  <c:v/>
                </c:pt>
                <c:pt idx="2">
                  <c:v/>
                </c:pt>
                <c:pt idx="3">
                  <c:v/>
                </c:pt>
              </c:strCache>
            </c:strRef>
          </c:cat>
          <c:val>
            <c:numRef>
              <c:f>6</c:f>
              <c:numCache>
                <c:formatCode>General</c:formatCode>
                <c:ptCount val="4"/>
                <c:pt idx="0">
                  <c:v>693</c:v>
                </c:pt>
                <c:pt idx="1">
                  <c:v>142</c:v>
                </c:pt>
                <c:pt idx="2">
                  <c:v>222</c:v>
                </c:pt>
                <c:pt idx="3">
                  <c:v>210</c:v>
                </c:pt>
              </c:numCache>
            </c:numRef>
          </c:val>
          <c:smooth val="0"/>
        </c:ser>
        <c:ser>
          <c:idx val="7"/>
          <c:order val="7"/>
          <c:tx>
            <c:strRef>
              <c:f>label 7</c:f>
              <c:strCache>
                <c:ptCount val="1"/>
                <c:pt idx="0">
                  <c:v>янв.21</c:v>
                </c:pt>
              </c:strCache>
            </c:strRef>
          </c:tx>
          <c:spPr>
            <a:solidFill>
              <a:srgbClr val="f1a78b"/>
            </a:solidFill>
            <a:ln w="19080">
              <a:solidFill>
                <a:srgbClr val="f1a78b"/>
              </a:solidFill>
              <a:round/>
            </a:ln>
          </c:spPr>
          <c:marker>
            <c:symbol val="none"/>
          </c:marker>
          <c:dLbls>
            <c:txPr>
              <a:bodyPr/>
              <a:lstStyle/>
              <a:p>
                <a:pPr>
                  <a:defRPr b="0" sz="1000" spc="-1" strike="noStrike">
                    <a:solidFill>
                      <a:srgbClr val="000000"/>
                    </a:solidFill>
                    <a:latin typeface="Calibri"/>
                  </a:defRPr>
                </a:pPr>
              </a:p>
            </c:txPr>
            <c:dLblPos val="r"/>
            <c:showLegendKey val="0"/>
            <c:showVal val="0"/>
            <c:showCatName val="0"/>
            <c:showSerName val="0"/>
            <c:showPercent val="0"/>
            <c:separator>; </c:separator>
            <c:showLeaderLines val="0"/>
          </c:dLbls>
          <c:cat>
            <c:strRef>
              <c:f>categories</c:f>
              <c:strCache>
                <c:ptCount val="4"/>
                <c:pt idx="0">
                  <c:v/>
                </c:pt>
                <c:pt idx="1">
                  <c:v/>
                </c:pt>
                <c:pt idx="2">
                  <c:v/>
                </c:pt>
                <c:pt idx="3">
                  <c:v/>
                </c:pt>
              </c:strCache>
            </c:strRef>
          </c:cat>
          <c:val>
            <c:numRef>
              <c:f>7</c:f>
              <c:numCache>
                <c:formatCode>General</c:formatCode>
                <c:ptCount val="4"/>
                <c:pt idx="0">
                  <c:v>696</c:v>
                </c:pt>
                <c:pt idx="1">
                  <c:v>140</c:v>
                </c:pt>
                <c:pt idx="2">
                  <c:v>220</c:v>
                </c:pt>
                <c:pt idx="3">
                  <c:v>210</c:v>
                </c:pt>
              </c:numCache>
            </c:numRef>
          </c:val>
          <c:smooth val="0"/>
        </c:ser>
        <c:ser>
          <c:idx val="8"/>
          <c:order val="8"/>
          <c:tx>
            <c:strRef>
              <c:f>label 8</c:f>
              <c:strCache>
                <c:ptCount val="1"/>
                <c:pt idx="0">
                  <c:v>янв.22</c:v>
                </c:pt>
              </c:strCache>
            </c:strRef>
          </c:tx>
          <c:spPr>
            <a:solidFill>
              <a:srgbClr val="bfbfbf"/>
            </a:solidFill>
            <a:ln w="19080">
              <a:solidFill>
                <a:srgbClr val="bfbfbf"/>
              </a:solidFill>
              <a:round/>
            </a:ln>
          </c:spPr>
          <c:marker>
            <c:symbol val="none"/>
          </c:marker>
          <c:dLbls>
            <c:txPr>
              <a:bodyPr/>
              <a:lstStyle/>
              <a:p>
                <a:pPr>
                  <a:defRPr b="0" sz="1000" spc="-1" strike="noStrike">
                    <a:solidFill>
                      <a:srgbClr val="000000"/>
                    </a:solidFill>
                    <a:latin typeface="Calibri"/>
                  </a:defRPr>
                </a:pPr>
              </a:p>
            </c:txPr>
            <c:dLblPos val="r"/>
            <c:showLegendKey val="0"/>
            <c:showVal val="0"/>
            <c:showCatName val="0"/>
            <c:showSerName val="0"/>
            <c:showPercent val="0"/>
            <c:separator>; </c:separator>
            <c:showLeaderLines val="0"/>
          </c:dLbls>
          <c:cat>
            <c:strRef>
              <c:f>categories</c:f>
              <c:strCache>
                <c:ptCount val="4"/>
                <c:pt idx="0">
                  <c:v/>
                </c:pt>
                <c:pt idx="1">
                  <c:v/>
                </c:pt>
                <c:pt idx="2">
                  <c:v/>
                </c:pt>
                <c:pt idx="3">
                  <c:v/>
                </c:pt>
              </c:strCache>
            </c:strRef>
          </c:cat>
          <c:val>
            <c:numRef>
              <c:f>8</c:f>
              <c:numCache>
                <c:formatCode>General</c:formatCode>
                <c:ptCount val="4"/>
                <c:pt idx="0">
                  <c:v>656</c:v>
                </c:pt>
                <c:pt idx="1">
                  <c:v>126</c:v>
                </c:pt>
                <c:pt idx="2">
                  <c:v>206</c:v>
                </c:pt>
                <c:pt idx="3">
                  <c:v>195</c:v>
                </c:pt>
              </c:numCache>
            </c:numRef>
          </c:val>
          <c:smooth val="0"/>
        </c:ser>
        <c:ser>
          <c:idx val="9"/>
          <c:order val="9"/>
          <c:tx>
            <c:strRef>
              <c:f>label 9</c:f>
              <c:strCache>
                <c:ptCount val="1"/>
                <c:pt idx="0">
                  <c:v>янв.23</c:v>
                </c:pt>
              </c:strCache>
            </c:strRef>
          </c:tx>
          <c:spPr>
            <a:solidFill>
              <a:srgbClr val="ffd087"/>
            </a:solidFill>
            <a:ln w="19080">
              <a:solidFill>
                <a:srgbClr val="ffd087"/>
              </a:solidFill>
              <a:round/>
            </a:ln>
          </c:spPr>
          <c:marker>
            <c:symbol val="none"/>
          </c:marker>
          <c:dLbls>
            <c:txPr>
              <a:bodyPr/>
              <a:lstStyle/>
              <a:p>
                <a:pPr>
                  <a:defRPr b="0" sz="1000" spc="-1" strike="noStrike">
                    <a:solidFill>
                      <a:srgbClr val="000000"/>
                    </a:solidFill>
                    <a:latin typeface="Calibri"/>
                  </a:defRPr>
                </a:pPr>
              </a:p>
            </c:txPr>
            <c:dLblPos val="r"/>
            <c:showLegendKey val="0"/>
            <c:showVal val="0"/>
            <c:showCatName val="0"/>
            <c:showSerName val="0"/>
            <c:showPercent val="0"/>
            <c:separator>; </c:separator>
            <c:showLeaderLines val="0"/>
          </c:dLbls>
          <c:cat>
            <c:strRef>
              <c:f>categories</c:f>
              <c:strCache>
                <c:ptCount val="4"/>
                <c:pt idx="0">
                  <c:v/>
                </c:pt>
                <c:pt idx="1">
                  <c:v/>
                </c:pt>
                <c:pt idx="2">
                  <c:v/>
                </c:pt>
                <c:pt idx="3">
                  <c:v/>
                </c:pt>
              </c:strCache>
            </c:strRef>
          </c:cat>
          <c:val>
            <c:numRef>
              <c:f>9</c:f>
              <c:numCache>
                <c:formatCode>General</c:formatCode>
                <c:ptCount val="4"/>
                <c:pt idx="0">
                  <c:v>720</c:v>
                </c:pt>
                <c:pt idx="1">
                  <c:v>99</c:v>
                </c:pt>
                <c:pt idx="2">
                  <c:v>180</c:v>
                </c:pt>
                <c:pt idx="3">
                  <c:v>198</c:v>
                </c:pt>
              </c:numCache>
            </c:numRef>
          </c:val>
          <c:smooth val="0"/>
        </c:ser>
        <c:hiLowLines>
          <c:spPr>
            <a:ln>
              <a:noFill/>
            </a:ln>
          </c:spPr>
        </c:hiLowLines>
        <c:marker val="0"/>
        <c:axId val="6960179"/>
        <c:axId val="22564515"/>
      </c:lineChart>
      <c:catAx>
        <c:axId val="6960179"/>
        <c:scaling>
          <c:orientation val="minMax"/>
        </c:scaling>
        <c:delete val="1"/>
        <c:axPos val="b"/>
        <c:numFmt formatCode="[$-419]dd/mm/yyyy" sourceLinked="1"/>
        <c:majorTickMark val="none"/>
        <c:minorTickMark val="none"/>
        <c:tickLblPos val="none"/>
        <c:spPr>
          <a:ln w="6480">
            <a:solidFill>
              <a:srgbClr val="8b8b8b"/>
            </a:solidFill>
            <a:round/>
          </a:ln>
        </c:spPr>
        <c:txPr>
          <a:bodyPr/>
          <a:lstStyle/>
          <a:p>
            <a:pPr>
              <a:defRPr b="0" sz="1000" spc="-1" strike="noStrike">
                <a:solidFill>
                  <a:srgbClr val="000000"/>
                </a:solidFill>
                <a:latin typeface="Calibri"/>
              </a:defRPr>
            </a:pPr>
          </a:p>
        </c:txPr>
        <c:crossAx val="22564515"/>
        <c:auto val="1"/>
        <c:lblAlgn val="ctr"/>
        <c:lblOffset val="100"/>
        <c:noMultiLvlLbl val="0"/>
      </c:catAx>
      <c:valAx>
        <c:axId val="22564515"/>
        <c:scaling>
          <c:orientation val="minMax"/>
        </c:scaling>
        <c:delete val="0"/>
        <c:axPos val="l"/>
        <c:majorGridlines>
          <c:spPr>
            <a:ln w="9360">
              <a:solidFill>
                <a:srgbClr val="d9d9d9"/>
              </a:solidFill>
              <a:round/>
            </a:ln>
          </c:spPr>
        </c:majorGridlines>
        <c:numFmt formatCode="General" sourceLinked="0"/>
        <c:majorTickMark val="none"/>
        <c:minorTickMark val="none"/>
        <c:tickLblPos val="nextTo"/>
        <c:spPr>
          <a:ln w="6480">
            <a:noFill/>
          </a:ln>
        </c:spPr>
        <c:txPr>
          <a:bodyPr/>
          <a:lstStyle/>
          <a:p>
            <a:pPr>
              <a:defRPr b="0" sz="900" spc="-1" strike="noStrike">
                <a:solidFill>
                  <a:srgbClr val="595959"/>
                </a:solidFill>
                <a:latin typeface="Calibri"/>
              </a:defRPr>
            </a:pPr>
          </a:p>
        </c:txPr>
        <c:crossAx val="6960179"/>
        <c:crosses val="autoZero"/>
        <c:crossBetween val="midCat"/>
      </c:valAx>
      <c:spPr>
        <a:noFill/>
        <a:ln>
          <a:noFill/>
        </a:ln>
      </c:spPr>
    </c:plotArea>
    <c:legend>
      <c:legendPos val="b"/>
      <c:layout>
        <c:manualLayout>
          <c:xMode val="edge"/>
          <c:yMode val="edge"/>
          <c:x val="0.039372662248179"/>
          <c:y val="0.848014399820002"/>
          <c:w val="0.923415146344665"/>
          <c:h val="0.127812781278128"/>
        </c:manualLayout>
      </c:layout>
      <c:overlay val="0"/>
      <c:spPr>
        <a:noFill/>
        <a:ln>
          <a:noFill/>
        </a:ln>
      </c:spPr>
      <c:txPr>
        <a:bodyPr/>
        <a:lstStyle/>
        <a:p>
          <a:pPr>
            <a:defRPr b="0" sz="900" spc="-1" strike="noStrike">
              <a:solidFill>
                <a:srgbClr val="595959"/>
              </a:solidFill>
              <a:latin typeface="Calibri"/>
            </a:defRPr>
          </a:pPr>
        </a:p>
      </c:txPr>
    </c:legend>
    <c:plotVisOnly val="1"/>
    <c:dispBlanksAs val="gap"/>
  </c:chart>
  <c:spPr>
    <a:solidFill>
      <a:srgbClr val="ffffff"/>
    </a:solidFill>
    <a:ln w="9360">
      <a:solidFill>
        <a:srgbClr val="d9d9d9"/>
      </a:solidFill>
      <a:round/>
    </a:ln>
  </c:sp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45</TotalTime>
  <Application>LibreOffice/6.4.0.3$Windows_X86_64 LibreOffice_project/b0a288ab3d2d4774cb44b62f04d5d28733ac6df8</Application>
  <Pages>147</Pages>
  <Words>33480</Words>
  <Characters>239323</Characters>
  <CharactersWithSpaces>268416</CharactersWithSpaces>
  <Paragraphs>5029</Paragraphs>
  <Company>SPecialiST RePack</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2023-07-25T10:31:00Z</dcterms:created>
  <dc:creator>user</dc:creator>
  <dc:description/>
  <dc:language>ru-RU</dc:language>
  <cp:lastModifiedBy/>
  <cp:lastPrinted>2025-07-02T12:04:33Z</cp:lastPrinted>
  <dcterms:modified xsi:type="dcterms:W3CDTF">2025-07-07T16:02:27Z</dcterms:modified>
  <cp:revision>12</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SPecialiST RePack</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ScaleCrop">
    <vt:bool>0</vt:bool>
  </property>
  <property fmtid="{D5CDD505-2E9C-101B-9397-08002B2CF9AE}" pid="8" name="ShareDoc">
    <vt:bool>0</vt:bool>
  </property>
</Properties>
</file>