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AA" w:rsidRPr="00452AAA" w:rsidRDefault="00452AAA" w:rsidP="00452AAA">
      <w:pPr>
        <w:pStyle w:val="a3"/>
        <w:rPr>
          <w:sz w:val="26"/>
          <w:szCs w:val="26"/>
        </w:rPr>
      </w:pPr>
      <w:r w:rsidRPr="00452AAA">
        <w:rPr>
          <w:noProof/>
          <w:sz w:val="26"/>
          <w:szCs w:val="26"/>
        </w:rPr>
        <w:drawing>
          <wp:inline distT="0" distB="0" distL="0" distR="0">
            <wp:extent cx="7620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AAA" w:rsidRPr="00452AAA" w:rsidRDefault="00452AAA" w:rsidP="00FA7B69">
      <w:pPr>
        <w:pStyle w:val="5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52AAA">
        <w:rPr>
          <w:rFonts w:ascii="Times New Roman" w:hAnsi="Times New Roman"/>
          <w:b/>
          <w:color w:val="auto"/>
          <w:sz w:val="26"/>
          <w:szCs w:val="26"/>
        </w:rPr>
        <w:t>АДМИНИСТРАЦИЯ КРАСНООКТЯБРЬСКОГО СЕЛЬСКОГО ПОСЕЛЕНИЯ</w:t>
      </w:r>
    </w:p>
    <w:p w:rsidR="00452AAA" w:rsidRPr="00452AAA" w:rsidRDefault="00452AAA" w:rsidP="00FA7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AAA">
        <w:rPr>
          <w:rFonts w:ascii="Times New Roman" w:hAnsi="Times New Roman" w:cs="Times New Roman"/>
          <w:b/>
          <w:sz w:val="26"/>
          <w:szCs w:val="26"/>
        </w:rPr>
        <w:t>ВАРНЕНСКОГО  МУНИЦИПАЛЬНОГО  РАЙОНА</w:t>
      </w:r>
    </w:p>
    <w:p w:rsidR="00452AAA" w:rsidRPr="00452AAA" w:rsidRDefault="00452AAA" w:rsidP="00FA7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AAA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452AAA" w:rsidRPr="00452AAA" w:rsidRDefault="00452AAA" w:rsidP="00452AAA">
      <w:pPr>
        <w:rPr>
          <w:rFonts w:ascii="Times New Roman" w:hAnsi="Times New Roman" w:cs="Times New Roman"/>
          <w:sz w:val="26"/>
          <w:szCs w:val="26"/>
        </w:rPr>
      </w:pPr>
    </w:p>
    <w:p w:rsidR="00452AAA" w:rsidRPr="00452AAA" w:rsidRDefault="00452AAA" w:rsidP="00452AAA">
      <w:pPr>
        <w:jc w:val="center"/>
        <w:rPr>
          <w:rFonts w:ascii="Times New Roman" w:hAnsi="Times New Roman" w:cs="Times New Roman"/>
          <w:sz w:val="26"/>
          <w:szCs w:val="26"/>
        </w:rPr>
      </w:pPr>
      <w:r w:rsidRPr="00452AAA">
        <w:rPr>
          <w:rFonts w:ascii="Times New Roman" w:hAnsi="Times New Roman" w:cs="Times New Roman"/>
          <w:sz w:val="26"/>
          <w:szCs w:val="26"/>
        </w:rPr>
        <w:t> </w:t>
      </w:r>
    </w:p>
    <w:p w:rsidR="00452AAA" w:rsidRPr="00452AAA" w:rsidRDefault="00452AAA" w:rsidP="00FA7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AAA">
        <w:rPr>
          <w:rFonts w:ascii="Times New Roman" w:hAnsi="Times New Roman" w:cs="Times New Roman"/>
          <w:b/>
          <w:sz w:val="26"/>
          <w:szCs w:val="26"/>
        </w:rPr>
        <w:t>РАСПОРЯЖЕНИЕ № </w:t>
      </w:r>
      <w:r w:rsidR="002157AE">
        <w:rPr>
          <w:rFonts w:ascii="Times New Roman" w:hAnsi="Times New Roman" w:cs="Times New Roman"/>
          <w:b/>
          <w:sz w:val="26"/>
          <w:szCs w:val="26"/>
        </w:rPr>
        <w:t>30/1</w:t>
      </w:r>
    </w:p>
    <w:p w:rsidR="00452AAA" w:rsidRDefault="00452AAA" w:rsidP="00FA7B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Pr="00452AAA">
        <w:rPr>
          <w:rFonts w:ascii="Times New Roman" w:hAnsi="Times New Roman" w:cs="Times New Roman"/>
          <w:b/>
          <w:sz w:val="26"/>
          <w:szCs w:val="26"/>
        </w:rPr>
        <w:t>учетн</w:t>
      </w:r>
      <w:r>
        <w:rPr>
          <w:rFonts w:ascii="Times New Roman" w:hAnsi="Times New Roman" w:cs="Times New Roman"/>
          <w:b/>
          <w:sz w:val="26"/>
          <w:szCs w:val="26"/>
        </w:rPr>
        <w:t>ую</w:t>
      </w:r>
      <w:r w:rsidRPr="00452AAA">
        <w:rPr>
          <w:rFonts w:ascii="Times New Roman" w:hAnsi="Times New Roman" w:cs="Times New Roman"/>
          <w:b/>
          <w:sz w:val="26"/>
          <w:szCs w:val="26"/>
        </w:rPr>
        <w:t xml:space="preserve"> политик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452AAA">
        <w:rPr>
          <w:rFonts w:ascii="Times New Roman" w:hAnsi="Times New Roman" w:cs="Times New Roman"/>
          <w:b/>
          <w:sz w:val="26"/>
          <w:szCs w:val="26"/>
        </w:rPr>
        <w:t xml:space="preserve"> для целей бюджетного учета</w:t>
      </w:r>
    </w:p>
    <w:p w:rsidR="00452AAA" w:rsidRPr="002157AE" w:rsidRDefault="00452AAA" w:rsidP="00452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AAA" w:rsidRPr="002157AE" w:rsidRDefault="00452AAA" w:rsidP="00452AAA">
      <w:pPr>
        <w:tabs>
          <w:tab w:val="left" w:pos="8058"/>
        </w:tabs>
        <w:rPr>
          <w:rFonts w:ascii="Times New Roman" w:hAnsi="Times New Roman" w:cs="Times New Roman"/>
          <w:sz w:val="24"/>
          <w:szCs w:val="24"/>
        </w:rPr>
      </w:pPr>
      <w:r w:rsidRPr="002157AE">
        <w:rPr>
          <w:rFonts w:ascii="Times New Roman" w:hAnsi="Times New Roman" w:cs="Times New Roman"/>
          <w:bCs/>
          <w:iCs/>
          <w:sz w:val="24"/>
          <w:szCs w:val="24"/>
        </w:rPr>
        <w:t>п. Красный Октябрь</w:t>
      </w:r>
      <w:r w:rsidRPr="00215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157AE" w:rsidRPr="002157AE">
        <w:rPr>
          <w:rFonts w:ascii="Times New Roman" w:hAnsi="Times New Roman" w:cs="Times New Roman"/>
          <w:sz w:val="24"/>
          <w:szCs w:val="24"/>
        </w:rPr>
        <w:t>21</w:t>
      </w:r>
      <w:r w:rsidRPr="002157AE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2157AE" w:rsidRPr="002157AE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157AE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2157AE" w:rsidRPr="002157AE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157AE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452AAA" w:rsidRPr="00452AAA" w:rsidRDefault="00452AAA" w:rsidP="00452AAA">
      <w:pPr>
        <w:rPr>
          <w:rFonts w:ascii="Times New Roman" w:hAnsi="Times New Roman" w:cs="Times New Roman"/>
          <w:sz w:val="26"/>
          <w:szCs w:val="26"/>
        </w:rPr>
      </w:pPr>
    </w:p>
    <w:p w:rsidR="002157AE" w:rsidRPr="00864360" w:rsidRDefault="00452AAA" w:rsidP="002157AE">
      <w:pPr>
        <w:jc w:val="both"/>
        <w:rPr>
          <w:rFonts w:ascii="Times New Roman" w:hAnsi="Times New Roman" w:cs="Times New Roman"/>
          <w:sz w:val="24"/>
          <w:szCs w:val="24"/>
        </w:rPr>
      </w:pPr>
      <w:r w:rsidRPr="000613E0">
        <w:rPr>
          <w:sz w:val="24"/>
          <w:szCs w:val="24"/>
        </w:rPr>
        <w:tab/>
      </w:r>
      <w:proofErr w:type="gramStart"/>
      <w:r w:rsidR="002157AE" w:rsidRPr="00864360">
        <w:rPr>
          <w:rFonts w:ascii="Times New Roman" w:hAnsi="Times New Roman" w:cs="Times New Roman"/>
          <w:sz w:val="24"/>
          <w:szCs w:val="24"/>
        </w:rPr>
        <w:t>В связи с вступлением в силу с 01 января 2021 года федеральных стандартов госсектора по приказам Минфина России от 28.02.2018 № 34н «</w:t>
      </w:r>
      <w:proofErr w:type="spellStart"/>
      <w:r w:rsidR="002157AE" w:rsidRPr="00864360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="002157AE" w:rsidRPr="00864360">
        <w:rPr>
          <w:rFonts w:ascii="Times New Roman" w:hAnsi="Times New Roman" w:cs="Times New Roman"/>
          <w:sz w:val="24"/>
          <w:szCs w:val="24"/>
        </w:rPr>
        <w:t xml:space="preserve"> активы», от 30.06.2020 № 129н «Финансовые инструменты»,  от 15.11.2019 № 181н, № 182н, № 183н, № 184н </w:t>
      </w:r>
      <w:r w:rsidR="002157AE" w:rsidRPr="008643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соответственно СГС «Нематериальные активы», СГС «Затраты по заимствованиям», СГС «Совместная деятельность», СГС «Выплаты персоналу»), </w:t>
      </w:r>
      <w:r w:rsidR="002157AE" w:rsidRPr="00864360">
        <w:rPr>
          <w:rFonts w:ascii="Times New Roman" w:hAnsi="Times New Roman" w:cs="Times New Roman"/>
          <w:sz w:val="24"/>
          <w:szCs w:val="24"/>
        </w:rPr>
        <w:t>от 30.06.2020 № 130н «О внесении изменений в приказ МФ РФ от</w:t>
      </w:r>
      <w:proofErr w:type="gramEnd"/>
      <w:r w:rsidR="002157AE" w:rsidRPr="00864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7AE" w:rsidRPr="00864360">
        <w:rPr>
          <w:rFonts w:ascii="Times New Roman" w:hAnsi="Times New Roman" w:cs="Times New Roman"/>
          <w:sz w:val="24"/>
          <w:szCs w:val="24"/>
        </w:rPr>
        <w:t>31 декабря 2016г. № 256н, от 15.06.2020 № 103н «О внесении изменений в приложения №1-5 к приказу МФ РФ от 30 марта 2015г. № 52н, от 14.09.2020 № 198н «О внесении изменений в приложения №1-2 к приказу МФ РФ от 01 декабря 2010г. № 157н, от 28.10.2020 № 246н «О внесении изменений в приложения  к приказу МФ РФ от 06 декабря 2010г. №162н.</w:t>
      </w:r>
      <w:proofErr w:type="gramEnd"/>
    </w:p>
    <w:p w:rsidR="002157AE" w:rsidRPr="00864360" w:rsidRDefault="002157AE" w:rsidP="00215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</w:t>
      </w:r>
      <w:r w:rsidRPr="0086436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157AE" w:rsidRPr="00864360" w:rsidRDefault="002157AE" w:rsidP="00215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3.2 дополнить: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Первоначальной стоимостью нематериальных активов, полученных в результате необменных операций, является их справедливая стоимость на дату приобретения, либо стоимость, отраженная в передаточных документах.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Если объект нематериальных активов, не может быть оценен по справедливой стоимости и передаточные документы не содержат информации по его стоимости, его первоначальной стоимостью признается текущая оценочная стоимость.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Определение текущей оценочной стоимости нематериального актива осуществляется методом рыночных цен на основании данных о сделках с аналогичным или схожим активом, совершенных без отсрочки платежа, и определяется в сумме денежных средств, необходимых при продаже (приобретении) указанных активов на дату принятия к учету.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Определение текущей оценочной стоимости в целях принятия к бухгалтерскому учету объекта нематериального актива производится на основе цены, действующей на дату принятия к учету указанного актива, полученного безвозмездно, на данный или аналогичный вид нематериального актива.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Данные о действующей цене должны быть подтверждены документально, а в случаях невозможности документального подтверждения - экспертным путем.</w:t>
      </w:r>
    </w:p>
    <w:p w:rsidR="002157AE" w:rsidRPr="00864360" w:rsidRDefault="002157AE" w:rsidP="002157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lastRenderedPageBreak/>
        <w:t xml:space="preserve">     При определении текущей оценочной стоимости в целях принятия к бухгалтерскому учету объекта нематериального актива комиссией по поступлению и выбытию активов используются данные: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о ценах на аналогичные нематериальные активы,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сведения об уровне цен, имеющихся у органов государственной статистики,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также в средствах массовой информации и специальной литературе,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экспертные заключения (в том числе экспертов, привлеченных на добровольных началах к работе в комиссии по поступлению и выбытию активов) о стоимости отдельных (аналогичных) объектов нематериальных активов.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В случае если данные о ценах на </w:t>
      </w:r>
      <w:proofErr w:type="gramStart"/>
      <w:r w:rsidRPr="00864360">
        <w:rPr>
          <w:rFonts w:ascii="Times New Roman" w:hAnsi="Times New Roman" w:cs="Times New Roman"/>
          <w:sz w:val="24"/>
          <w:szCs w:val="24"/>
        </w:rPr>
        <w:t>аналогичные</w:t>
      </w:r>
      <w:proofErr w:type="gramEnd"/>
      <w:r w:rsidRPr="00864360">
        <w:rPr>
          <w:rFonts w:ascii="Times New Roman" w:hAnsi="Times New Roman" w:cs="Times New Roman"/>
          <w:sz w:val="24"/>
          <w:szCs w:val="24"/>
        </w:rPr>
        <w:t xml:space="preserve"> либо схожие нематериальные активы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 текущая оценочная стоимость признается в условной оценке, равной одному рублю. При этом указанные нематериальные активы, соответствующие критериям признания активов, отражаются субъектом учета на балансовых счетах в условной оценке: один объект, один рубль.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После получения данных о ценах на аналогичные либо схожие нематериальные активы по объекту нематериального актива, отраженного на дату признания в условной оценке, комиссией по поступлению выбытию активов субъекта учета осуществляется пересмотр балансовой (справедливой) стоимости такого объекта.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Объекты нематериальных активов, полученные от собственника (учредителя), иной организации бюджетной сферы подлежат признанию в оценке, определенной передающей стороной - по стоимости, отраженной в передаточных документах.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 xml:space="preserve">Основание: Письмо Минфина России от 30.11.2020 №02-07-07/104384 «О направлении методических рекомендаций по применению федерального стандарта бухгалтерского учета государственных финансов «нематериальные активы» </w:t>
      </w:r>
    </w:p>
    <w:p w:rsidR="002157AE" w:rsidRPr="00864360" w:rsidRDefault="002157AE" w:rsidP="00215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3.4  «Нематериальные активы» изложить в следующей редакции: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Срок полезного использования нематериальных активов по подгруппе «Нематериальные активы с определенным  сроком полезного использования» в зависимости от вида нематериального актива определяется  комиссией учреждения по поступлению  и выбытию активов как: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-срок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-срок действия патента, свидетельства;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-ожидаемый срок использования актива, в течение которого учреждение предполагает использовать актив  в деятельности, направленной на достижение целей создания учреждения.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Амортизация объектов нематериальных активов по подгруппе «Нематериальные активы с определенным  сроком полезного использования» начисляется линейным методом.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По подгруппе «Нематериальные активы с определенным  сроком полезного использования» при переоценке объекта основных средств (при отчуждении   не в пользу организаций бюджетной сферы) используется следующий метод учета суммы амортизации: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15.11.2019 № 181н «Об утверждении федерального стандарта бухгалтерского учета государственных финансов «Нематериальные активы».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В первоначальную стоимость объектов нематериальных активов, созданных собственными силами, включаются расходы: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гонорар, выплачиваемый работникам за выполненную работу, 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страховые взносы на указанные выплаты, 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lastRenderedPageBreak/>
        <w:t>- расходы на регистрацию (в том числе на регистрацию доменного имени интернет-сайта),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услуги </w:t>
      </w:r>
      <w:proofErr w:type="spellStart"/>
      <w:r w:rsidRPr="00864360"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 w:rsidRPr="00864360">
        <w:rPr>
          <w:rFonts w:ascii="Times New Roman" w:hAnsi="Times New Roman" w:cs="Times New Roman"/>
          <w:sz w:val="24"/>
          <w:szCs w:val="24"/>
        </w:rPr>
        <w:t>, связанные с непосредственным созданием интернет-сайта,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иные расходы, связанные с непосредственным созданием объектов нематериальных активов.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Последующие затраты на доработку объектов нематериальных активов, созданных собственными силами, интернет-сайта, которые приведут к увеличению экономических выгод от его использования и (или) приведут к увеличению  полезного потенциала актива увеличивают его первоначальную (балансовую) стоимость.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Не относятся к затратам, формирующим первоначальную стоимость объекта нематериальных активов: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затраты на покупку, подготовку и эксплуатацию оборудования (</w:t>
      </w:r>
      <w:proofErr w:type="spellStart"/>
      <w:r w:rsidRPr="00864360">
        <w:rPr>
          <w:rFonts w:ascii="Times New Roman" w:hAnsi="Times New Roman" w:cs="Times New Roman"/>
          <w:sz w:val="24"/>
          <w:szCs w:val="24"/>
        </w:rPr>
        <w:t>веб-серверы</w:t>
      </w:r>
      <w:proofErr w:type="spellEnd"/>
      <w:r w:rsidRPr="00864360">
        <w:rPr>
          <w:rFonts w:ascii="Times New Roman" w:hAnsi="Times New Roman" w:cs="Times New Roman"/>
          <w:sz w:val="24"/>
          <w:szCs w:val="24"/>
        </w:rPr>
        <w:t>, промежуточные серверы, рабочие серверы и подключение к Интернету),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затраты на размещение интернет-сайта с использованием услуг провайдера </w:t>
      </w:r>
      <w:proofErr w:type="spellStart"/>
      <w:proofErr w:type="gramStart"/>
      <w:r w:rsidRPr="00864360">
        <w:rPr>
          <w:rFonts w:ascii="Times New Roman" w:hAnsi="Times New Roman" w:cs="Times New Roman"/>
          <w:sz w:val="24"/>
          <w:szCs w:val="24"/>
        </w:rPr>
        <w:t>Интернет-связи</w:t>
      </w:r>
      <w:proofErr w:type="spellEnd"/>
      <w:proofErr w:type="gramEnd"/>
      <w:r w:rsidRPr="00864360">
        <w:rPr>
          <w:rFonts w:ascii="Times New Roman" w:hAnsi="Times New Roman" w:cs="Times New Roman"/>
          <w:sz w:val="24"/>
          <w:szCs w:val="24"/>
        </w:rPr>
        <w:t>,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и др. аналогичные затраты.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В бухгалтерской (финансовой) отчетности  дополнительные данные об остаточной стоимости объектов нематериальных активов не раскрываются.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 xml:space="preserve"> Основание:  Письмо Минфина России от 30.11.2020 №02-07-07/104384 «О направлении методических рекомендаций по применению федерального стандарта бухгалтерского учета государственных финансов «нематериальные активы» </w:t>
      </w:r>
    </w:p>
    <w:p w:rsidR="002157AE" w:rsidRPr="00864360" w:rsidRDefault="002157AE" w:rsidP="00215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Добавить  п. п. 3.4.1</w:t>
      </w:r>
      <w:r w:rsidRPr="00864360">
        <w:rPr>
          <w:rFonts w:ascii="Times New Roman" w:hAnsi="Times New Roman" w:cs="Times New Roman"/>
          <w:b/>
          <w:sz w:val="24"/>
          <w:szCs w:val="24"/>
        </w:rPr>
        <w:t xml:space="preserve"> «Учет расходов на приобретение прав пользования программными продуктами»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Платежи учреждения (лицензиата) за предоставленное ему право использования результатов интеллектуальной деятельности (средств индивидуализации), производимые в виде периодических платежей (единовременного фиксированного платежа), если срок пользования по условиям договора составляет менее 12 месяцев, относить: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на финансовый результат текущего года (счет 0 401 20 226 «Расходы текущего финансового года»), в сумме стоимости заключенного договора, если договор составлен на текущий год-до 31 декабря.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</w:t>
      </w:r>
      <w:r w:rsidRPr="00864360">
        <w:rPr>
          <w:rFonts w:ascii="Times New Roman" w:hAnsi="Times New Roman" w:cs="Times New Roman"/>
          <w:sz w:val="24"/>
          <w:szCs w:val="24"/>
          <w:shd w:val="clear" w:color="auto" w:fill="FFFFFF"/>
        </w:rPr>
        <w:t>на расходы будущих периодов</w:t>
      </w:r>
      <w:r w:rsidRPr="0086436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864360">
        <w:rPr>
          <w:rFonts w:ascii="Times New Roman" w:hAnsi="Times New Roman" w:cs="Times New Roman"/>
          <w:sz w:val="24"/>
          <w:szCs w:val="24"/>
        </w:rPr>
        <w:t xml:space="preserve">(счет 0 401 50 226 «Расходы будущих периодов) с последующим ежемесячным списанием на финансовый результат (счет 0 401 20 226 «расходы экономического субъекта»), </w:t>
      </w:r>
      <w:r w:rsidRPr="00864360">
        <w:rPr>
          <w:rFonts w:ascii="Times New Roman" w:hAnsi="Times New Roman" w:cs="Times New Roman"/>
          <w:sz w:val="24"/>
          <w:szCs w:val="24"/>
          <w:shd w:val="clear" w:color="auto" w:fill="FFFFFF"/>
        </w:rPr>
        <w:t>в равных долях в течение срока права пользования программным продуктом. Этот способ отражения расходов применяется, когда расходы, начисленные учреждением в отчетном периоде, относятся к расходам будущих периодов.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При этом право пользования не подлежат </w:t>
      </w:r>
      <w:proofErr w:type="gramStart"/>
      <w:r w:rsidRPr="008643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64360">
        <w:rPr>
          <w:rFonts w:ascii="Times New Roman" w:hAnsi="Times New Roman" w:cs="Times New Roman"/>
          <w:sz w:val="24"/>
          <w:szCs w:val="24"/>
        </w:rPr>
        <w:t xml:space="preserve"> балансовому учету.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15.11.2019 № 181н «Об утверждении федерального стандарта бухгалтерского учета государственных финансов «Нематериальные активы».</w:t>
      </w:r>
    </w:p>
    <w:p w:rsidR="002157AE" w:rsidRPr="00864360" w:rsidRDefault="002157AE" w:rsidP="00215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3.5  «</w:t>
      </w:r>
      <w:proofErr w:type="spellStart"/>
      <w:r w:rsidRPr="00864360">
        <w:rPr>
          <w:rFonts w:ascii="Times New Roman" w:hAnsi="Times New Roman" w:cs="Times New Roman"/>
          <w:b/>
          <w:sz w:val="24"/>
          <w:szCs w:val="24"/>
        </w:rPr>
        <w:t>Непроизведенные</w:t>
      </w:r>
      <w:proofErr w:type="spellEnd"/>
      <w:r w:rsidRPr="00864360">
        <w:rPr>
          <w:rFonts w:ascii="Times New Roman" w:hAnsi="Times New Roman" w:cs="Times New Roman"/>
          <w:b/>
          <w:sz w:val="24"/>
          <w:szCs w:val="24"/>
        </w:rPr>
        <w:t xml:space="preserve"> активы» дополнить следующим пунктом: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64360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864360">
        <w:rPr>
          <w:rFonts w:ascii="Times New Roman" w:hAnsi="Times New Roman" w:cs="Times New Roman"/>
          <w:sz w:val="24"/>
          <w:szCs w:val="24"/>
        </w:rPr>
        <w:t xml:space="preserve"> активы, не являющиеся земельными участками и не имеющие первоначальной стоимости в связи с отсутствием затрат на их приобретение, отражаются в условной оценке, если они соответствуют критериям признания активов. Условная оценка (1 руб. за 1 га.) определяется комиссией по поступлению и выбытию активов в момент их отражения на балансе.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28.02.2018 № 34н «Об утверждении федерального стандарта бухгалтерского учета для организаций государственного сектора «</w:t>
      </w:r>
      <w:proofErr w:type="spellStart"/>
      <w:r w:rsidRPr="00864360">
        <w:rPr>
          <w:rFonts w:ascii="Times New Roman" w:hAnsi="Times New Roman" w:cs="Times New Roman"/>
          <w:i/>
          <w:sz w:val="24"/>
          <w:szCs w:val="24"/>
        </w:rPr>
        <w:t>Непроизведенные</w:t>
      </w:r>
      <w:proofErr w:type="spellEnd"/>
      <w:r w:rsidRPr="00864360">
        <w:rPr>
          <w:rFonts w:ascii="Times New Roman" w:hAnsi="Times New Roman" w:cs="Times New Roman"/>
          <w:i/>
          <w:sz w:val="24"/>
          <w:szCs w:val="24"/>
        </w:rPr>
        <w:t xml:space="preserve"> активы»;</w:t>
      </w:r>
    </w:p>
    <w:p w:rsidR="002157AE" w:rsidRPr="00864360" w:rsidRDefault="002157AE" w:rsidP="00215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64360">
        <w:rPr>
          <w:rFonts w:ascii="Times New Roman" w:hAnsi="Times New Roman" w:cs="Times New Roman"/>
          <w:b/>
          <w:sz w:val="24"/>
          <w:szCs w:val="24"/>
        </w:rPr>
        <w:t xml:space="preserve"> «Расчеты по доходам» дополнить следующим пунктом: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4360">
        <w:rPr>
          <w:rFonts w:ascii="Times New Roman" w:hAnsi="Times New Roman" w:cs="Times New Roman"/>
          <w:sz w:val="24"/>
          <w:szCs w:val="24"/>
        </w:rPr>
        <w:t xml:space="preserve">Счета 40141 «Доходы будущих периодов к признанию в текущем году», 40149 «Доходы будущих периодов к признанию в очередные года» используются при ведении учета  с 01 января 2021 года и составлении отчетности на 01 января 2022 года. При первом применении счетов 40141, 40149 перевод сальдо (на 01.01.2021г.) осуществляется </w:t>
      </w:r>
      <w:r>
        <w:rPr>
          <w:rFonts w:ascii="Times New Roman" w:hAnsi="Times New Roman" w:cs="Times New Roman"/>
          <w:sz w:val="24"/>
          <w:szCs w:val="24"/>
        </w:rPr>
        <w:t>первым рабочим днем отчетного года</w:t>
      </w:r>
      <w:r w:rsidRPr="008643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lastRenderedPageBreak/>
        <w:t xml:space="preserve">     Перевод сумм доходов будущих периодов с кредита счета 40149 «Доходы будущих периодов к признанию в очередные года» на счет 40141 «Доходы будущих периодов к признанию в текущем году» в части доходов будущих периодов подлежащих к признанию в текущем году осуществляется  первым рабочим днем отчетного года.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14.09.2020 № 198н «О внесении изменений в приложения №1-2 к приказу МФ РФ от 01 декабря 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государственных  (муниципальных) учреждений и Инструкций по его применению».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7AE" w:rsidRPr="00864360" w:rsidRDefault="002157AE" w:rsidP="002157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Приложение №6 «Рабочий план счетов бухгалтерского учета» приказа об учетной политике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643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4360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EA7">
        <w:rPr>
          <w:rFonts w:ascii="Times New Roman" w:hAnsi="Times New Roman" w:cs="Times New Roman"/>
          <w:sz w:val="24"/>
          <w:szCs w:val="24"/>
        </w:rPr>
        <w:t>19-р</w:t>
      </w:r>
      <w:r w:rsidRPr="00864360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Установить, что новые требования, к ведению аналитического учета введенные Приказом Минфина России от 14.09.2020г. № 198н применяются: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при ведении бухгалтерского учета с 01 января 2021 года и составлении отчетности на 01 января 2022 года (в 2021 году).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Установить, что влияние внесенных изменений несущественно, поэтому учреждение применяет измененную учетную политику к фактам хозяйственной жизни, возникающим после изменения учетной политики  с 01 января 2021 года.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Установить, что данная учетная политика применяется во все последующие отчетные периоды с внесением в нее необходимых дополнений и изменений.</w:t>
      </w:r>
    </w:p>
    <w:p w:rsidR="002157AE" w:rsidRPr="00864360" w:rsidRDefault="002157AE" w:rsidP="0021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436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52AAA" w:rsidRPr="00FA7B69" w:rsidRDefault="00452AAA" w:rsidP="002157AE">
      <w:pPr>
        <w:pStyle w:val="a7"/>
        <w:rPr>
          <w:sz w:val="24"/>
          <w:szCs w:val="24"/>
        </w:rPr>
      </w:pPr>
      <w:r w:rsidRPr="00FA7B69">
        <w:rPr>
          <w:sz w:val="24"/>
          <w:szCs w:val="24"/>
        </w:rPr>
        <w:t> </w:t>
      </w:r>
    </w:p>
    <w:p w:rsidR="00452AAA" w:rsidRPr="00FA7B69" w:rsidRDefault="00452AAA" w:rsidP="00452AA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190"/>
        <w:gridCol w:w="3285"/>
      </w:tblGrid>
      <w:tr w:rsidR="00452AAA" w:rsidRPr="00FA7B69" w:rsidTr="00F756B2">
        <w:tc>
          <w:tcPr>
            <w:tcW w:w="3615" w:type="dxa"/>
            <w:vAlign w:val="bottom"/>
            <w:hideMark/>
          </w:tcPr>
          <w:p w:rsidR="00452AAA" w:rsidRPr="00FA7B69" w:rsidRDefault="00FA7B69" w:rsidP="00F756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Г</w:t>
            </w:r>
            <w:r w:rsidR="00452AAA" w:rsidRPr="00FA7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лава Краснооктябрьского сельского поселения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452AAA" w:rsidRPr="00FA7B69" w:rsidRDefault="00452AAA" w:rsidP="00F756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B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285" w:type="dxa"/>
            <w:vAlign w:val="bottom"/>
            <w:hideMark/>
          </w:tcPr>
          <w:p w:rsidR="00452AAA" w:rsidRPr="00FA7B69" w:rsidRDefault="00452AAA" w:rsidP="00F756B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7B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А.М.Майоров</w:t>
            </w:r>
          </w:p>
        </w:tc>
      </w:tr>
    </w:tbl>
    <w:p w:rsidR="00452AAA" w:rsidRDefault="00452AAA" w:rsidP="00452AAA">
      <w:pPr>
        <w:rPr>
          <w:rFonts w:ascii="Times New Roman" w:hAnsi="Times New Roman" w:cs="Times New Roman"/>
          <w:b/>
          <w:sz w:val="26"/>
          <w:szCs w:val="26"/>
        </w:rPr>
      </w:pPr>
      <w:r w:rsidRPr="00452AAA">
        <w:rPr>
          <w:rFonts w:ascii="Times New Roman" w:hAnsi="Times New Roman" w:cs="Times New Roman"/>
          <w:b/>
          <w:sz w:val="26"/>
          <w:szCs w:val="26"/>
        </w:rPr>
        <w:t> </w:t>
      </w:r>
    </w:p>
    <w:p w:rsidR="00FA7B69" w:rsidRPr="00452AAA" w:rsidRDefault="00FA7B69" w:rsidP="00452AAA">
      <w:pPr>
        <w:rPr>
          <w:rFonts w:ascii="Times New Roman" w:hAnsi="Times New Roman" w:cs="Times New Roman"/>
          <w:b/>
          <w:sz w:val="26"/>
          <w:szCs w:val="26"/>
        </w:rPr>
      </w:pPr>
    </w:p>
    <w:sectPr w:rsidR="00FA7B69" w:rsidRPr="00452AAA" w:rsidSect="00FA7B6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545"/>
    <w:multiLevelType w:val="hybridMultilevel"/>
    <w:tmpl w:val="0E449602"/>
    <w:lvl w:ilvl="0" w:tplc="58F08A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E2EEB"/>
    <w:multiLevelType w:val="hybridMultilevel"/>
    <w:tmpl w:val="6BAC34FC"/>
    <w:lvl w:ilvl="0" w:tplc="A11AE8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2AAA"/>
    <w:rsid w:val="000220D2"/>
    <w:rsid w:val="00143E2A"/>
    <w:rsid w:val="002157AE"/>
    <w:rsid w:val="002238DA"/>
    <w:rsid w:val="002C45DA"/>
    <w:rsid w:val="00330FF7"/>
    <w:rsid w:val="003D04C7"/>
    <w:rsid w:val="00452AAA"/>
    <w:rsid w:val="00927233"/>
    <w:rsid w:val="00AA120D"/>
    <w:rsid w:val="00AE0414"/>
    <w:rsid w:val="00B41EA7"/>
    <w:rsid w:val="00CA5389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A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52AAA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Title"/>
    <w:basedOn w:val="a"/>
    <w:link w:val="a4"/>
    <w:qFormat/>
    <w:rsid w:val="00452A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52A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AA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452AAA"/>
    <w:pPr>
      <w:shd w:val="clear" w:color="auto" w:fill="FFFFFF"/>
      <w:spacing w:before="240"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452AAA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452AA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A7B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FA7B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fill">
    <w:name w:val="fill"/>
    <w:basedOn w:val="a0"/>
    <w:rsid w:val="00FA7B69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Pelih</dc:creator>
  <cp:keywords/>
  <dc:description/>
  <cp:lastModifiedBy>Pelih</cp:lastModifiedBy>
  <cp:revision>12</cp:revision>
  <dcterms:created xsi:type="dcterms:W3CDTF">2020-10-02T06:31:00Z</dcterms:created>
  <dcterms:modified xsi:type="dcterms:W3CDTF">2021-08-03T11:44:00Z</dcterms:modified>
</cp:coreProperties>
</file>